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E8" w:rsidRPr="0049373E" w:rsidRDefault="009504E8" w:rsidP="009504E8">
      <w:pPr>
        <w:spacing w:after="0" w:line="276" w:lineRule="auto"/>
        <w:jc w:val="center"/>
        <w:rPr>
          <w:rFonts w:ascii="Times New Roman" w:eastAsia="Times New Roman" w:hAnsi="Times New Roman" w:cs="Times New Roman"/>
          <w:b/>
          <w:sz w:val="28"/>
          <w:szCs w:val="28"/>
          <w:lang w:val="ro-MD" w:eastAsia="ru-RU"/>
        </w:rPr>
      </w:pPr>
      <w:r w:rsidRPr="0049373E">
        <w:rPr>
          <w:rFonts w:ascii="Times New Roman" w:hAnsi="Times New Roman" w:cs="Times New Roman"/>
          <w:b/>
          <w:sz w:val="28"/>
          <w:szCs w:val="28"/>
          <w:lang w:val="ro-MD"/>
        </w:rPr>
        <w:t>Notă informativă</w:t>
      </w:r>
    </w:p>
    <w:p w:rsidR="009504E8" w:rsidRPr="0049373E" w:rsidRDefault="009504E8" w:rsidP="009504E8">
      <w:pPr>
        <w:spacing w:after="0"/>
        <w:jc w:val="center"/>
        <w:rPr>
          <w:rFonts w:ascii="Times New Roman" w:hAnsi="Times New Roman" w:cs="Times New Roman"/>
          <w:b/>
          <w:sz w:val="28"/>
          <w:szCs w:val="28"/>
          <w:lang w:val="ro-MD"/>
        </w:rPr>
      </w:pPr>
      <w:r w:rsidRPr="0049373E">
        <w:rPr>
          <w:rFonts w:ascii="Times New Roman" w:eastAsia="Times New Roman" w:hAnsi="Times New Roman" w:cs="Times New Roman"/>
          <w:b/>
          <w:bCs/>
          <w:sz w:val="28"/>
          <w:szCs w:val="28"/>
          <w:lang w:val="ro-MD"/>
        </w:rPr>
        <w:t xml:space="preserve">la </w:t>
      </w:r>
      <w:r w:rsidRPr="0049373E">
        <w:rPr>
          <w:rFonts w:ascii="Times New Roman" w:hAnsi="Times New Roman" w:cs="Times New Roman"/>
          <w:b/>
          <w:sz w:val="28"/>
          <w:szCs w:val="28"/>
          <w:lang w:val="ro-MD"/>
        </w:rPr>
        <w:t>proiectul hotărârii Guvernului cu privire la  aprobarea</w:t>
      </w:r>
    </w:p>
    <w:p w:rsidR="009504E8" w:rsidRPr="0049373E" w:rsidRDefault="009504E8" w:rsidP="009504E8">
      <w:pPr>
        <w:spacing w:after="0"/>
        <w:jc w:val="center"/>
        <w:rPr>
          <w:rFonts w:ascii="Times New Roman" w:hAnsi="Times New Roman" w:cs="Times New Roman"/>
          <w:b/>
          <w:sz w:val="28"/>
          <w:szCs w:val="28"/>
          <w:lang w:val="ro-MD"/>
        </w:rPr>
      </w:pPr>
      <w:r w:rsidRPr="0049373E">
        <w:rPr>
          <w:rFonts w:ascii="Times New Roman" w:hAnsi="Times New Roman" w:cs="Times New Roman"/>
          <w:b/>
          <w:sz w:val="28"/>
          <w:szCs w:val="28"/>
          <w:lang w:val="ro-MD"/>
        </w:rPr>
        <w:t xml:space="preserve"> Catalogului mijloacelor fixe și imobilizărilor necorporale</w:t>
      </w:r>
    </w:p>
    <w:tbl>
      <w:tblPr>
        <w:tblW w:w="5340" w:type="pct"/>
        <w:jc w:val="center"/>
        <w:tblCellMar>
          <w:top w:w="15" w:type="dxa"/>
          <w:left w:w="15" w:type="dxa"/>
          <w:bottom w:w="15" w:type="dxa"/>
          <w:right w:w="15" w:type="dxa"/>
        </w:tblCellMar>
        <w:tblLook w:val="04A0" w:firstRow="1" w:lastRow="0" w:firstColumn="1" w:lastColumn="0" w:noHBand="0" w:noVBand="1"/>
      </w:tblPr>
      <w:tblGrid>
        <w:gridCol w:w="10348"/>
      </w:tblGrid>
      <w:tr w:rsidR="009504E8" w:rsidRPr="0049373E" w:rsidTr="0073036A">
        <w:trPr>
          <w:jc w:val="center"/>
        </w:trPr>
        <w:tc>
          <w:tcPr>
            <w:tcW w:w="5000" w:type="pct"/>
            <w:tcBorders>
              <w:top w:val="nil"/>
              <w:left w:val="nil"/>
              <w:bottom w:val="single" w:sz="6" w:space="0" w:color="000000"/>
              <w:right w:val="nil"/>
            </w:tcBorders>
            <w:tcMar>
              <w:top w:w="24" w:type="dxa"/>
              <w:left w:w="48" w:type="dxa"/>
              <w:bottom w:w="24" w:type="dxa"/>
              <w:right w:w="48" w:type="dxa"/>
            </w:tcMar>
          </w:tcPr>
          <w:p w:rsidR="009504E8" w:rsidRPr="0049373E" w:rsidRDefault="009504E8" w:rsidP="0073036A">
            <w:pPr>
              <w:spacing w:after="0" w:line="240" w:lineRule="auto"/>
              <w:jc w:val="center"/>
              <w:rPr>
                <w:rFonts w:ascii="Times New Roman" w:eastAsia="Times New Roman" w:hAnsi="Times New Roman" w:cs="Times New Roman"/>
                <w:lang w:val="ro-MD" w:eastAsia="en-GB"/>
              </w:rPr>
            </w:pPr>
            <w:r w:rsidRPr="0049373E">
              <w:rPr>
                <w:rFonts w:ascii="Arial" w:eastAsia="Times New Roman" w:hAnsi="Arial" w:cs="Arial"/>
                <w:sz w:val="24"/>
                <w:szCs w:val="24"/>
                <w:lang w:val="ro-MD" w:eastAsia="en-GB"/>
              </w:rPr>
              <w:t> </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ind w:left="720" w:hanging="720"/>
              <w:contextualSpacing/>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Denumirea autorului și, după caz, a participanților la elaborarea proiectului</w:t>
            </w:r>
          </w:p>
        </w:tc>
      </w:tr>
      <w:tr w:rsidR="009504E8" w:rsidRPr="0049373E" w:rsidTr="0073036A">
        <w:trPr>
          <w:trHeight w:val="433"/>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rPr>
                <w:rFonts w:ascii="Times New Roman" w:eastAsia="Times New Roman" w:hAnsi="Times New Roman" w:cs="Times New Roman"/>
                <w:sz w:val="28"/>
                <w:szCs w:val="28"/>
                <w:lang w:val="ro-MD" w:eastAsia="en-GB"/>
              </w:rPr>
            </w:pPr>
            <w:r w:rsidRPr="0049373E">
              <w:rPr>
                <w:rFonts w:ascii="Times New Roman" w:eastAsia="Times New Roman" w:hAnsi="Times New Roman" w:cs="Times New Roman"/>
                <w:sz w:val="28"/>
                <w:szCs w:val="28"/>
                <w:lang w:val="ro-MD" w:eastAsia="en-GB"/>
              </w:rPr>
              <w:t> Prezentul proiect de hotărâre este elaborat de Ministerul Finanțelor al Republicii Moldova.</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Condițiile ce au impus elaborarea proiectului de act normativ și finalitățile urmărite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ind w:right="98"/>
              <w:jc w:val="both"/>
              <w:rPr>
                <w:rFonts w:ascii="Times New Roman" w:hAnsi="Times New Roman" w:cs="Times New Roman"/>
                <w:sz w:val="28"/>
                <w:szCs w:val="28"/>
                <w:lang w:val="ro-MD"/>
              </w:rPr>
            </w:pPr>
            <w:r w:rsidRPr="0049373E">
              <w:rPr>
                <w:rFonts w:ascii="Times New Roman" w:hAnsi="Times New Roman" w:cs="Times New Roman"/>
                <w:sz w:val="28"/>
                <w:szCs w:val="28"/>
                <w:lang w:val="ro-MD"/>
              </w:rPr>
              <w:t xml:space="preserve">Proiectul prezentei hotărâri de Guvern are drept scop adoptarea unui nou Catalog al mijloacelor fixe și imobilizărilor necorporale care ar corespunde realităților economice curente. La baza elaborării Catalogului a stat practica României, care a elaborat un catalog ce cuprinde o listă exhaustivă de mijloace fixe și durata de funcționare utilă corespunzătoare. </w:t>
            </w:r>
          </w:p>
          <w:p w:rsidR="009504E8" w:rsidRPr="0049373E" w:rsidRDefault="009504E8" w:rsidP="0073036A">
            <w:pPr>
              <w:spacing w:after="0" w:line="240" w:lineRule="auto"/>
              <w:ind w:right="98"/>
              <w:jc w:val="both"/>
              <w:rPr>
                <w:rFonts w:ascii="Times New Roman" w:hAnsi="Times New Roman" w:cs="Times New Roman"/>
                <w:sz w:val="28"/>
                <w:szCs w:val="28"/>
                <w:lang w:val="ro-MD"/>
              </w:rPr>
            </w:pPr>
            <w:r w:rsidRPr="0049373E">
              <w:rPr>
                <w:rFonts w:ascii="Times New Roman" w:hAnsi="Times New Roman" w:cs="Times New Roman"/>
                <w:sz w:val="28"/>
                <w:szCs w:val="28"/>
                <w:lang w:val="ro-MD"/>
              </w:rPr>
              <w:t>Astfel, se propune preluarea Catalogului utilizat de către țara vecină, care este unul mult mai actual și complex.</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ind w:right="98"/>
              <w:jc w:val="both"/>
              <w:rPr>
                <w:rFonts w:ascii="Times New Roman" w:hAnsi="Times New Roman" w:cs="Times New Roman"/>
                <w:b/>
                <w:sz w:val="28"/>
                <w:szCs w:val="28"/>
                <w:lang w:val="ro-MD"/>
              </w:rPr>
            </w:pPr>
            <w:r w:rsidRPr="0049373E">
              <w:rPr>
                <w:rFonts w:ascii="Times New Roman" w:hAnsi="Times New Roman" w:cs="Times New Roman"/>
                <w:b/>
                <w:sz w:val="28"/>
                <w:szCs w:val="28"/>
                <w:lang w:val="ro-MD"/>
              </w:rPr>
              <w:t>Descrierea gradului de compatibilitate pentru proiectele care au ca scop armonizarea legislației naționale cu legislația Uniunii Europene</w:t>
            </w:r>
          </w:p>
        </w:tc>
      </w:tr>
      <w:tr w:rsidR="009504E8" w:rsidRPr="0049373E" w:rsidTr="0073036A">
        <w:trPr>
          <w:trHeight w:val="42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ind w:right="98"/>
              <w:jc w:val="both"/>
              <w:rPr>
                <w:rFonts w:ascii="Times New Roman" w:hAnsi="Times New Roman" w:cs="Times New Roman"/>
                <w:b/>
                <w:sz w:val="28"/>
                <w:szCs w:val="28"/>
                <w:lang w:val="ro-MD"/>
              </w:rPr>
            </w:pPr>
            <w:r w:rsidRPr="0049373E">
              <w:rPr>
                <w:rFonts w:ascii="Times New Roman" w:eastAsia="Times New Roman" w:hAnsi="Times New Roman" w:cs="Times New Roman"/>
                <w:sz w:val="28"/>
                <w:szCs w:val="28"/>
                <w:lang w:val="ro-MD" w:eastAsia="en-GB"/>
              </w:rPr>
              <w:t xml:space="preserve">Prezentul proiect de lege nu transpune </w:t>
            </w:r>
            <w:r w:rsidRPr="0049373E">
              <w:rPr>
                <w:rFonts w:ascii="Times New Roman" w:hAnsi="Times New Roman" w:cs="Times New Roman"/>
                <w:sz w:val="28"/>
                <w:szCs w:val="28"/>
                <w:lang w:val="ro-MD"/>
              </w:rPr>
              <w:t>legislația Uniunii Europene.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rPr>
                <w:rFonts w:ascii="Times New Roman" w:eastAsia="Times New Roman" w:hAnsi="Times New Roman" w:cs="Times New Roman"/>
                <w:b/>
                <w:sz w:val="28"/>
                <w:szCs w:val="28"/>
                <w:highlight w:val="yellow"/>
                <w:lang w:val="ro-RO" w:eastAsia="en-GB"/>
              </w:rPr>
            </w:pPr>
            <w:r w:rsidRPr="0049373E">
              <w:rPr>
                <w:rFonts w:ascii="Times New Roman" w:eastAsia="Times New Roman" w:hAnsi="Times New Roman" w:cs="Times New Roman"/>
                <w:b/>
                <w:sz w:val="28"/>
                <w:szCs w:val="28"/>
                <w:lang w:val="ro-RO" w:eastAsia="en-GB"/>
              </w:rPr>
              <w:t>Principalele prevederi ale proiectului şi evidenţierea elementelor noi</w:t>
            </w:r>
          </w:p>
        </w:tc>
      </w:tr>
      <w:tr w:rsidR="009504E8" w:rsidRPr="0049373E" w:rsidTr="0073036A">
        <w:trPr>
          <w:trHeight w:val="2001"/>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ind w:right="98"/>
              <w:jc w:val="both"/>
              <w:rPr>
                <w:rFonts w:ascii="Times New Roman" w:hAnsi="Times New Roman" w:cs="Times New Roman"/>
                <w:sz w:val="28"/>
                <w:szCs w:val="28"/>
                <w:lang w:val="ro-RO"/>
              </w:rPr>
            </w:pPr>
            <w:r w:rsidRPr="0049373E">
              <w:rPr>
                <w:rFonts w:ascii="Times New Roman" w:hAnsi="Times New Roman" w:cs="Times New Roman"/>
                <w:sz w:val="28"/>
                <w:szCs w:val="28"/>
                <w:lang w:val="ro-RO"/>
              </w:rPr>
              <w:t>Durata de funcționare utilă a mijloacelor fixe utilizate în economie este stabilită în intervale de perioade în limitele maximă și minimă. Durata exactă urmează a fi stabilită de către entitate de sine stătător, în dependență de starea funcțională a mijlocului fix procurat, intensitatea de exploatare a acestuia la noul proprietar,  specificul activității desfășurate, etc.</w:t>
            </w:r>
          </w:p>
          <w:p w:rsidR="009504E8" w:rsidRPr="0049373E" w:rsidRDefault="009504E8" w:rsidP="0073036A">
            <w:pPr>
              <w:spacing w:after="0" w:line="240" w:lineRule="auto"/>
              <w:ind w:right="98"/>
              <w:jc w:val="both"/>
              <w:rPr>
                <w:rFonts w:ascii="Times New Roman" w:hAnsi="Times New Roman" w:cs="Times New Roman"/>
                <w:sz w:val="28"/>
                <w:szCs w:val="28"/>
                <w:lang w:val="ro-RO"/>
              </w:rPr>
            </w:pPr>
            <w:r w:rsidRPr="0049373E">
              <w:rPr>
                <w:rFonts w:ascii="Times New Roman" w:hAnsi="Times New Roman" w:cs="Times New Roman"/>
                <w:sz w:val="28"/>
                <w:szCs w:val="28"/>
                <w:lang w:val="ro-RO"/>
              </w:rPr>
              <w:t>În cazul în care anumite mijloace fixe nu se regăsesc în Catalog, durata de funcționare utilă a acestora se va determina în baza experienței proprii a entității de exploatare a activelor similare, experiența altor entități sau pot fi atrași în aceste scopuri experți competenți. La fel, în cazul în care legislația sau contractele încheiate stabilesc anumite restricții asupra duratei de utilizare a unor active, durata de funcționare utilă a acestora se va  stabili  în baza restricțiilor confirmate documentar.</w:t>
            </w:r>
          </w:p>
          <w:p w:rsidR="009504E8" w:rsidRPr="0049373E" w:rsidRDefault="009504E8" w:rsidP="0073036A">
            <w:pPr>
              <w:spacing w:after="0" w:line="240" w:lineRule="auto"/>
              <w:ind w:right="98"/>
              <w:jc w:val="both"/>
              <w:rPr>
                <w:rFonts w:ascii="Times New Roman" w:hAnsi="Times New Roman" w:cs="Times New Roman"/>
                <w:sz w:val="28"/>
                <w:szCs w:val="28"/>
                <w:lang w:val="ro-RO"/>
              </w:rPr>
            </w:pPr>
            <w:r w:rsidRPr="0049373E">
              <w:rPr>
                <w:rFonts w:ascii="Times New Roman" w:hAnsi="Times New Roman" w:cs="Times New Roman"/>
                <w:sz w:val="28"/>
                <w:szCs w:val="28"/>
                <w:lang w:val="ro-RO"/>
              </w:rPr>
              <w:t>De asemenea, se propun norme de reglementare  a modului de stabilire a duratei de funcționare utilă pentru mijloacele fixe procurate și  anterior exploatate de către alți proprietari, inclusiv în cazul când noul proprietar nu deține informații despre perioada anterioară de exploatare sau alte date de identificare a mijlocului fix achiziționat.</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Fundamentarea economico-financiară</w:t>
            </w:r>
          </w:p>
        </w:tc>
      </w:tr>
      <w:tr w:rsidR="009504E8" w:rsidRPr="0049373E" w:rsidTr="0073036A">
        <w:trPr>
          <w:trHeight w:val="397"/>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jc w:val="both"/>
              <w:rPr>
                <w:rFonts w:ascii="Times New Roman" w:hAnsi="Times New Roman" w:cs="Times New Roman"/>
                <w:bCs/>
                <w:sz w:val="28"/>
                <w:szCs w:val="28"/>
                <w:lang w:val="ro-RO"/>
              </w:rPr>
            </w:pPr>
            <w:r w:rsidRPr="0049373E">
              <w:rPr>
                <w:rFonts w:ascii="Times New Roman" w:hAnsi="Times New Roman" w:cs="Times New Roman"/>
                <w:bCs/>
                <w:sz w:val="28"/>
                <w:szCs w:val="28"/>
                <w:lang w:val="ro-RO"/>
              </w:rPr>
              <w:t>Proiectul nu va necesita cheltuieli financiare și alocarea mijloacelor financiare  suplimentare.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Modul de încorporare a actului în cadrul normativ în vigoare</w:t>
            </w:r>
          </w:p>
        </w:tc>
      </w:tr>
      <w:tr w:rsidR="009504E8" w:rsidRPr="0049373E" w:rsidTr="0073036A">
        <w:trPr>
          <w:trHeight w:val="1134"/>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jc w:val="both"/>
              <w:rPr>
                <w:rFonts w:ascii="Times New Roman" w:eastAsia="Times New Roman" w:hAnsi="Times New Roman" w:cs="Times New Roman"/>
                <w:sz w:val="28"/>
                <w:szCs w:val="28"/>
                <w:lang w:val="ro-MD" w:eastAsia="en-GB"/>
              </w:rPr>
            </w:pPr>
            <w:r w:rsidRPr="0049373E">
              <w:rPr>
                <w:rFonts w:ascii="Times New Roman" w:eastAsia="Times New Roman" w:hAnsi="Times New Roman" w:cs="Times New Roman"/>
                <w:sz w:val="28"/>
                <w:szCs w:val="28"/>
                <w:lang w:val="ro-MD" w:eastAsia="en-GB"/>
              </w:rPr>
              <w:t>Prezentul proiect al hotărârii Guvernului prevede abrogarea hotărârii Guvernului nr.338/2003 ,,cu privire la aprobarea Catalogului mijloacelor fixe” (Monitorul Oficial al Republicii Moldova, 2003, nr.62-66 art.379).</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 xml:space="preserve">Avizarea </w:t>
            </w:r>
            <w:r w:rsidRPr="0049373E">
              <w:rPr>
                <w:rFonts w:ascii="Times New Roman" w:eastAsia="Times New Roman" w:hAnsi="Times New Roman" w:cs="Times New Roman"/>
                <w:b/>
                <w:sz w:val="28"/>
                <w:szCs w:val="28"/>
                <w:lang w:val="ro-RO" w:eastAsia="en-GB"/>
              </w:rPr>
              <w:t>ș</w:t>
            </w:r>
            <w:r w:rsidRPr="0049373E">
              <w:rPr>
                <w:rFonts w:ascii="Times New Roman" w:eastAsia="Times New Roman" w:hAnsi="Times New Roman" w:cs="Times New Roman"/>
                <w:b/>
                <w:sz w:val="28"/>
                <w:szCs w:val="28"/>
                <w:lang w:val="ro-MD" w:eastAsia="en-GB"/>
              </w:rPr>
              <w:t>i consultarea publică a proiectului</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jc w:val="both"/>
              <w:rPr>
                <w:rFonts w:ascii="Times New Roman" w:eastAsia="Times New Roman" w:hAnsi="Times New Roman" w:cs="Times New Roman"/>
                <w:sz w:val="28"/>
                <w:szCs w:val="28"/>
                <w:lang w:val="ro-MD" w:eastAsia="en-GB"/>
              </w:rPr>
            </w:pPr>
            <w:r w:rsidRPr="0049373E">
              <w:rPr>
                <w:rFonts w:ascii="Times New Roman" w:eastAsia="Times New Roman" w:hAnsi="Times New Roman" w:cs="Times New Roman"/>
                <w:sz w:val="28"/>
                <w:szCs w:val="28"/>
                <w:lang w:val="ro-MD" w:eastAsia="en-GB"/>
              </w:rPr>
              <w:t xml:space="preserve">În scopul respectării prevederilor Legii nr.239/2008 privind transparența în procesul decizional, anunțul privind inițierea procesului de elaborare a proiectului Hotărârii Guvernului cu privire la  aprobarea Catalogului mijloacelor fixe, este plasat pe pagina </w:t>
            </w:r>
            <w:r w:rsidRPr="0049373E">
              <w:rPr>
                <w:rFonts w:ascii="Times New Roman" w:eastAsia="Times New Roman" w:hAnsi="Times New Roman" w:cs="Times New Roman"/>
                <w:sz w:val="28"/>
                <w:szCs w:val="28"/>
                <w:lang w:val="ro-MD" w:eastAsia="en-GB"/>
              </w:rPr>
              <w:lastRenderedPageBreak/>
              <w:t>oficială a Ministerului Finanțelor pentru consultare publică, la compartimentul Transparența decizională/Consultări publice și va asigura avizarea acestuia de către instituțiile interesate.</w:t>
            </w:r>
          </w:p>
          <w:p w:rsidR="009504E8" w:rsidRPr="0049373E" w:rsidRDefault="009504E8" w:rsidP="0073036A">
            <w:pPr>
              <w:spacing w:after="0" w:line="240" w:lineRule="auto"/>
              <w:jc w:val="both"/>
              <w:rPr>
                <w:rFonts w:ascii="Times New Roman" w:eastAsia="Times New Roman" w:hAnsi="Times New Roman" w:cs="Times New Roman"/>
                <w:sz w:val="28"/>
                <w:szCs w:val="28"/>
                <w:lang w:val="ro-MD" w:eastAsia="en-GB"/>
              </w:rPr>
            </w:pPr>
            <w:r w:rsidRPr="0049373E">
              <w:rPr>
                <w:rFonts w:ascii="Times New Roman" w:eastAsia="Times New Roman" w:hAnsi="Times New Roman" w:cs="Times New Roman"/>
                <w:sz w:val="28"/>
                <w:szCs w:val="28"/>
                <w:lang w:val="ro-MD" w:eastAsia="en-GB"/>
              </w:rPr>
              <w:t xml:space="preserve">În conformitate cu prevederile Regulamentului Guvernului, aprobat prin Hotărârea Guvernului nr.610/2018, prezentul proiect se transmite Cancelariei de Stat pentru înregistrare. Proiectul se prezintă spre avizare Ministerul Economiei și Infrastructurii, Ministerul Afacerilor Interne, Ministerul Afacerilor Externe și Integrării Europene, Ministerul Educației, Culturii și Cercetării, Ministerul Agriculturii, Dezvoltării Regionale și Mediului, Ministerul Sănătății, Muncii și Protecției Sociale, Ministerul Apărării, Biroului Național de Statistică, Agenției Naționale pentru Reglementarea în Energetică, Congresului Autorităților Locale din Moldova, Institutului Național de Cercetări Economice, asociațiilor obștești și altor părți interesate. </w:t>
            </w:r>
          </w:p>
          <w:p w:rsidR="009504E8" w:rsidRPr="0049373E" w:rsidRDefault="009504E8" w:rsidP="0073036A">
            <w:pPr>
              <w:spacing w:after="0" w:line="240" w:lineRule="auto"/>
              <w:jc w:val="both"/>
              <w:rPr>
                <w:rFonts w:ascii="Times New Roman" w:eastAsia="Times New Roman" w:hAnsi="Times New Roman" w:cs="Times New Roman"/>
                <w:sz w:val="28"/>
                <w:szCs w:val="28"/>
                <w:lang w:val="ro-MD" w:eastAsia="en-GB"/>
              </w:rPr>
            </w:pPr>
            <w:r w:rsidRPr="0049373E">
              <w:rPr>
                <w:rFonts w:ascii="Times New Roman" w:eastAsia="Times New Roman" w:hAnsi="Times New Roman" w:cs="Times New Roman"/>
                <w:sz w:val="28"/>
                <w:szCs w:val="28"/>
                <w:lang w:val="ro-MD" w:eastAsia="en-GB"/>
              </w:rPr>
              <w:t>Concomitent proiectul urmează a fi supus expertizei juridice de către Ministerul Justiției, și expertizei anticorupție de către Centrului Național Anticorupție.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9504E8" w:rsidRPr="0049373E" w:rsidRDefault="009504E8" w:rsidP="0073036A">
            <w:pPr>
              <w:spacing w:after="0" w:line="240" w:lineRule="auto"/>
              <w:jc w:val="both"/>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lastRenderedPageBreak/>
              <w:t>Consultările expertizei anticorupție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jc w:val="both"/>
              <w:rPr>
                <w:rFonts w:ascii="Times New Roman" w:eastAsia="Times New Roman" w:hAnsi="Times New Roman" w:cs="Times New Roman"/>
                <w:sz w:val="28"/>
                <w:szCs w:val="28"/>
                <w:lang w:val="ro-MD" w:eastAsia="en-GB"/>
              </w:rPr>
            </w:pPr>
            <w:r w:rsidRPr="0049373E">
              <w:rPr>
                <w:rFonts w:ascii="Times New Roman" w:eastAsia="Times New Roman" w:hAnsi="Times New Roman" w:cs="Times New Roman"/>
                <w:sz w:val="28"/>
                <w:szCs w:val="28"/>
                <w:lang w:val="ro-MD" w:eastAsia="en-GB"/>
              </w:rPr>
              <w:t>Informația privind rezultatele expertizei anticorupție va fi inclusă după recepționarea raportului de expertiză anticorupție în sinteza obiecțiilor și propunerilor/recomandărilor la proiectul de hotărâre.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jc w:val="both"/>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Consultările expertizei de compatibilitate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jc w:val="both"/>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sz w:val="28"/>
                <w:szCs w:val="28"/>
                <w:lang w:val="ro-MD" w:eastAsia="en-GB"/>
              </w:rPr>
              <w:t xml:space="preserve">Proiectul de hotărâre nu conține norme privind armonizarea </w:t>
            </w:r>
            <w:r w:rsidRPr="0049373E">
              <w:rPr>
                <w:rFonts w:ascii="Times New Roman" w:hAnsi="Times New Roman" w:cs="Times New Roman"/>
                <w:sz w:val="28"/>
                <w:szCs w:val="28"/>
                <w:lang w:val="ro-MD"/>
              </w:rPr>
              <w:t>legislației naționale cu legislația Uniunii Europene.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jc w:val="both"/>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b/>
                <w:sz w:val="28"/>
                <w:szCs w:val="28"/>
                <w:lang w:val="ro-MD" w:eastAsia="en-GB"/>
              </w:rPr>
              <w:t>Consultările expertizei juridice</w:t>
            </w:r>
          </w:p>
        </w:tc>
      </w:tr>
      <w:tr w:rsidR="009504E8" w:rsidRPr="0049373E" w:rsidTr="0073036A">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9504E8" w:rsidRPr="0049373E" w:rsidRDefault="009504E8" w:rsidP="0073036A">
            <w:pPr>
              <w:spacing w:after="0" w:line="240" w:lineRule="auto"/>
              <w:jc w:val="both"/>
              <w:rPr>
                <w:rFonts w:ascii="Times New Roman" w:eastAsia="Times New Roman" w:hAnsi="Times New Roman" w:cs="Times New Roman"/>
                <w:b/>
                <w:sz w:val="28"/>
                <w:szCs w:val="28"/>
                <w:lang w:val="ro-MD" w:eastAsia="en-GB"/>
              </w:rPr>
            </w:pPr>
            <w:r w:rsidRPr="0049373E">
              <w:rPr>
                <w:rFonts w:ascii="Times New Roman" w:eastAsia="Times New Roman" w:hAnsi="Times New Roman" w:cs="Times New Roman"/>
                <w:sz w:val="28"/>
                <w:szCs w:val="28"/>
                <w:lang w:val="ro-MD" w:eastAsia="en-GB"/>
              </w:rPr>
              <w:t>Informația referitoare la respectarea normelor de tehnică legislativă va fi inclusă după recepționarea expertizei juridice în sinteza obiecțiilor și propunerilor/recomandărilor la proiectul de hotărâre.</w:t>
            </w:r>
          </w:p>
        </w:tc>
      </w:tr>
      <w:tr w:rsidR="009504E8" w:rsidRPr="0049373E" w:rsidTr="0073036A">
        <w:trPr>
          <w:jc w:val="center"/>
        </w:trPr>
        <w:tc>
          <w:tcPr>
            <w:tcW w:w="5000" w:type="pct"/>
            <w:tcBorders>
              <w:top w:val="single" w:sz="6" w:space="0" w:color="000000"/>
              <w:left w:val="nil"/>
              <w:bottom w:val="nil"/>
              <w:right w:val="nil"/>
            </w:tcBorders>
            <w:tcMar>
              <w:top w:w="24" w:type="dxa"/>
              <w:left w:w="48" w:type="dxa"/>
              <w:bottom w:w="24" w:type="dxa"/>
              <w:right w:w="48" w:type="dxa"/>
            </w:tcMar>
            <w:hideMark/>
          </w:tcPr>
          <w:p w:rsidR="009504E8" w:rsidRPr="0049373E" w:rsidRDefault="009504E8" w:rsidP="0073036A">
            <w:pPr>
              <w:spacing w:after="0" w:line="240" w:lineRule="auto"/>
              <w:ind w:firstLine="567"/>
              <w:jc w:val="both"/>
              <w:rPr>
                <w:rFonts w:ascii="Times New Roman" w:eastAsia="Times New Roman" w:hAnsi="Times New Roman" w:cs="Times New Roman"/>
                <w:lang w:val="ro-MD" w:eastAsia="en-GB"/>
              </w:rPr>
            </w:pPr>
            <w:r w:rsidRPr="0049373E">
              <w:rPr>
                <w:rFonts w:ascii="Times New Roman" w:eastAsia="Times New Roman" w:hAnsi="Times New Roman" w:cs="Times New Roman"/>
                <w:lang w:val="ro-MD" w:eastAsia="en-GB"/>
              </w:rPr>
              <w:t> </w:t>
            </w:r>
          </w:p>
          <w:p w:rsidR="009504E8" w:rsidRPr="0049373E" w:rsidRDefault="009504E8" w:rsidP="0073036A">
            <w:pPr>
              <w:spacing w:after="0" w:line="240" w:lineRule="auto"/>
              <w:ind w:firstLine="567"/>
              <w:jc w:val="both"/>
              <w:rPr>
                <w:rFonts w:ascii="Times New Roman" w:eastAsia="Times New Roman" w:hAnsi="Times New Roman" w:cs="Times New Roman"/>
                <w:lang w:val="ro-MD" w:eastAsia="en-GB"/>
              </w:rPr>
            </w:pPr>
          </w:p>
        </w:tc>
      </w:tr>
    </w:tbl>
    <w:p w:rsidR="009504E8" w:rsidRPr="0049373E" w:rsidRDefault="009504E8" w:rsidP="009504E8">
      <w:pPr>
        <w:rPr>
          <w:rFonts w:ascii="Arial" w:eastAsia="Times New Roman" w:hAnsi="Arial" w:cs="Arial"/>
          <w:sz w:val="24"/>
          <w:szCs w:val="24"/>
          <w:lang w:val="en-GB" w:eastAsia="en-GB"/>
        </w:rPr>
      </w:pPr>
    </w:p>
    <w:p w:rsidR="009504E8" w:rsidRPr="0049373E" w:rsidRDefault="009504E8" w:rsidP="009504E8">
      <w:pPr>
        <w:spacing w:line="276" w:lineRule="auto"/>
        <w:ind w:right="-424" w:firstLine="810"/>
        <w:jc w:val="both"/>
        <w:rPr>
          <w:lang w:val="en-GB"/>
        </w:rPr>
      </w:pPr>
      <w:r w:rsidRPr="0049373E">
        <w:rPr>
          <w:rFonts w:ascii="Times New Roman" w:hAnsi="Times New Roman" w:cs="Times New Roman"/>
          <w:b/>
          <w:sz w:val="28"/>
          <w:szCs w:val="28"/>
          <w:lang w:val="ro-RO"/>
        </w:rPr>
        <w:t xml:space="preserve">      MINISTRU              </w:t>
      </w:r>
      <w:r w:rsidRPr="0049373E">
        <w:rPr>
          <w:rFonts w:ascii="Times New Roman" w:hAnsi="Times New Roman" w:cs="Times New Roman"/>
          <w:i/>
          <w:sz w:val="24"/>
          <w:szCs w:val="28"/>
          <w:lang w:val="ro-RO"/>
        </w:rPr>
        <w:t xml:space="preserve">(semnat electronic) </w:t>
      </w:r>
      <w:r w:rsidRPr="0049373E">
        <w:rPr>
          <w:rFonts w:ascii="Times New Roman" w:hAnsi="Times New Roman" w:cs="Times New Roman"/>
          <w:b/>
          <w:sz w:val="28"/>
          <w:szCs w:val="28"/>
          <w:lang w:val="ro-RO"/>
        </w:rPr>
        <w:t xml:space="preserve">            Natalia GAVRILIȚA</w:t>
      </w:r>
    </w:p>
    <w:p w:rsidR="009504E8" w:rsidRPr="0049373E" w:rsidRDefault="009504E8" w:rsidP="009504E8">
      <w:pPr>
        <w:rPr>
          <w:lang w:val="en-GB"/>
        </w:rPr>
      </w:pPr>
    </w:p>
    <w:p w:rsidR="009504E8" w:rsidRPr="00B9680A" w:rsidRDefault="009504E8" w:rsidP="009504E8">
      <w:pPr>
        <w:spacing w:after="0" w:line="240" w:lineRule="auto"/>
        <w:rPr>
          <w:rFonts w:ascii="Times New Roman" w:eastAsia="Times New Roman" w:hAnsi="Times New Roman" w:cs="Times New Roman"/>
          <w:i/>
          <w:sz w:val="28"/>
          <w:szCs w:val="20"/>
          <w:lang w:val="ro-RO" w:eastAsia="ru-RU"/>
        </w:rPr>
      </w:pPr>
    </w:p>
    <w:p w:rsidR="00B42621" w:rsidRDefault="009504E8">
      <w:bookmarkStart w:id="0" w:name="_GoBack"/>
      <w:bookmarkEnd w:id="0"/>
    </w:p>
    <w:sectPr w:rsidR="00B42621" w:rsidSect="00BD6DBA">
      <w:pgSz w:w="12240" w:h="15840"/>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2E"/>
    <w:rsid w:val="004203D9"/>
    <w:rsid w:val="009504E8"/>
    <w:rsid w:val="00A3202E"/>
    <w:rsid w:val="00E5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CBB8F-67FA-4E3E-85F1-3ABAE8B1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Turcan Iulia</dc:creator>
  <cp:keywords/>
  <dc:description/>
  <cp:lastModifiedBy>Turcan Iulia</cp:lastModifiedBy>
  <cp:revision>2</cp:revision>
  <dcterms:created xsi:type="dcterms:W3CDTF">2019-10-17T07:54:00Z</dcterms:created>
  <dcterms:modified xsi:type="dcterms:W3CDTF">2019-10-17T07:54:00Z</dcterms:modified>
</cp:coreProperties>
</file>