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480" w:rsidRPr="00C45DDC" w:rsidRDefault="00133480" w:rsidP="00133480">
      <w:pPr>
        <w:keepNext/>
        <w:ind w:hanging="28"/>
        <w:jc w:val="both"/>
        <w:outlineLvl w:val="7"/>
        <w:rPr>
          <w:b/>
          <w:i/>
          <w:spacing w:val="20"/>
          <w:lang w:val="ro-RO" w:eastAsia="en-US"/>
        </w:rPr>
      </w:pPr>
      <w:bookmarkStart w:id="0" w:name="_GoBack"/>
      <w:bookmarkEnd w:id="0"/>
      <w:r w:rsidRPr="00C4534F">
        <w:rPr>
          <w:spacing w:val="20"/>
          <w:sz w:val="28"/>
          <w:szCs w:val="28"/>
          <w:lang w:val="ro-RO" w:eastAsia="en-US"/>
        </w:rPr>
        <w:t xml:space="preserve">                                                                                         </w:t>
      </w:r>
      <w:r w:rsidRPr="00C45DDC">
        <w:rPr>
          <w:b/>
          <w:i/>
          <w:spacing w:val="20"/>
          <w:lang w:val="ro-RO" w:eastAsia="en-US"/>
        </w:rPr>
        <w:t>Proiect</w:t>
      </w:r>
    </w:p>
    <w:p w:rsidR="00133480" w:rsidRPr="004A3D96" w:rsidRDefault="00133480" w:rsidP="00133480">
      <w:pPr>
        <w:keepNext/>
        <w:ind w:hanging="28"/>
        <w:jc w:val="both"/>
        <w:outlineLvl w:val="7"/>
        <w:rPr>
          <w:spacing w:val="20"/>
          <w:sz w:val="10"/>
          <w:szCs w:val="10"/>
          <w:lang w:val="ro-RO" w:eastAsia="en-US"/>
        </w:rPr>
      </w:pPr>
    </w:p>
    <w:p w:rsidR="00133480" w:rsidRPr="00C4534F" w:rsidRDefault="00133480" w:rsidP="00133480">
      <w:pPr>
        <w:keepNext/>
        <w:ind w:hanging="28"/>
        <w:jc w:val="center"/>
        <w:outlineLvl w:val="7"/>
        <w:rPr>
          <w:b/>
          <w:spacing w:val="20"/>
          <w:sz w:val="28"/>
          <w:szCs w:val="28"/>
          <w:lang w:val="ro-RO" w:eastAsia="en-US"/>
        </w:rPr>
      </w:pPr>
    </w:p>
    <w:p w:rsidR="00133480" w:rsidRPr="00C4534F" w:rsidRDefault="00133480" w:rsidP="00133480">
      <w:pPr>
        <w:keepNext/>
        <w:ind w:hanging="28"/>
        <w:jc w:val="center"/>
        <w:outlineLvl w:val="7"/>
        <w:rPr>
          <w:b/>
          <w:spacing w:val="20"/>
          <w:sz w:val="28"/>
          <w:szCs w:val="28"/>
          <w:lang w:val="ro-RO" w:eastAsia="en-US"/>
        </w:rPr>
      </w:pPr>
      <w:r w:rsidRPr="00C4534F">
        <w:rPr>
          <w:b/>
          <w:spacing w:val="20"/>
          <w:sz w:val="28"/>
          <w:szCs w:val="28"/>
          <w:lang w:val="ro-RO" w:eastAsia="en-US"/>
        </w:rPr>
        <w:t>GUVERNUL  REPUBLICII  MOLDOVA</w:t>
      </w:r>
    </w:p>
    <w:p w:rsidR="00133480" w:rsidRPr="004A3D96" w:rsidRDefault="00133480" w:rsidP="00133480">
      <w:pPr>
        <w:keepNext/>
        <w:ind w:hanging="28"/>
        <w:jc w:val="center"/>
        <w:outlineLvl w:val="7"/>
        <w:rPr>
          <w:spacing w:val="20"/>
          <w:sz w:val="10"/>
          <w:szCs w:val="10"/>
          <w:lang w:val="ro-RO" w:eastAsia="en-US"/>
        </w:rPr>
      </w:pPr>
    </w:p>
    <w:p w:rsidR="00133480" w:rsidRPr="00C4534F" w:rsidRDefault="00133480" w:rsidP="00133480">
      <w:pPr>
        <w:keepNext/>
        <w:ind w:hanging="28"/>
        <w:jc w:val="center"/>
        <w:outlineLvl w:val="7"/>
        <w:rPr>
          <w:b/>
          <w:spacing w:val="20"/>
          <w:sz w:val="28"/>
          <w:szCs w:val="28"/>
          <w:lang w:val="ro-RO" w:eastAsia="en-US"/>
        </w:rPr>
      </w:pPr>
      <w:r w:rsidRPr="00C4534F">
        <w:rPr>
          <w:b/>
          <w:spacing w:val="20"/>
          <w:sz w:val="28"/>
          <w:szCs w:val="28"/>
          <w:lang w:val="ro-RO" w:eastAsia="en-US"/>
        </w:rPr>
        <w:t>H O T Ă R Â R E   Nr._____</w:t>
      </w:r>
    </w:p>
    <w:p w:rsidR="00133480" w:rsidRPr="004A3D96" w:rsidRDefault="00133480" w:rsidP="004A3D96">
      <w:pPr>
        <w:keepNext/>
        <w:jc w:val="center"/>
        <w:outlineLvl w:val="7"/>
        <w:rPr>
          <w:spacing w:val="20"/>
          <w:sz w:val="10"/>
          <w:szCs w:val="10"/>
          <w:lang w:val="ro-RO" w:eastAsia="en-US"/>
        </w:rPr>
      </w:pPr>
    </w:p>
    <w:p w:rsidR="00133480" w:rsidRPr="00C4534F" w:rsidRDefault="00133480" w:rsidP="00133480">
      <w:pPr>
        <w:keepNext/>
        <w:ind w:hanging="28"/>
        <w:jc w:val="center"/>
        <w:outlineLvl w:val="7"/>
        <w:rPr>
          <w:b/>
          <w:spacing w:val="20"/>
          <w:sz w:val="28"/>
          <w:szCs w:val="28"/>
          <w:lang w:val="ro-RO" w:eastAsia="en-US"/>
        </w:rPr>
      </w:pPr>
      <w:r>
        <w:rPr>
          <w:b/>
          <w:spacing w:val="20"/>
          <w:sz w:val="28"/>
          <w:szCs w:val="28"/>
          <w:lang w:val="ro-RO" w:eastAsia="en-US"/>
        </w:rPr>
        <w:t>din “_____</w:t>
      </w:r>
      <w:r w:rsidRPr="00C4534F">
        <w:rPr>
          <w:b/>
          <w:spacing w:val="20"/>
          <w:sz w:val="28"/>
          <w:szCs w:val="28"/>
          <w:lang w:val="ro-RO" w:eastAsia="en-US"/>
        </w:rPr>
        <w:t xml:space="preserve">” </w:t>
      </w:r>
      <w:r>
        <w:rPr>
          <w:b/>
          <w:spacing w:val="20"/>
          <w:sz w:val="28"/>
          <w:szCs w:val="28"/>
          <w:lang w:val="ro-RO" w:eastAsia="en-US"/>
        </w:rPr>
        <w:t>______</w:t>
      </w:r>
      <w:r w:rsidRPr="00C4534F">
        <w:rPr>
          <w:b/>
          <w:spacing w:val="20"/>
          <w:sz w:val="28"/>
          <w:szCs w:val="28"/>
          <w:lang w:val="ro-RO" w:eastAsia="en-US"/>
        </w:rPr>
        <w:t>________201</w:t>
      </w:r>
      <w:r>
        <w:rPr>
          <w:b/>
          <w:spacing w:val="20"/>
          <w:sz w:val="28"/>
          <w:szCs w:val="28"/>
          <w:lang w:val="ro-RO" w:eastAsia="en-US"/>
        </w:rPr>
        <w:t>9</w:t>
      </w:r>
    </w:p>
    <w:p w:rsidR="00133480" w:rsidRPr="004A3D96" w:rsidRDefault="00133480" w:rsidP="00133480">
      <w:pPr>
        <w:keepNext/>
        <w:ind w:hanging="28"/>
        <w:jc w:val="center"/>
        <w:outlineLvl w:val="7"/>
        <w:rPr>
          <w:spacing w:val="20"/>
          <w:sz w:val="10"/>
          <w:szCs w:val="10"/>
          <w:lang w:val="ro-RO" w:eastAsia="en-US"/>
        </w:rPr>
      </w:pPr>
    </w:p>
    <w:p w:rsidR="00133480" w:rsidRPr="00C4534F" w:rsidRDefault="00133480" w:rsidP="00133480">
      <w:pPr>
        <w:keepNext/>
        <w:ind w:hanging="28"/>
        <w:jc w:val="center"/>
        <w:outlineLvl w:val="7"/>
        <w:rPr>
          <w:b/>
          <w:spacing w:val="20"/>
          <w:sz w:val="28"/>
          <w:szCs w:val="28"/>
          <w:lang w:val="ro-RO" w:eastAsia="en-US"/>
        </w:rPr>
      </w:pPr>
      <w:r w:rsidRPr="00C4534F">
        <w:rPr>
          <w:b/>
          <w:spacing w:val="20"/>
          <w:sz w:val="28"/>
          <w:szCs w:val="28"/>
          <w:lang w:val="ro-RO" w:eastAsia="en-US"/>
        </w:rPr>
        <w:t>or. Chişinău</w:t>
      </w:r>
    </w:p>
    <w:p w:rsidR="00133480" w:rsidRPr="004A3D96" w:rsidRDefault="00133480" w:rsidP="00133480">
      <w:pPr>
        <w:keepNext/>
        <w:ind w:hanging="28"/>
        <w:jc w:val="center"/>
        <w:outlineLvl w:val="7"/>
        <w:rPr>
          <w:spacing w:val="20"/>
          <w:sz w:val="10"/>
          <w:szCs w:val="10"/>
          <w:lang w:val="ro-RO" w:eastAsia="en-US"/>
        </w:rPr>
      </w:pPr>
    </w:p>
    <w:p w:rsidR="00133480" w:rsidRDefault="00133480" w:rsidP="00133480">
      <w:pPr>
        <w:jc w:val="center"/>
        <w:rPr>
          <w:sz w:val="28"/>
          <w:szCs w:val="28"/>
          <w:lang w:val="ro-RO"/>
        </w:rPr>
      </w:pPr>
      <w:r>
        <w:rPr>
          <w:sz w:val="28"/>
          <w:szCs w:val="28"/>
          <w:lang w:val="ro-RO"/>
        </w:rPr>
        <w:t xml:space="preserve">privind modificarea </w:t>
      </w:r>
      <w:proofErr w:type="spellStart"/>
      <w:r>
        <w:rPr>
          <w:sz w:val="28"/>
          <w:szCs w:val="28"/>
          <w:lang w:val="ro-RO"/>
        </w:rPr>
        <w:t>Hotărîrii</w:t>
      </w:r>
      <w:proofErr w:type="spellEnd"/>
      <w:r>
        <w:rPr>
          <w:sz w:val="28"/>
          <w:szCs w:val="28"/>
          <w:lang w:val="ro-RO"/>
        </w:rPr>
        <w:t xml:space="preserve"> de Guvern </w:t>
      </w:r>
      <w:r w:rsidRPr="00AD46D3">
        <w:rPr>
          <w:sz w:val="28"/>
          <w:szCs w:val="28"/>
          <w:lang w:val="ro-RO"/>
        </w:rPr>
        <w:t>nr. 574/2013</w:t>
      </w:r>
    </w:p>
    <w:p w:rsidR="00133480" w:rsidRPr="00C4534F" w:rsidRDefault="00133480" w:rsidP="00133480">
      <w:pPr>
        <w:jc w:val="center"/>
        <w:rPr>
          <w:sz w:val="28"/>
          <w:szCs w:val="28"/>
          <w:lang w:val="ro-RO"/>
        </w:rPr>
      </w:pPr>
      <w:r w:rsidRPr="007A2177">
        <w:rPr>
          <w:sz w:val="28"/>
          <w:szCs w:val="28"/>
          <w:lang w:val="ro-RO"/>
        </w:rPr>
        <w:t xml:space="preserve">„Cu </w:t>
      </w:r>
      <w:r>
        <w:rPr>
          <w:sz w:val="28"/>
          <w:szCs w:val="28"/>
          <w:lang w:val="ro-RO"/>
        </w:rPr>
        <w:t>privire la parteneriatul public–</w:t>
      </w:r>
      <w:r w:rsidRPr="007A2177">
        <w:rPr>
          <w:sz w:val="28"/>
          <w:szCs w:val="28"/>
          <w:lang w:val="ro-RO"/>
        </w:rPr>
        <w:t>privat pentru serviciile de dializă”</w:t>
      </w:r>
    </w:p>
    <w:p w:rsidR="00133480" w:rsidRPr="00C4534F" w:rsidRDefault="00133480" w:rsidP="00133480">
      <w:pPr>
        <w:keepNext/>
        <w:ind w:hanging="28"/>
        <w:jc w:val="both"/>
        <w:outlineLvl w:val="7"/>
        <w:rPr>
          <w:sz w:val="28"/>
          <w:szCs w:val="28"/>
          <w:lang w:val="ro-RO"/>
        </w:rPr>
      </w:pPr>
      <w:r w:rsidRPr="00C4534F">
        <w:rPr>
          <w:sz w:val="28"/>
          <w:szCs w:val="28"/>
          <w:lang w:val="ro-RO"/>
        </w:rPr>
        <w:t> </w:t>
      </w:r>
    </w:p>
    <w:p w:rsidR="00133480" w:rsidRPr="00D76C2D" w:rsidRDefault="00133480" w:rsidP="00133480">
      <w:pPr>
        <w:pStyle w:val="cn"/>
        <w:ind w:firstLine="567"/>
        <w:jc w:val="both"/>
        <w:rPr>
          <w:bCs/>
          <w:sz w:val="28"/>
          <w:szCs w:val="28"/>
          <w:lang w:val="ro-RO"/>
        </w:rPr>
      </w:pPr>
      <w:r w:rsidRPr="00C4534F">
        <w:rPr>
          <w:sz w:val="28"/>
          <w:szCs w:val="28"/>
          <w:lang w:val="ro-RO"/>
        </w:rPr>
        <w:t xml:space="preserve">În temeiul </w:t>
      </w:r>
      <w:r>
        <w:rPr>
          <w:sz w:val="28"/>
          <w:szCs w:val="28"/>
          <w:lang w:val="ro-RO"/>
        </w:rPr>
        <w:t xml:space="preserve">art. 11 lit. </w:t>
      </w:r>
      <w:r w:rsidRPr="001643E9">
        <w:rPr>
          <w:sz w:val="28"/>
          <w:szCs w:val="28"/>
          <w:lang w:val="ro-MO"/>
        </w:rPr>
        <w:t>a), b) și e)</w:t>
      </w:r>
      <w:r>
        <w:rPr>
          <w:sz w:val="28"/>
          <w:szCs w:val="28"/>
          <w:lang w:val="ro-RO"/>
        </w:rPr>
        <w:t xml:space="preserve"> din </w:t>
      </w:r>
      <w:hyperlink r:id="rId6" w:history="1">
        <w:r w:rsidRPr="00D76C2D">
          <w:rPr>
            <w:rStyle w:val="a5"/>
            <w:color w:val="auto"/>
            <w:sz w:val="28"/>
            <w:szCs w:val="28"/>
            <w:u w:val="none"/>
            <w:lang w:val="ro-RO"/>
          </w:rPr>
          <w:t>Leg</w:t>
        </w:r>
        <w:r>
          <w:rPr>
            <w:rStyle w:val="a5"/>
            <w:color w:val="auto"/>
            <w:sz w:val="28"/>
            <w:szCs w:val="28"/>
            <w:u w:val="none"/>
            <w:lang w:val="ro-RO"/>
          </w:rPr>
          <w:t>ea</w:t>
        </w:r>
        <w:r w:rsidRPr="00D76C2D">
          <w:rPr>
            <w:rStyle w:val="a5"/>
            <w:color w:val="auto"/>
            <w:sz w:val="28"/>
            <w:szCs w:val="28"/>
            <w:u w:val="none"/>
            <w:lang w:val="ro-RO"/>
          </w:rPr>
          <w:t xml:space="preserve"> nr.179</w:t>
        </w:r>
        <w:r>
          <w:rPr>
            <w:rStyle w:val="a5"/>
            <w:color w:val="auto"/>
            <w:sz w:val="28"/>
            <w:szCs w:val="28"/>
            <w:u w:val="none"/>
            <w:lang w:val="ro-RO"/>
          </w:rPr>
          <w:t>/</w:t>
        </w:r>
        <w:r w:rsidRPr="00D76C2D">
          <w:rPr>
            <w:rStyle w:val="a5"/>
            <w:color w:val="auto"/>
            <w:sz w:val="28"/>
            <w:szCs w:val="28"/>
            <w:u w:val="none"/>
            <w:lang w:val="ro-RO"/>
          </w:rPr>
          <w:t>2008</w:t>
        </w:r>
      </w:hyperlink>
      <w:r w:rsidRPr="00D76C2D">
        <w:rPr>
          <w:sz w:val="28"/>
          <w:szCs w:val="28"/>
          <w:lang w:val="ro-RO"/>
        </w:rPr>
        <w:t xml:space="preserve"> cu </w:t>
      </w:r>
      <w:r>
        <w:rPr>
          <w:sz w:val="28"/>
          <w:szCs w:val="28"/>
          <w:lang w:val="ro-RO"/>
        </w:rPr>
        <w:t>privire la parteneriatul public–</w:t>
      </w:r>
      <w:r w:rsidRPr="00D76C2D">
        <w:rPr>
          <w:sz w:val="28"/>
          <w:szCs w:val="28"/>
          <w:lang w:val="ro-RO"/>
        </w:rPr>
        <w:t>privat (Monitorul Oficial al R</w:t>
      </w:r>
      <w:r>
        <w:rPr>
          <w:sz w:val="28"/>
          <w:szCs w:val="28"/>
          <w:lang w:val="ro-RO"/>
        </w:rPr>
        <w:t>epublicii Moldova, 2008, nr. 165–</w:t>
      </w:r>
      <w:r w:rsidRPr="00D76C2D">
        <w:rPr>
          <w:sz w:val="28"/>
          <w:szCs w:val="28"/>
          <w:lang w:val="ro-RO"/>
        </w:rPr>
        <w:t>166, art.</w:t>
      </w:r>
      <w:r w:rsidR="003F72DC">
        <w:rPr>
          <w:sz w:val="28"/>
          <w:szCs w:val="28"/>
          <w:lang w:val="ro-RO"/>
        </w:rPr>
        <w:t xml:space="preserve"> </w:t>
      </w:r>
      <w:r w:rsidRPr="00D76C2D">
        <w:rPr>
          <w:sz w:val="28"/>
          <w:szCs w:val="28"/>
          <w:lang w:val="ro-RO"/>
        </w:rPr>
        <w:t>605), cu modificările ulterioare</w:t>
      </w:r>
      <w:r w:rsidRPr="00951DF3">
        <w:rPr>
          <w:sz w:val="28"/>
          <w:szCs w:val="28"/>
          <w:lang w:val="ro-RO"/>
        </w:rPr>
        <w:t>, Legii ocrotirii sănătății nr.</w:t>
      </w:r>
      <w:r>
        <w:rPr>
          <w:sz w:val="28"/>
          <w:szCs w:val="28"/>
          <w:lang w:val="ro-RO"/>
        </w:rPr>
        <w:t xml:space="preserve"> </w:t>
      </w:r>
      <w:r w:rsidRPr="00951DF3">
        <w:rPr>
          <w:sz w:val="28"/>
          <w:szCs w:val="28"/>
          <w:lang w:val="ro-RO"/>
        </w:rPr>
        <w:t>411</w:t>
      </w:r>
      <w:r>
        <w:rPr>
          <w:sz w:val="28"/>
          <w:szCs w:val="28"/>
          <w:lang w:val="ro-RO"/>
        </w:rPr>
        <w:t>/</w:t>
      </w:r>
      <w:r w:rsidRPr="00951DF3">
        <w:rPr>
          <w:sz w:val="28"/>
          <w:szCs w:val="28"/>
          <w:lang w:val="ro-RO"/>
        </w:rPr>
        <w:t>1995 (Monitorul Oficial al Republicii Moldova, 1995, nr.</w:t>
      </w:r>
      <w:r>
        <w:rPr>
          <w:sz w:val="28"/>
          <w:szCs w:val="28"/>
          <w:lang w:val="ro-RO"/>
        </w:rPr>
        <w:t xml:space="preserve"> </w:t>
      </w:r>
      <w:r w:rsidRPr="00951DF3">
        <w:rPr>
          <w:sz w:val="28"/>
          <w:szCs w:val="28"/>
          <w:lang w:val="ro-RO"/>
        </w:rPr>
        <w:t>34, art.</w:t>
      </w:r>
      <w:r w:rsidR="003F72DC">
        <w:rPr>
          <w:sz w:val="28"/>
          <w:szCs w:val="28"/>
          <w:lang w:val="ro-RO"/>
        </w:rPr>
        <w:t xml:space="preserve"> </w:t>
      </w:r>
      <w:r w:rsidRPr="00951DF3">
        <w:rPr>
          <w:sz w:val="28"/>
          <w:szCs w:val="28"/>
          <w:lang w:val="ro-RO"/>
        </w:rPr>
        <w:t>373), cu modificările și completările ulterioare</w:t>
      </w:r>
      <w:r>
        <w:rPr>
          <w:sz w:val="28"/>
          <w:szCs w:val="28"/>
          <w:lang w:val="ro-RO"/>
        </w:rPr>
        <w:t>, precum și</w:t>
      </w:r>
      <w:r w:rsidRPr="00D76C2D">
        <w:rPr>
          <w:sz w:val="28"/>
          <w:szCs w:val="28"/>
          <w:lang w:val="ro-RO"/>
        </w:rPr>
        <w:t xml:space="preserve"> în scopul asigurării imple</w:t>
      </w:r>
      <w:r>
        <w:rPr>
          <w:sz w:val="28"/>
          <w:szCs w:val="28"/>
          <w:lang w:val="ro-RO"/>
        </w:rPr>
        <w:t>mentării proiectelor de parteneriat public–</w:t>
      </w:r>
      <w:r w:rsidRPr="00D76C2D">
        <w:rPr>
          <w:sz w:val="28"/>
          <w:szCs w:val="28"/>
          <w:lang w:val="ro-RO"/>
        </w:rPr>
        <w:t>private în domeniul sănătății, Guvernul</w:t>
      </w:r>
    </w:p>
    <w:p w:rsidR="00133480" w:rsidRDefault="00133480" w:rsidP="00133480">
      <w:pPr>
        <w:pStyle w:val="cb"/>
        <w:jc w:val="both"/>
        <w:rPr>
          <w:b w:val="0"/>
          <w:sz w:val="28"/>
          <w:szCs w:val="28"/>
          <w:lang w:val="ro-RO"/>
        </w:rPr>
      </w:pPr>
      <w:r>
        <w:rPr>
          <w:b w:val="0"/>
          <w:sz w:val="28"/>
          <w:szCs w:val="28"/>
          <w:lang w:val="ro-RO"/>
        </w:rPr>
        <w:t xml:space="preserve"> </w:t>
      </w:r>
    </w:p>
    <w:p w:rsidR="00133480" w:rsidRPr="00AD46D3" w:rsidRDefault="00133480" w:rsidP="00133480">
      <w:pPr>
        <w:pStyle w:val="cb"/>
        <w:rPr>
          <w:sz w:val="28"/>
          <w:szCs w:val="28"/>
          <w:lang w:val="ro-RO"/>
        </w:rPr>
      </w:pPr>
      <w:r w:rsidRPr="00AD46D3">
        <w:rPr>
          <w:sz w:val="28"/>
          <w:szCs w:val="28"/>
          <w:lang w:val="ro-RO"/>
        </w:rPr>
        <w:t>HOTĂRĂŞTE:</w:t>
      </w:r>
    </w:p>
    <w:p w:rsidR="00133480" w:rsidRDefault="00133480" w:rsidP="00133480">
      <w:pPr>
        <w:pStyle w:val="cb"/>
        <w:numPr>
          <w:ilvl w:val="0"/>
          <w:numId w:val="1"/>
        </w:numPr>
        <w:tabs>
          <w:tab w:val="left" w:pos="567"/>
          <w:tab w:val="left" w:pos="851"/>
        </w:tabs>
        <w:ind w:left="0" w:firstLine="425"/>
        <w:contextualSpacing/>
        <w:jc w:val="both"/>
        <w:rPr>
          <w:b w:val="0"/>
          <w:sz w:val="28"/>
          <w:szCs w:val="28"/>
          <w:lang w:val="ro-RO"/>
        </w:rPr>
      </w:pPr>
      <w:r w:rsidRPr="0038247A">
        <w:rPr>
          <w:b w:val="0"/>
          <w:sz w:val="28"/>
          <w:szCs w:val="28"/>
          <w:lang w:val="ro-RO"/>
        </w:rPr>
        <w:t>Hotărârea</w:t>
      </w:r>
      <w:r>
        <w:rPr>
          <w:b w:val="0"/>
          <w:sz w:val="28"/>
          <w:szCs w:val="28"/>
          <w:lang w:val="ro-RO"/>
        </w:rPr>
        <w:t xml:space="preserve"> Guvernului nr. 574/</w:t>
      </w:r>
      <w:r w:rsidRPr="0038247A">
        <w:rPr>
          <w:b w:val="0"/>
          <w:sz w:val="28"/>
          <w:szCs w:val="28"/>
          <w:lang w:val="ro-RO"/>
        </w:rPr>
        <w:t xml:space="preserve">2013 </w:t>
      </w:r>
      <w:r>
        <w:rPr>
          <w:b w:val="0"/>
          <w:sz w:val="28"/>
          <w:szCs w:val="28"/>
          <w:lang w:val="ro-RO"/>
        </w:rPr>
        <w:t>„C</w:t>
      </w:r>
      <w:r w:rsidRPr="0038247A">
        <w:rPr>
          <w:b w:val="0"/>
          <w:sz w:val="28"/>
          <w:szCs w:val="28"/>
          <w:lang w:val="ro-RO"/>
        </w:rPr>
        <w:t xml:space="preserve">u </w:t>
      </w:r>
      <w:r>
        <w:rPr>
          <w:b w:val="0"/>
          <w:sz w:val="28"/>
          <w:szCs w:val="28"/>
          <w:lang w:val="ro-RO"/>
        </w:rPr>
        <w:t>privire la parteneriatul public–</w:t>
      </w:r>
      <w:r w:rsidRPr="0038247A">
        <w:rPr>
          <w:b w:val="0"/>
          <w:sz w:val="28"/>
          <w:szCs w:val="28"/>
          <w:lang w:val="ro-RO"/>
        </w:rPr>
        <w:t>privat pentru serviciile</w:t>
      </w:r>
      <w:r>
        <w:rPr>
          <w:b w:val="0"/>
          <w:sz w:val="28"/>
          <w:szCs w:val="28"/>
          <w:lang w:val="ro-RO"/>
        </w:rPr>
        <w:t xml:space="preserve"> de dializă” </w:t>
      </w:r>
      <w:r w:rsidRPr="0038247A">
        <w:rPr>
          <w:b w:val="0"/>
          <w:sz w:val="28"/>
          <w:szCs w:val="28"/>
          <w:lang w:val="ro-RO"/>
        </w:rPr>
        <w:t>(Monitorul Oficial al Republicii Moldova, 20</w:t>
      </w:r>
      <w:r>
        <w:rPr>
          <w:b w:val="0"/>
          <w:sz w:val="28"/>
          <w:szCs w:val="28"/>
          <w:lang w:val="ro-RO"/>
        </w:rPr>
        <w:t>13</w:t>
      </w:r>
      <w:r w:rsidRPr="0038247A">
        <w:rPr>
          <w:b w:val="0"/>
          <w:sz w:val="28"/>
          <w:szCs w:val="28"/>
          <w:lang w:val="ro-RO"/>
        </w:rPr>
        <w:t>, nr.1</w:t>
      </w:r>
      <w:r>
        <w:rPr>
          <w:b w:val="0"/>
          <w:sz w:val="28"/>
          <w:szCs w:val="28"/>
          <w:lang w:val="ro-RO"/>
        </w:rPr>
        <w:t>77-181</w:t>
      </w:r>
      <w:r w:rsidRPr="0038247A">
        <w:rPr>
          <w:b w:val="0"/>
          <w:sz w:val="28"/>
          <w:szCs w:val="28"/>
          <w:lang w:val="ro-RO"/>
        </w:rPr>
        <w:t xml:space="preserve">, </w:t>
      </w:r>
      <w:r w:rsidRPr="00B641A8">
        <w:rPr>
          <w:b w:val="0"/>
          <w:sz w:val="28"/>
          <w:szCs w:val="28"/>
          <w:lang w:val="ro-RO"/>
        </w:rPr>
        <w:t>art.682</w:t>
      </w:r>
      <w:r w:rsidRPr="0038247A">
        <w:rPr>
          <w:b w:val="0"/>
          <w:sz w:val="28"/>
          <w:szCs w:val="28"/>
          <w:lang w:val="ro-RO"/>
        </w:rPr>
        <w:t xml:space="preserve">), </w:t>
      </w:r>
      <w:r>
        <w:rPr>
          <w:b w:val="0"/>
          <w:sz w:val="28"/>
          <w:szCs w:val="28"/>
          <w:lang w:val="ro-RO"/>
        </w:rPr>
        <w:t xml:space="preserve">cu modificările ulterioare, </w:t>
      </w:r>
      <w:r w:rsidRPr="0038247A">
        <w:rPr>
          <w:b w:val="0"/>
          <w:sz w:val="28"/>
          <w:szCs w:val="28"/>
          <w:lang w:val="ro-RO"/>
        </w:rPr>
        <w:t>se modifică după cum urmează:</w:t>
      </w:r>
    </w:p>
    <w:p w:rsidR="00133480" w:rsidRPr="00AD46D3" w:rsidRDefault="00133480" w:rsidP="00133480">
      <w:pPr>
        <w:pStyle w:val="cb"/>
        <w:tabs>
          <w:tab w:val="left" w:pos="0"/>
        </w:tabs>
        <w:ind w:firstLine="426"/>
        <w:contextualSpacing/>
        <w:jc w:val="both"/>
        <w:rPr>
          <w:b w:val="0"/>
          <w:sz w:val="28"/>
          <w:szCs w:val="28"/>
          <w:lang w:val="ro-RO"/>
        </w:rPr>
      </w:pPr>
      <w:r>
        <w:rPr>
          <w:b w:val="0"/>
          <w:sz w:val="28"/>
          <w:szCs w:val="28"/>
          <w:lang w:val="ro-RO"/>
        </w:rPr>
        <w:t xml:space="preserve">1) </w:t>
      </w:r>
      <w:r w:rsidRPr="00AD46D3">
        <w:rPr>
          <w:b w:val="0"/>
          <w:sz w:val="28"/>
          <w:szCs w:val="28"/>
          <w:lang w:val="ro-RO"/>
        </w:rPr>
        <w:t>În punctul 3, cuvintele:</w:t>
      </w:r>
      <w:r>
        <w:rPr>
          <w:b w:val="0"/>
          <w:sz w:val="28"/>
          <w:szCs w:val="28"/>
          <w:lang w:val="ro-RO"/>
        </w:rPr>
        <w:t xml:space="preserve"> „</w:t>
      </w:r>
      <w:r w:rsidRPr="00AD46D3">
        <w:rPr>
          <w:b w:val="0"/>
          <w:sz w:val="28"/>
          <w:szCs w:val="28"/>
          <w:lang w:val="ro-RO"/>
        </w:rPr>
        <w:t xml:space="preserve">Guvernul nu va iniția alte proiecte de parteneriat privat în domeniul serviciilor de dializă.” </w:t>
      </w:r>
      <w:r>
        <w:rPr>
          <w:b w:val="0"/>
          <w:sz w:val="28"/>
          <w:szCs w:val="28"/>
          <w:lang w:val="ro-RO"/>
        </w:rPr>
        <w:t>s</w:t>
      </w:r>
      <w:r w:rsidRPr="00AD46D3">
        <w:rPr>
          <w:b w:val="0"/>
          <w:sz w:val="28"/>
          <w:szCs w:val="28"/>
          <w:lang w:val="ro-RO"/>
        </w:rPr>
        <w:t>e exclud.</w:t>
      </w:r>
    </w:p>
    <w:p w:rsidR="00B21374" w:rsidRDefault="00133480" w:rsidP="00B21374">
      <w:pPr>
        <w:pStyle w:val="a3"/>
        <w:ind w:firstLine="426"/>
        <w:rPr>
          <w:sz w:val="28"/>
          <w:szCs w:val="28"/>
          <w:lang w:val="ro-RO"/>
        </w:rPr>
      </w:pPr>
      <w:r>
        <w:rPr>
          <w:sz w:val="28"/>
          <w:szCs w:val="28"/>
          <w:lang w:val="ro-RO"/>
        </w:rPr>
        <w:t xml:space="preserve">2) </w:t>
      </w:r>
      <w:r w:rsidR="00B21374">
        <w:rPr>
          <w:sz w:val="28"/>
          <w:szCs w:val="28"/>
          <w:lang w:val="ro-RO"/>
        </w:rPr>
        <w:t>Obiectivele și condițiile parteneriatului public–privat pentru serviciile de dializă, precum și cerințele generale privind selectarea partenerului privat, aprobate prin Hotărârea Guvernului nr. 574/2013 cu privire la parteneriatul public-privat pentru serviciile de dializă, se modifică după cum urmează:</w:t>
      </w:r>
    </w:p>
    <w:p w:rsidR="00B21374" w:rsidRDefault="00B21374" w:rsidP="00DF1F57">
      <w:pPr>
        <w:pStyle w:val="a3"/>
        <w:ind w:firstLine="426"/>
        <w:rPr>
          <w:sz w:val="28"/>
          <w:szCs w:val="28"/>
          <w:lang w:val="ro-RO"/>
        </w:rPr>
      </w:pPr>
      <w:r>
        <w:rPr>
          <w:sz w:val="28"/>
          <w:szCs w:val="28"/>
          <w:lang w:val="ro-RO"/>
        </w:rPr>
        <w:t xml:space="preserve">a) </w:t>
      </w:r>
      <w:r w:rsidR="00DF1F57">
        <w:rPr>
          <w:sz w:val="28"/>
          <w:szCs w:val="28"/>
          <w:lang w:val="ro-RO"/>
        </w:rPr>
        <w:t>la punctul 11 din o</w:t>
      </w:r>
      <w:r w:rsidR="00133480" w:rsidRPr="00BE2989">
        <w:rPr>
          <w:sz w:val="28"/>
          <w:szCs w:val="28"/>
          <w:lang w:val="ro-RO"/>
        </w:rPr>
        <w:t>biectivele și co</w:t>
      </w:r>
      <w:r w:rsidR="00133480">
        <w:rPr>
          <w:sz w:val="28"/>
          <w:szCs w:val="28"/>
          <w:lang w:val="ro-RO"/>
        </w:rPr>
        <w:t>ndițiile parteneriatului public–</w:t>
      </w:r>
      <w:r w:rsidR="00133480" w:rsidRPr="00BE2989">
        <w:rPr>
          <w:sz w:val="28"/>
          <w:szCs w:val="28"/>
          <w:lang w:val="ro-RO"/>
        </w:rPr>
        <w:t>privat pentru serviciile de dializă, precum și cerințele generale privind selectarea partenerului</w:t>
      </w:r>
      <w:r w:rsidR="00133480">
        <w:rPr>
          <w:sz w:val="28"/>
          <w:szCs w:val="28"/>
          <w:lang w:val="ro-RO"/>
        </w:rPr>
        <w:t xml:space="preserve"> privat, aprobate prin Hotărârea Guvernului nr. 574/2013 cu privire la parteneriatul public-priva</w:t>
      </w:r>
      <w:r w:rsidR="00DF1F57">
        <w:rPr>
          <w:sz w:val="28"/>
          <w:szCs w:val="28"/>
          <w:lang w:val="ro-RO"/>
        </w:rPr>
        <w:t>t pentru serviciile de dializă</w:t>
      </w:r>
      <w:r w:rsidR="00133480">
        <w:rPr>
          <w:sz w:val="28"/>
          <w:szCs w:val="28"/>
          <w:lang w:val="ro-RO"/>
        </w:rPr>
        <w:t xml:space="preserve">, cuvintele </w:t>
      </w:r>
      <w:r w:rsidR="00133480" w:rsidRPr="00C45DDC">
        <w:rPr>
          <w:sz w:val="28"/>
          <w:szCs w:val="28"/>
          <w:lang w:val="ro-RO"/>
        </w:rPr>
        <w:t xml:space="preserve">„de </w:t>
      </w:r>
      <w:proofErr w:type="spellStart"/>
      <w:r w:rsidR="00133480" w:rsidRPr="00C45DDC">
        <w:rPr>
          <w:sz w:val="28"/>
          <w:szCs w:val="28"/>
          <w:lang w:val="ro-RO"/>
        </w:rPr>
        <w:t>pînă</w:t>
      </w:r>
      <w:proofErr w:type="spellEnd"/>
      <w:r w:rsidR="00133480" w:rsidRPr="00C45DDC">
        <w:rPr>
          <w:sz w:val="28"/>
          <w:szCs w:val="28"/>
          <w:lang w:val="ro-RO"/>
        </w:rPr>
        <w:t xml:space="preserve"> la 25 de ani.”</w:t>
      </w:r>
      <w:r w:rsidR="00133480">
        <w:rPr>
          <w:sz w:val="28"/>
          <w:szCs w:val="28"/>
          <w:lang w:val="ro-RO"/>
        </w:rPr>
        <w:t xml:space="preserve"> se substituie cu cuvintele </w:t>
      </w:r>
      <w:r w:rsidR="00133480" w:rsidRPr="00C45DDC">
        <w:rPr>
          <w:sz w:val="28"/>
          <w:szCs w:val="28"/>
          <w:lang w:val="ro-RO"/>
        </w:rPr>
        <w:t>„</w:t>
      </w:r>
      <w:proofErr w:type="spellStart"/>
      <w:r w:rsidR="00133480" w:rsidRPr="00C45DDC">
        <w:rPr>
          <w:sz w:val="28"/>
          <w:szCs w:val="28"/>
          <w:lang w:val="ro-RO"/>
        </w:rPr>
        <w:t>pînă</w:t>
      </w:r>
      <w:proofErr w:type="spellEnd"/>
      <w:r w:rsidR="00133480" w:rsidRPr="00C45DDC">
        <w:rPr>
          <w:sz w:val="28"/>
          <w:szCs w:val="28"/>
          <w:lang w:val="ro-RO"/>
        </w:rPr>
        <w:t xml:space="preserve"> la </w:t>
      </w:r>
      <w:r w:rsidR="00133480">
        <w:rPr>
          <w:sz w:val="28"/>
          <w:szCs w:val="28"/>
          <w:lang w:val="ro-RO"/>
        </w:rPr>
        <w:t xml:space="preserve">12 </w:t>
      </w:r>
      <w:r w:rsidR="00133480" w:rsidRPr="00C45DDC">
        <w:rPr>
          <w:sz w:val="28"/>
          <w:szCs w:val="28"/>
          <w:lang w:val="ro-RO"/>
        </w:rPr>
        <w:t>ani.”;</w:t>
      </w:r>
    </w:p>
    <w:p w:rsidR="00133480" w:rsidRPr="00C45DDC" w:rsidRDefault="00B21374" w:rsidP="00DF1F57">
      <w:pPr>
        <w:pStyle w:val="a3"/>
        <w:ind w:firstLine="426"/>
        <w:rPr>
          <w:sz w:val="28"/>
          <w:szCs w:val="28"/>
          <w:lang w:val="ro-RO"/>
        </w:rPr>
      </w:pPr>
      <w:r>
        <w:rPr>
          <w:sz w:val="28"/>
          <w:szCs w:val="28"/>
          <w:lang w:val="ro-RO"/>
        </w:rPr>
        <w:t>b) în punctul 14, se exclude fraza: „Compania Națională de Asigurări în Medicină va asigura că serviciile de dializă în ambulatoriu pentru pacienții admiși în sistemul de stat de asigurări medicale vor fi achitate doar în cadrul acestui proiect de parteneriat public–privat.”;</w:t>
      </w:r>
      <w:r w:rsidR="00133480" w:rsidRPr="00C45DDC">
        <w:rPr>
          <w:sz w:val="28"/>
          <w:szCs w:val="28"/>
          <w:lang w:val="ro-RO"/>
        </w:rPr>
        <w:t xml:space="preserve"> </w:t>
      </w:r>
    </w:p>
    <w:p w:rsidR="00133480" w:rsidRDefault="00133480" w:rsidP="004A3D96">
      <w:pPr>
        <w:pStyle w:val="a3"/>
        <w:ind w:firstLine="0"/>
        <w:rPr>
          <w:sz w:val="28"/>
          <w:szCs w:val="28"/>
          <w:lang w:val="ro-RO"/>
        </w:rPr>
      </w:pPr>
    </w:p>
    <w:p w:rsidR="00133480" w:rsidRDefault="00133480" w:rsidP="004A3D96">
      <w:pPr>
        <w:pStyle w:val="a3"/>
        <w:ind w:firstLine="426"/>
        <w:rPr>
          <w:sz w:val="28"/>
          <w:szCs w:val="28"/>
          <w:lang w:val="ro-RO"/>
        </w:rPr>
      </w:pPr>
      <w:r w:rsidRPr="004A3D96">
        <w:rPr>
          <w:b/>
          <w:sz w:val="28"/>
          <w:szCs w:val="28"/>
          <w:lang w:val="ro-RO"/>
        </w:rPr>
        <w:t>2.</w:t>
      </w:r>
      <w:r>
        <w:rPr>
          <w:sz w:val="28"/>
          <w:szCs w:val="28"/>
          <w:lang w:val="ro-RO"/>
        </w:rPr>
        <w:t xml:space="preserve"> Prezenta Hotărâre intră în vigoare la data publicării.</w:t>
      </w:r>
    </w:p>
    <w:p w:rsidR="00133480" w:rsidRPr="00C4534F" w:rsidRDefault="00133480" w:rsidP="00133480">
      <w:pPr>
        <w:pStyle w:val="a3"/>
        <w:rPr>
          <w:sz w:val="28"/>
          <w:szCs w:val="28"/>
          <w:lang w:val="ro-RO"/>
        </w:rPr>
      </w:pPr>
    </w:p>
    <w:tbl>
      <w:tblPr>
        <w:tblW w:w="4827" w:type="pct"/>
        <w:tblInd w:w="567" w:type="dxa"/>
        <w:tblCellMar>
          <w:top w:w="15" w:type="dxa"/>
          <w:left w:w="15" w:type="dxa"/>
          <w:bottom w:w="15" w:type="dxa"/>
          <w:right w:w="15" w:type="dxa"/>
        </w:tblCellMar>
        <w:tblLook w:val="04A0" w:firstRow="1" w:lastRow="0" w:firstColumn="1" w:lastColumn="0" w:noHBand="0" w:noVBand="1"/>
      </w:tblPr>
      <w:tblGrid>
        <w:gridCol w:w="6397"/>
        <w:gridCol w:w="2720"/>
      </w:tblGrid>
      <w:tr w:rsidR="00133480" w:rsidRPr="00C4534F" w:rsidTr="008639EB">
        <w:trPr>
          <w:trHeight w:val="123"/>
        </w:trPr>
        <w:tc>
          <w:tcPr>
            <w:tcW w:w="0" w:type="auto"/>
            <w:tcBorders>
              <w:top w:val="nil"/>
              <w:left w:val="nil"/>
              <w:bottom w:val="nil"/>
              <w:right w:val="nil"/>
            </w:tcBorders>
            <w:tcMar>
              <w:top w:w="15" w:type="dxa"/>
              <w:left w:w="45" w:type="dxa"/>
              <w:bottom w:w="15" w:type="dxa"/>
              <w:right w:w="45" w:type="dxa"/>
            </w:tcMar>
            <w:hideMark/>
          </w:tcPr>
          <w:p w:rsidR="00133480" w:rsidRPr="00C4534F" w:rsidRDefault="00133480" w:rsidP="008639EB">
            <w:pPr>
              <w:jc w:val="both"/>
              <w:rPr>
                <w:bCs/>
                <w:sz w:val="28"/>
                <w:szCs w:val="28"/>
                <w:lang w:val="ro-RO"/>
              </w:rPr>
            </w:pPr>
            <w:r w:rsidRPr="00C4534F">
              <w:rPr>
                <w:bCs/>
                <w:sz w:val="28"/>
                <w:szCs w:val="28"/>
                <w:lang w:val="ro-RO"/>
              </w:rPr>
              <w:t>P</w:t>
            </w:r>
            <w:r>
              <w:rPr>
                <w:bCs/>
                <w:sz w:val="28"/>
                <w:szCs w:val="28"/>
                <w:lang w:val="ro-RO"/>
              </w:rPr>
              <w:t>rim–</w:t>
            </w:r>
            <w:r w:rsidRPr="00C4534F">
              <w:rPr>
                <w:bCs/>
                <w:sz w:val="28"/>
                <w:szCs w:val="28"/>
                <w:lang w:val="ro-RO"/>
              </w:rPr>
              <w:t>M</w:t>
            </w:r>
            <w:r>
              <w:rPr>
                <w:bCs/>
                <w:sz w:val="28"/>
                <w:szCs w:val="28"/>
                <w:lang w:val="ro-RO"/>
              </w:rPr>
              <w:t>inistru</w:t>
            </w:r>
            <w:r w:rsidRPr="00C4534F">
              <w:rPr>
                <w:bCs/>
                <w:sz w:val="28"/>
                <w:szCs w:val="28"/>
                <w:lang w:val="ro-RO"/>
              </w:rPr>
              <w:t xml:space="preserve"> </w:t>
            </w:r>
          </w:p>
        </w:tc>
        <w:tc>
          <w:tcPr>
            <w:tcW w:w="0" w:type="auto"/>
            <w:tcBorders>
              <w:top w:val="nil"/>
              <w:left w:val="nil"/>
              <w:bottom w:val="nil"/>
              <w:right w:val="nil"/>
            </w:tcBorders>
            <w:tcMar>
              <w:top w:w="15" w:type="dxa"/>
              <w:left w:w="45" w:type="dxa"/>
              <w:bottom w:w="15" w:type="dxa"/>
              <w:right w:w="45" w:type="dxa"/>
            </w:tcMar>
            <w:hideMark/>
          </w:tcPr>
          <w:p w:rsidR="00133480" w:rsidRPr="00C4534F" w:rsidRDefault="00133480" w:rsidP="008639EB">
            <w:pPr>
              <w:jc w:val="both"/>
              <w:rPr>
                <w:bCs/>
                <w:sz w:val="28"/>
                <w:szCs w:val="28"/>
                <w:lang w:val="ro-RO"/>
              </w:rPr>
            </w:pPr>
            <w:r>
              <w:rPr>
                <w:bCs/>
                <w:sz w:val="28"/>
                <w:szCs w:val="28"/>
                <w:lang w:val="ro-RO"/>
              </w:rPr>
              <w:t>Maia SANDU</w:t>
            </w:r>
          </w:p>
        </w:tc>
      </w:tr>
      <w:tr w:rsidR="00133480" w:rsidRPr="00C4534F" w:rsidTr="008639EB">
        <w:trPr>
          <w:trHeight w:val="240"/>
        </w:trPr>
        <w:tc>
          <w:tcPr>
            <w:tcW w:w="0" w:type="auto"/>
            <w:tcBorders>
              <w:top w:val="nil"/>
              <w:left w:val="nil"/>
              <w:bottom w:val="nil"/>
              <w:right w:val="nil"/>
            </w:tcBorders>
            <w:tcMar>
              <w:top w:w="15" w:type="dxa"/>
              <w:left w:w="45" w:type="dxa"/>
              <w:bottom w:w="15" w:type="dxa"/>
              <w:right w:w="45" w:type="dxa"/>
            </w:tcMar>
            <w:hideMark/>
          </w:tcPr>
          <w:p w:rsidR="00133480" w:rsidRDefault="00133480" w:rsidP="008639EB">
            <w:pPr>
              <w:jc w:val="both"/>
              <w:rPr>
                <w:bCs/>
                <w:sz w:val="28"/>
                <w:szCs w:val="28"/>
                <w:lang w:val="ro-RO"/>
              </w:rPr>
            </w:pPr>
            <w:r w:rsidRPr="00C4534F">
              <w:rPr>
                <w:bCs/>
                <w:sz w:val="28"/>
                <w:szCs w:val="28"/>
                <w:lang w:val="ro-RO"/>
              </w:rPr>
              <w:br/>
              <w:t>Contrasemnează:</w:t>
            </w:r>
          </w:p>
          <w:p w:rsidR="00133480" w:rsidRPr="004A3D96" w:rsidRDefault="00133480" w:rsidP="008639EB">
            <w:pPr>
              <w:jc w:val="both"/>
              <w:rPr>
                <w:bCs/>
                <w:sz w:val="10"/>
                <w:szCs w:val="10"/>
                <w:lang w:val="ro-RO"/>
              </w:rPr>
            </w:pPr>
          </w:p>
        </w:tc>
        <w:tc>
          <w:tcPr>
            <w:tcW w:w="0" w:type="auto"/>
            <w:vAlign w:val="center"/>
            <w:hideMark/>
          </w:tcPr>
          <w:p w:rsidR="00133480" w:rsidRPr="00C4534F" w:rsidRDefault="00133480" w:rsidP="008639EB">
            <w:pPr>
              <w:jc w:val="both"/>
              <w:rPr>
                <w:sz w:val="28"/>
                <w:szCs w:val="28"/>
                <w:lang w:val="ro-RO"/>
              </w:rPr>
            </w:pPr>
          </w:p>
        </w:tc>
      </w:tr>
      <w:tr w:rsidR="00133480" w:rsidRPr="00C4534F" w:rsidTr="008639EB">
        <w:trPr>
          <w:trHeight w:val="117"/>
        </w:trPr>
        <w:tc>
          <w:tcPr>
            <w:tcW w:w="0" w:type="auto"/>
            <w:tcBorders>
              <w:top w:val="nil"/>
              <w:left w:val="nil"/>
              <w:bottom w:val="nil"/>
              <w:right w:val="nil"/>
            </w:tcBorders>
            <w:tcMar>
              <w:top w:w="15" w:type="dxa"/>
              <w:left w:w="45" w:type="dxa"/>
              <w:bottom w:w="15" w:type="dxa"/>
              <w:right w:w="45" w:type="dxa"/>
            </w:tcMar>
            <w:hideMark/>
          </w:tcPr>
          <w:p w:rsidR="00133480" w:rsidRDefault="00133480" w:rsidP="008639EB">
            <w:pPr>
              <w:jc w:val="both"/>
              <w:rPr>
                <w:bCs/>
                <w:sz w:val="28"/>
                <w:szCs w:val="28"/>
                <w:lang w:val="ro-RO"/>
              </w:rPr>
            </w:pPr>
            <w:r>
              <w:rPr>
                <w:bCs/>
                <w:sz w:val="28"/>
                <w:szCs w:val="28"/>
                <w:lang w:val="ro-RO"/>
              </w:rPr>
              <w:t>Ministrul Economiei și I</w:t>
            </w:r>
            <w:r w:rsidRPr="00C4534F">
              <w:rPr>
                <w:bCs/>
                <w:sz w:val="28"/>
                <w:szCs w:val="28"/>
                <w:lang w:val="ro-RO"/>
              </w:rPr>
              <w:t>nfrastructurii</w:t>
            </w:r>
          </w:p>
          <w:p w:rsidR="00133480" w:rsidRDefault="00133480" w:rsidP="008639EB">
            <w:pPr>
              <w:jc w:val="both"/>
              <w:rPr>
                <w:bCs/>
                <w:sz w:val="28"/>
                <w:szCs w:val="28"/>
                <w:lang w:val="ro-RO"/>
              </w:rPr>
            </w:pPr>
          </w:p>
          <w:p w:rsidR="00133480" w:rsidRPr="00C4534F" w:rsidRDefault="00133480" w:rsidP="008639EB">
            <w:pPr>
              <w:jc w:val="both"/>
              <w:rPr>
                <w:bCs/>
                <w:sz w:val="28"/>
                <w:szCs w:val="28"/>
                <w:lang w:val="ro-RO"/>
              </w:rPr>
            </w:pPr>
            <w:r w:rsidRPr="00660907">
              <w:rPr>
                <w:bCs/>
                <w:sz w:val="28"/>
                <w:szCs w:val="28"/>
                <w:lang w:val="ro-RO"/>
              </w:rPr>
              <w:t>M</w:t>
            </w:r>
            <w:r>
              <w:rPr>
                <w:bCs/>
                <w:sz w:val="28"/>
                <w:szCs w:val="28"/>
                <w:lang w:val="ro-RO"/>
              </w:rPr>
              <w:t>inistrul</w:t>
            </w:r>
            <w:r w:rsidRPr="00660907">
              <w:rPr>
                <w:bCs/>
                <w:sz w:val="28"/>
                <w:szCs w:val="28"/>
                <w:lang w:val="ro-RO"/>
              </w:rPr>
              <w:t xml:space="preserve"> Sănătății, Muncii și Protecției Sociale</w:t>
            </w:r>
          </w:p>
        </w:tc>
        <w:tc>
          <w:tcPr>
            <w:tcW w:w="0" w:type="auto"/>
            <w:tcBorders>
              <w:top w:val="nil"/>
              <w:left w:val="nil"/>
              <w:bottom w:val="nil"/>
              <w:right w:val="nil"/>
            </w:tcBorders>
            <w:tcMar>
              <w:top w:w="15" w:type="dxa"/>
              <w:left w:w="45" w:type="dxa"/>
              <w:bottom w:w="15" w:type="dxa"/>
              <w:right w:w="45" w:type="dxa"/>
            </w:tcMar>
            <w:hideMark/>
          </w:tcPr>
          <w:p w:rsidR="00133480" w:rsidRDefault="00133480" w:rsidP="008639EB">
            <w:pPr>
              <w:jc w:val="both"/>
              <w:rPr>
                <w:bCs/>
                <w:sz w:val="28"/>
                <w:szCs w:val="28"/>
                <w:lang w:val="ro-RO"/>
              </w:rPr>
            </w:pPr>
            <w:r>
              <w:rPr>
                <w:bCs/>
                <w:sz w:val="28"/>
                <w:szCs w:val="28"/>
                <w:lang w:val="ro-RO"/>
              </w:rPr>
              <w:t>Vadim BRÎNZAN</w:t>
            </w:r>
          </w:p>
          <w:p w:rsidR="00133480" w:rsidRDefault="00133480" w:rsidP="008639EB">
            <w:pPr>
              <w:jc w:val="both"/>
              <w:rPr>
                <w:bCs/>
                <w:sz w:val="28"/>
                <w:szCs w:val="28"/>
                <w:lang w:val="ro-RO"/>
              </w:rPr>
            </w:pPr>
          </w:p>
          <w:p w:rsidR="00133480" w:rsidRPr="00C4534F" w:rsidRDefault="00133480" w:rsidP="008639EB">
            <w:pPr>
              <w:jc w:val="both"/>
              <w:rPr>
                <w:bCs/>
                <w:sz w:val="28"/>
                <w:szCs w:val="28"/>
                <w:lang w:val="ro-RO"/>
              </w:rPr>
            </w:pPr>
            <w:r>
              <w:rPr>
                <w:bCs/>
                <w:sz w:val="28"/>
                <w:szCs w:val="28"/>
                <w:lang w:val="ro-RO"/>
              </w:rPr>
              <w:t>Ala NEMERENCO</w:t>
            </w:r>
          </w:p>
        </w:tc>
      </w:tr>
    </w:tbl>
    <w:p w:rsidR="00111C52" w:rsidRPr="004A3D96" w:rsidRDefault="002F4F14">
      <w:pPr>
        <w:rPr>
          <w:b/>
          <w:i/>
          <w:color w:val="FFFFFF" w:themeColor="background1"/>
          <w:sz w:val="12"/>
          <w:szCs w:val="12"/>
          <w:lang w:val="ro-RO"/>
        </w:rPr>
      </w:pPr>
      <w:r w:rsidRPr="00440F99">
        <w:rPr>
          <w:b/>
          <w:i/>
          <w:color w:val="FFFFFF" w:themeColor="background1"/>
          <w:sz w:val="12"/>
          <w:szCs w:val="12"/>
        </w:rPr>
        <w:t xml:space="preserve"> </w:t>
      </w:r>
    </w:p>
    <w:sectPr w:rsidR="00111C52" w:rsidRPr="004A3D96" w:rsidSect="006A60DD">
      <w:pgSz w:w="11906" w:h="16838"/>
      <w:pgMar w:top="56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nsid w:val="7C786654"/>
    <w:multiLevelType w:val="hybridMultilevel"/>
    <w:tmpl w:val="F14CB0C8"/>
    <w:lvl w:ilvl="0" w:tplc="5AB437BA">
      <w:start w:val="1"/>
      <w:numFmt w:val="decimal"/>
      <w:lvlText w:val="%1."/>
      <w:lvlJc w:val="left"/>
      <w:pPr>
        <w:ind w:left="930" w:hanging="36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480"/>
    <w:rsid w:val="000503CF"/>
    <w:rsid w:val="00111C52"/>
    <w:rsid w:val="00133480"/>
    <w:rsid w:val="002F4F14"/>
    <w:rsid w:val="003F72DC"/>
    <w:rsid w:val="00440F99"/>
    <w:rsid w:val="004A3D96"/>
    <w:rsid w:val="006F2E28"/>
    <w:rsid w:val="00983331"/>
    <w:rsid w:val="00B21374"/>
    <w:rsid w:val="00B8353A"/>
    <w:rsid w:val="00BA5F31"/>
    <w:rsid w:val="00D35564"/>
    <w:rsid w:val="00DF1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4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w:basedOn w:val="a"/>
    <w:link w:val="a4"/>
    <w:uiPriority w:val="99"/>
    <w:unhideWhenUsed/>
    <w:qFormat/>
    <w:rsid w:val="00133480"/>
    <w:pPr>
      <w:ind w:firstLine="567"/>
      <w:jc w:val="both"/>
    </w:pPr>
    <w:rPr>
      <w:lang w:val="x-none"/>
    </w:rPr>
  </w:style>
  <w:style w:type="paragraph" w:customStyle="1" w:styleId="cn">
    <w:name w:val="cn"/>
    <w:basedOn w:val="a"/>
    <w:rsid w:val="00133480"/>
    <w:pPr>
      <w:jc w:val="center"/>
    </w:pPr>
  </w:style>
  <w:style w:type="paragraph" w:customStyle="1" w:styleId="cb">
    <w:name w:val="cb"/>
    <w:basedOn w:val="a"/>
    <w:rsid w:val="00133480"/>
    <w:pPr>
      <w:jc w:val="center"/>
    </w:pPr>
    <w:rPr>
      <w:b/>
      <w:bCs/>
    </w:rPr>
  </w:style>
  <w:style w:type="paragraph" w:customStyle="1" w:styleId="rg">
    <w:name w:val="rg"/>
    <w:basedOn w:val="a"/>
    <w:rsid w:val="00133480"/>
    <w:pPr>
      <w:jc w:val="right"/>
    </w:pPr>
  </w:style>
  <w:style w:type="character" w:styleId="a5">
    <w:name w:val="Hyperlink"/>
    <w:uiPriority w:val="99"/>
    <w:unhideWhenUsed/>
    <w:rsid w:val="00133480"/>
    <w:rPr>
      <w:color w:val="0000FF"/>
      <w:u w:val="single"/>
    </w:rPr>
  </w:style>
  <w:style w:type="character" w:customStyle="1" w:styleId="a4">
    <w:name w:val="Обычный (веб) Знак"/>
    <w:aliases w:val="Знак Знак"/>
    <w:link w:val="a3"/>
    <w:uiPriority w:val="99"/>
    <w:locked/>
    <w:rsid w:val="00133480"/>
    <w:rPr>
      <w:rFonts w:ascii="Times New Roman" w:eastAsia="Times New Roman" w:hAnsi="Times New Rom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4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w:basedOn w:val="a"/>
    <w:link w:val="a4"/>
    <w:uiPriority w:val="99"/>
    <w:unhideWhenUsed/>
    <w:qFormat/>
    <w:rsid w:val="00133480"/>
    <w:pPr>
      <w:ind w:firstLine="567"/>
      <w:jc w:val="both"/>
    </w:pPr>
    <w:rPr>
      <w:lang w:val="x-none"/>
    </w:rPr>
  </w:style>
  <w:style w:type="paragraph" w:customStyle="1" w:styleId="cn">
    <w:name w:val="cn"/>
    <w:basedOn w:val="a"/>
    <w:rsid w:val="00133480"/>
    <w:pPr>
      <w:jc w:val="center"/>
    </w:pPr>
  </w:style>
  <w:style w:type="paragraph" w:customStyle="1" w:styleId="cb">
    <w:name w:val="cb"/>
    <w:basedOn w:val="a"/>
    <w:rsid w:val="00133480"/>
    <w:pPr>
      <w:jc w:val="center"/>
    </w:pPr>
    <w:rPr>
      <w:b/>
      <w:bCs/>
    </w:rPr>
  </w:style>
  <w:style w:type="paragraph" w:customStyle="1" w:styleId="rg">
    <w:name w:val="rg"/>
    <w:basedOn w:val="a"/>
    <w:rsid w:val="00133480"/>
    <w:pPr>
      <w:jc w:val="right"/>
    </w:pPr>
  </w:style>
  <w:style w:type="character" w:styleId="a5">
    <w:name w:val="Hyperlink"/>
    <w:uiPriority w:val="99"/>
    <w:unhideWhenUsed/>
    <w:rsid w:val="00133480"/>
    <w:rPr>
      <w:color w:val="0000FF"/>
      <w:u w:val="single"/>
    </w:rPr>
  </w:style>
  <w:style w:type="character" w:customStyle="1" w:styleId="a4">
    <w:name w:val="Обычный (веб) Знак"/>
    <w:aliases w:val="Знак Знак"/>
    <w:link w:val="a3"/>
    <w:uiPriority w:val="99"/>
    <w:locked/>
    <w:rsid w:val="00133480"/>
    <w:rPr>
      <w:rFonts w:ascii="Times New Roman" w:eastAsia="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27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0807101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2052</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Ana Bucur</cp:lastModifiedBy>
  <cp:revision>2</cp:revision>
  <cp:lastPrinted>2019-10-16T11:21:00Z</cp:lastPrinted>
  <dcterms:created xsi:type="dcterms:W3CDTF">2019-10-24T06:31:00Z</dcterms:created>
  <dcterms:modified xsi:type="dcterms:W3CDTF">2019-10-24T06:31:00Z</dcterms:modified>
</cp:coreProperties>
</file>