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07" w:rsidRPr="002E1A07" w:rsidRDefault="002E1A07" w:rsidP="00FC4B57">
      <w:pPr>
        <w:jc w:val="center"/>
        <w:rPr>
          <w:rFonts w:eastAsia="Calibri"/>
          <w:b/>
          <w:sz w:val="26"/>
          <w:szCs w:val="26"/>
          <w:lang w:val="ro-RO" w:eastAsia="en-US"/>
        </w:rPr>
      </w:pPr>
      <w:r w:rsidRPr="002E1A07">
        <w:rPr>
          <w:rFonts w:eastAsia="Calibri"/>
          <w:b/>
          <w:sz w:val="26"/>
          <w:szCs w:val="26"/>
          <w:lang w:val="ro-RO" w:eastAsia="en-US"/>
        </w:rPr>
        <w:t>NOTĂ INFORMATIVĂ</w:t>
      </w:r>
    </w:p>
    <w:p w:rsidR="002E1A07" w:rsidRDefault="002E1A07" w:rsidP="00FC4B57">
      <w:pPr>
        <w:jc w:val="center"/>
        <w:rPr>
          <w:rFonts w:eastAsia="Calibri"/>
          <w:b/>
          <w:i/>
          <w:sz w:val="26"/>
          <w:szCs w:val="26"/>
          <w:lang w:val="ro-RO" w:eastAsia="en-US"/>
        </w:rPr>
      </w:pPr>
      <w:r w:rsidRPr="002E1A07">
        <w:rPr>
          <w:rFonts w:eastAsia="Calibri"/>
          <w:b/>
          <w:sz w:val="26"/>
          <w:szCs w:val="26"/>
          <w:lang w:val="ro-RO" w:eastAsia="en-US"/>
        </w:rPr>
        <w:t xml:space="preserve">la proiectul hotărârii Guvernului </w:t>
      </w:r>
      <w:r w:rsidRPr="001C6029">
        <w:rPr>
          <w:rFonts w:eastAsia="Calibri"/>
          <w:b/>
          <w:sz w:val="26"/>
          <w:szCs w:val="26"/>
          <w:lang w:val="ro-RO" w:eastAsia="en-US"/>
        </w:rPr>
        <w:t>pentru</w:t>
      </w:r>
      <w:r w:rsidRPr="002E1A07">
        <w:rPr>
          <w:rFonts w:eastAsia="Calibri"/>
          <w:b/>
          <w:sz w:val="26"/>
          <w:szCs w:val="26"/>
          <w:lang w:val="ro-RO" w:eastAsia="en-US"/>
        </w:rPr>
        <w:t xml:space="preserve"> </w:t>
      </w:r>
      <w:r w:rsidRPr="002E1A07">
        <w:rPr>
          <w:rFonts w:eastAsia="Calibri"/>
          <w:b/>
          <w:i/>
          <w:sz w:val="26"/>
          <w:szCs w:val="26"/>
          <w:lang w:val="ro-RO" w:eastAsia="en-US"/>
        </w:rPr>
        <w:t>modificarea Regulamentului cu privire la implementarea programelor de cooperare transfrontalieră şi transnaţională finanţate de Uniunea Europeană, aprobat prin Hotărârea Guvernului nr. 576/2017</w:t>
      </w:r>
    </w:p>
    <w:p w:rsidR="00DA07BE" w:rsidRPr="002E1A07" w:rsidRDefault="00DA07BE" w:rsidP="00FC4B57">
      <w:pPr>
        <w:jc w:val="center"/>
        <w:rPr>
          <w:rFonts w:eastAsia="Calibri"/>
          <w:b/>
          <w:i/>
          <w:sz w:val="26"/>
          <w:szCs w:val="26"/>
          <w:lang w:val="ro-RO" w:eastAsia="en-US"/>
        </w:rPr>
      </w:pPr>
    </w:p>
    <w:tbl>
      <w:tblPr>
        <w:tblStyle w:val="a3"/>
        <w:tblW w:w="9805" w:type="dxa"/>
        <w:tblInd w:w="-601" w:type="dxa"/>
        <w:tblLook w:val="04A0"/>
      </w:tblPr>
      <w:tblGrid>
        <w:gridCol w:w="9805"/>
      </w:tblGrid>
      <w:tr w:rsidR="006D6F7D" w:rsidRPr="000F1514" w:rsidTr="002E1A07">
        <w:tc>
          <w:tcPr>
            <w:tcW w:w="9805" w:type="dxa"/>
            <w:shd w:val="clear" w:color="auto" w:fill="BFBFBF" w:themeFill="background1" w:themeFillShade="BF"/>
          </w:tcPr>
          <w:p w:rsidR="006D6F7D" w:rsidRPr="00793ADB" w:rsidRDefault="006D6F7D" w:rsidP="00FC4B57">
            <w:pPr>
              <w:tabs>
                <w:tab w:val="left" w:pos="278"/>
              </w:tabs>
              <w:jc w:val="center"/>
              <w:rPr>
                <w:b/>
                <w:sz w:val="26"/>
                <w:szCs w:val="26"/>
                <w:lang w:val="ro-RO"/>
              </w:rPr>
            </w:pPr>
            <w:r w:rsidRPr="00793ADB">
              <w:rPr>
                <w:b/>
                <w:sz w:val="26"/>
                <w:szCs w:val="26"/>
                <w:lang w:val="ro-RO"/>
              </w:rPr>
              <w:t>Denumirea autorului şi, după caz, a participan</w:t>
            </w:r>
            <w:r w:rsidR="0084766A" w:rsidRPr="00793ADB">
              <w:rPr>
                <w:b/>
                <w:sz w:val="26"/>
                <w:szCs w:val="26"/>
                <w:lang w:val="ro-RO"/>
              </w:rPr>
              <w:t>ţilor la elaborarea proiectului</w:t>
            </w:r>
          </w:p>
        </w:tc>
      </w:tr>
      <w:tr w:rsidR="006D6F7D" w:rsidRPr="000F1514" w:rsidTr="002E1A07">
        <w:tc>
          <w:tcPr>
            <w:tcW w:w="9805" w:type="dxa"/>
            <w:shd w:val="clear" w:color="auto" w:fill="auto"/>
          </w:tcPr>
          <w:p w:rsidR="00506852" w:rsidRPr="002E1A07" w:rsidRDefault="002E1A07" w:rsidP="00DA07BE">
            <w:pPr>
              <w:ind w:left="34" w:firstLine="368"/>
              <w:jc w:val="both"/>
              <w:rPr>
                <w:sz w:val="26"/>
                <w:szCs w:val="26"/>
                <w:lang w:val="ro-RO"/>
              </w:rPr>
            </w:pPr>
            <w:r w:rsidRPr="002E1A07">
              <w:rPr>
                <w:sz w:val="26"/>
                <w:szCs w:val="26"/>
                <w:lang w:val="ro-RO"/>
              </w:rPr>
              <w:t xml:space="preserve">Proiectul de hotărâre </w:t>
            </w:r>
            <w:r w:rsidR="000F1514">
              <w:rPr>
                <w:sz w:val="26"/>
                <w:szCs w:val="26"/>
                <w:lang w:val="ro-RO"/>
              </w:rPr>
              <w:t xml:space="preserve">este înaintat </w:t>
            </w:r>
            <w:r w:rsidRPr="002E1A07">
              <w:rPr>
                <w:sz w:val="26"/>
                <w:szCs w:val="26"/>
                <w:lang w:val="ro-RO"/>
              </w:rPr>
              <w:t xml:space="preserve">de către </w:t>
            </w:r>
            <w:r w:rsidR="00BE0E83">
              <w:rPr>
                <w:sz w:val="26"/>
                <w:szCs w:val="26"/>
                <w:lang w:val="ro-RO"/>
              </w:rPr>
              <w:t>Ministerul Finanțelor</w:t>
            </w:r>
            <w:r w:rsidRPr="002E1A07">
              <w:rPr>
                <w:sz w:val="26"/>
                <w:szCs w:val="26"/>
                <w:lang w:val="ro-RO"/>
              </w:rPr>
              <w:t xml:space="preserve">, în calitate de Autoritate Națională de Management pentru Programele de Cooperare Transfrontalieră și Transnațională </w:t>
            </w:r>
          </w:p>
        </w:tc>
      </w:tr>
      <w:tr w:rsidR="003E4EB9" w:rsidRPr="002E1A07" w:rsidTr="002E1A07">
        <w:tc>
          <w:tcPr>
            <w:tcW w:w="9805" w:type="dxa"/>
            <w:shd w:val="clear" w:color="auto" w:fill="BFBFBF" w:themeFill="background1" w:themeFillShade="BF"/>
          </w:tcPr>
          <w:p w:rsidR="00744B84" w:rsidRPr="002E1A07" w:rsidRDefault="006D6F7D" w:rsidP="00FC4B57">
            <w:pPr>
              <w:tabs>
                <w:tab w:val="left" w:pos="278"/>
              </w:tabs>
              <w:jc w:val="center"/>
              <w:rPr>
                <w:b/>
                <w:sz w:val="26"/>
                <w:szCs w:val="26"/>
                <w:lang w:val="ro-RO"/>
              </w:rPr>
            </w:pPr>
            <w:r w:rsidRPr="002E1A07">
              <w:rPr>
                <w:b/>
                <w:sz w:val="26"/>
                <w:szCs w:val="26"/>
                <w:lang w:val="ro-RO"/>
              </w:rPr>
              <w:t>Condiţiile ce au impus elaborarea proiectului de act no</w:t>
            </w:r>
            <w:r w:rsidR="0084766A" w:rsidRPr="002E1A07">
              <w:rPr>
                <w:b/>
                <w:sz w:val="26"/>
                <w:szCs w:val="26"/>
                <w:lang w:val="ro-RO"/>
              </w:rPr>
              <w:t>rmativ</w:t>
            </w:r>
          </w:p>
          <w:p w:rsidR="006D6F7D" w:rsidRPr="002E1A07" w:rsidRDefault="0084766A" w:rsidP="00FC4B57">
            <w:pPr>
              <w:tabs>
                <w:tab w:val="left" w:pos="278"/>
              </w:tabs>
              <w:jc w:val="center"/>
              <w:rPr>
                <w:b/>
                <w:sz w:val="26"/>
                <w:szCs w:val="26"/>
                <w:lang w:val="ro-RO"/>
              </w:rPr>
            </w:pPr>
            <w:r w:rsidRPr="002E1A07">
              <w:rPr>
                <w:b/>
                <w:sz w:val="26"/>
                <w:szCs w:val="26"/>
                <w:lang w:val="ro-RO"/>
              </w:rPr>
              <w:t xml:space="preserve"> şi finalităţile urmărite</w:t>
            </w:r>
          </w:p>
        </w:tc>
      </w:tr>
      <w:tr w:rsidR="00250C3D" w:rsidRPr="000F1514" w:rsidTr="002E1A07">
        <w:tc>
          <w:tcPr>
            <w:tcW w:w="9805" w:type="dxa"/>
          </w:tcPr>
          <w:p w:rsidR="00200F1D" w:rsidRPr="002E1A07" w:rsidRDefault="00200F1D" w:rsidP="00FC4B57">
            <w:pPr>
              <w:ind w:firstLine="431"/>
              <w:jc w:val="both"/>
              <w:rPr>
                <w:sz w:val="26"/>
                <w:szCs w:val="26"/>
                <w:lang w:val="ro-RO"/>
              </w:rPr>
            </w:pPr>
            <w:r w:rsidRPr="002E1A07">
              <w:rPr>
                <w:sz w:val="26"/>
                <w:szCs w:val="26"/>
                <w:lang w:val="ro-RO"/>
              </w:rPr>
              <w:t xml:space="preserve">Prezentul proiect a fost elaborat </w:t>
            </w:r>
            <w:r w:rsidR="00DA07BE" w:rsidRPr="002E1A07">
              <w:rPr>
                <w:sz w:val="26"/>
                <w:szCs w:val="26"/>
                <w:lang w:val="ro-RO"/>
              </w:rPr>
              <w:t>reieșind</w:t>
            </w:r>
            <w:r w:rsidR="002E1A07" w:rsidRPr="002E1A07">
              <w:rPr>
                <w:sz w:val="26"/>
                <w:szCs w:val="26"/>
                <w:lang w:val="ro-RO"/>
              </w:rPr>
              <w:t xml:space="preserve"> din </w:t>
            </w:r>
            <w:r w:rsidR="002E1A07">
              <w:rPr>
                <w:sz w:val="26"/>
                <w:szCs w:val="26"/>
                <w:lang w:val="ro-RO"/>
              </w:rPr>
              <w:t>necesitatea</w:t>
            </w:r>
            <w:r w:rsidR="002E1A07" w:rsidRPr="002E1A07">
              <w:rPr>
                <w:sz w:val="26"/>
                <w:szCs w:val="26"/>
                <w:lang w:val="ro-RO"/>
              </w:rPr>
              <w:t xml:space="preserve"> ajust</w:t>
            </w:r>
            <w:r w:rsidR="002E1A07">
              <w:rPr>
                <w:sz w:val="26"/>
                <w:szCs w:val="26"/>
                <w:lang w:val="ro-RO"/>
              </w:rPr>
              <w:t>ării</w:t>
            </w:r>
            <w:r w:rsidR="002E1A07" w:rsidRPr="002E1A07">
              <w:rPr>
                <w:sz w:val="26"/>
                <w:szCs w:val="26"/>
                <w:lang w:val="ro-RO"/>
              </w:rPr>
              <w:t xml:space="preserve"> prevederil</w:t>
            </w:r>
            <w:r w:rsidR="002E1A07">
              <w:rPr>
                <w:sz w:val="26"/>
                <w:szCs w:val="26"/>
                <w:lang w:val="ro-RO"/>
              </w:rPr>
              <w:t>or</w:t>
            </w:r>
            <w:r w:rsidR="002E1A07" w:rsidRPr="002E1A07">
              <w:rPr>
                <w:sz w:val="26"/>
                <w:szCs w:val="26"/>
                <w:lang w:val="ro-RO"/>
              </w:rPr>
              <w:t xml:space="preserve"> Hotărârii Guvernului nr.576/2017 la prevederile Acordurilor de finanțare și la Descrierile Sistemelor de Management și Control ale </w:t>
            </w:r>
            <w:r w:rsidR="00DA07BE" w:rsidRPr="00DA07BE">
              <w:rPr>
                <w:sz w:val="26"/>
                <w:szCs w:val="26"/>
                <w:lang w:val="ro-RO"/>
              </w:rPr>
              <w:t xml:space="preserve">Programele de Cooperare Transfrontalieră și Transnațională </w:t>
            </w:r>
            <w:r w:rsidR="00DA07BE">
              <w:rPr>
                <w:sz w:val="26"/>
                <w:szCs w:val="26"/>
                <w:lang w:val="ro-RO"/>
              </w:rPr>
              <w:t>(</w:t>
            </w:r>
            <w:r w:rsidR="002E1A07" w:rsidRPr="002E1A07">
              <w:rPr>
                <w:sz w:val="26"/>
                <w:szCs w:val="26"/>
                <w:lang w:val="ro-RO"/>
              </w:rPr>
              <w:t>PCTT</w:t>
            </w:r>
            <w:r w:rsidR="00DA07BE">
              <w:rPr>
                <w:sz w:val="26"/>
                <w:szCs w:val="26"/>
                <w:lang w:val="ro-RO"/>
              </w:rPr>
              <w:t>)</w:t>
            </w:r>
            <w:r w:rsidR="002E1A07" w:rsidRPr="002E1A07">
              <w:rPr>
                <w:sz w:val="26"/>
                <w:szCs w:val="26"/>
                <w:lang w:val="ro-RO"/>
              </w:rPr>
              <w:t>, eligibile pentru Republica Moldova</w:t>
            </w:r>
            <w:r w:rsidR="00EA5F0F">
              <w:rPr>
                <w:sz w:val="26"/>
                <w:szCs w:val="26"/>
                <w:lang w:val="ro-RO"/>
              </w:rPr>
              <w:t>,</w:t>
            </w:r>
            <w:r w:rsidR="002E1A07">
              <w:rPr>
                <w:sz w:val="26"/>
                <w:szCs w:val="26"/>
                <w:lang w:val="ro-RO"/>
              </w:rPr>
              <w:t xml:space="preserve"> </w:t>
            </w:r>
            <w:r w:rsidR="002E1A07" w:rsidRPr="002E1A07">
              <w:rPr>
                <w:sz w:val="26"/>
                <w:szCs w:val="26"/>
                <w:lang w:val="ro-RO"/>
              </w:rPr>
              <w:t>precum și la prevederile Legii nr. 271/2017 privind auditul situațiilor financiare, pusă în aplicare din 1 ianuarie 2019.</w:t>
            </w:r>
          </w:p>
          <w:p w:rsidR="00506852" w:rsidRPr="002E1A07" w:rsidRDefault="00200F1D" w:rsidP="00FC4B57">
            <w:pPr>
              <w:tabs>
                <w:tab w:val="left" w:pos="318"/>
              </w:tabs>
              <w:ind w:firstLine="431"/>
              <w:jc w:val="both"/>
              <w:rPr>
                <w:sz w:val="26"/>
                <w:szCs w:val="26"/>
                <w:lang w:val="ro-RO"/>
              </w:rPr>
            </w:pPr>
            <w:r w:rsidRPr="002E1A07">
              <w:rPr>
                <w:sz w:val="26"/>
                <w:szCs w:val="26"/>
                <w:lang w:val="ro-RO"/>
              </w:rPr>
              <w:t xml:space="preserve">Elaborarea </w:t>
            </w:r>
            <w:r w:rsidR="00EC3A39">
              <w:rPr>
                <w:sz w:val="26"/>
                <w:szCs w:val="26"/>
                <w:lang w:val="ro-RO"/>
              </w:rPr>
              <w:t xml:space="preserve">proiectului </w:t>
            </w:r>
            <w:r w:rsidR="00EC3A39" w:rsidRPr="00042479">
              <w:rPr>
                <w:sz w:val="26"/>
                <w:szCs w:val="26"/>
                <w:lang w:val="ro-RO"/>
              </w:rPr>
              <w:t>hotărâr</w:t>
            </w:r>
            <w:r w:rsidR="00EC3A39">
              <w:rPr>
                <w:sz w:val="26"/>
                <w:szCs w:val="26"/>
                <w:lang w:val="ro-RO"/>
              </w:rPr>
              <w:t>ii de guvern</w:t>
            </w:r>
            <w:r w:rsidR="00EC3A39" w:rsidRPr="00042479">
              <w:rPr>
                <w:sz w:val="26"/>
                <w:szCs w:val="26"/>
                <w:lang w:val="ro-RO"/>
              </w:rPr>
              <w:t xml:space="preserve"> privind modificarea Regulamentului cu privire la implementarea programelor de cooperare transfrontalieră şi transnaţională finanţate de Uniunea Europeană </w:t>
            </w:r>
            <w:r w:rsidR="00EC3A39" w:rsidRPr="00EA5F0F">
              <w:rPr>
                <w:i/>
                <w:sz w:val="26"/>
                <w:szCs w:val="26"/>
                <w:lang w:val="ro-RO"/>
              </w:rPr>
              <w:t>și intrarea în vigoare a acest</w:t>
            </w:r>
            <w:r w:rsidR="001C6029">
              <w:rPr>
                <w:i/>
                <w:sz w:val="26"/>
                <w:szCs w:val="26"/>
                <w:lang w:val="ro-RO"/>
              </w:rPr>
              <w:t>e</w:t>
            </w:r>
            <w:r w:rsidR="00EC3A39" w:rsidRPr="00EA5F0F">
              <w:rPr>
                <w:i/>
                <w:sz w:val="26"/>
                <w:szCs w:val="26"/>
                <w:lang w:val="ro-RO"/>
              </w:rPr>
              <w:t>ia la data publicării</w:t>
            </w:r>
            <w:r w:rsidR="00EC3A39">
              <w:rPr>
                <w:sz w:val="26"/>
                <w:szCs w:val="26"/>
                <w:lang w:val="ro-RO"/>
              </w:rPr>
              <w:t xml:space="preserve"> </w:t>
            </w:r>
            <w:r w:rsidR="002E1A07">
              <w:rPr>
                <w:sz w:val="26"/>
                <w:szCs w:val="26"/>
                <w:lang w:val="ro-RO"/>
              </w:rPr>
              <w:t xml:space="preserve">este </w:t>
            </w:r>
            <w:r w:rsidR="002E1A07" w:rsidRPr="002E1A07">
              <w:rPr>
                <w:sz w:val="26"/>
                <w:szCs w:val="26"/>
                <w:lang w:val="ro-RO"/>
              </w:rPr>
              <w:t>imperativă</w:t>
            </w:r>
            <w:r w:rsidR="00EA5F0F">
              <w:rPr>
                <w:sz w:val="26"/>
                <w:szCs w:val="26"/>
                <w:lang w:val="ro-RO"/>
              </w:rPr>
              <w:t>,</w:t>
            </w:r>
            <w:r w:rsidR="002E1A07" w:rsidRPr="002E1A07">
              <w:rPr>
                <w:sz w:val="26"/>
                <w:szCs w:val="26"/>
                <w:lang w:val="ro-RO"/>
              </w:rPr>
              <w:t xml:space="preserve"> </w:t>
            </w:r>
            <w:r w:rsidR="00EC3A39" w:rsidRPr="00EC3A39">
              <w:rPr>
                <w:sz w:val="26"/>
                <w:szCs w:val="26"/>
                <w:lang w:val="ro-RO"/>
              </w:rPr>
              <w:t xml:space="preserve">deoarece </w:t>
            </w:r>
            <w:r w:rsidR="001C6029">
              <w:rPr>
                <w:sz w:val="26"/>
                <w:szCs w:val="26"/>
                <w:lang w:val="ro-RO"/>
              </w:rPr>
              <w:t>este necesară</w:t>
            </w:r>
            <w:r w:rsidR="00EC3A39" w:rsidRPr="00EC3A39">
              <w:rPr>
                <w:sz w:val="26"/>
                <w:szCs w:val="26"/>
                <w:lang w:val="ro-RO"/>
              </w:rPr>
              <w:t xml:space="preserve"> îndeplinirea condițiilor </w:t>
            </w:r>
            <w:r w:rsidR="00EC3A39">
              <w:rPr>
                <w:sz w:val="26"/>
                <w:szCs w:val="26"/>
                <w:lang w:val="ro-RO"/>
              </w:rPr>
              <w:t xml:space="preserve">asumate </w:t>
            </w:r>
            <w:r w:rsidR="00EC3A39" w:rsidRPr="00EC3A39">
              <w:rPr>
                <w:sz w:val="26"/>
                <w:szCs w:val="26"/>
                <w:lang w:val="ro-RO"/>
              </w:rPr>
              <w:t xml:space="preserve">de către Republica Moldova în cadrul </w:t>
            </w:r>
            <w:r w:rsidR="00EA5F0F">
              <w:rPr>
                <w:sz w:val="26"/>
                <w:szCs w:val="26"/>
                <w:lang w:val="ro-RO"/>
              </w:rPr>
              <w:t>PCTT</w:t>
            </w:r>
            <w:r w:rsidR="00EC3A39" w:rsidRPr="00EC3A39">
              <w:rPr>
                <w:sz w:val="26"/>
                <w:szCs w:val="26"/>
                <w:lang w:val="ro-RO"/>
              </w:rPr>
              <w:t xml:space="preserve"> și</w:t>
            </w:r>
            <w:r w:rsidR="00EC3A39">
              <w:rPr>
                <w:sz w:val="26"/>
                <w:szCs w:val="26"/>
                <w:lang w:val="ro-RO"/>
              </w:rPr>
              <w:t>,</w:t>
            </w:r>
            <w:r w:rsidR="00EC3A39" w:rsidRPr="00EC3A39">
              <w:rPr>
                <w:sz w:val="26"/>
                <w:szCs w:val="26"/>
                <w:lang w:val="ro-RO"/>
              </w:rPr>
              <w:t xml:space="preserve"> respectiv</w:t>
            </w:r>
            <w:r w:rsidR="00EC3A39">
              <w:rPr>
                <w:sz w:val="26"/>
                <w:szCs w:val="26"/>
                <w:lang w:val="ro-RO"/>
              </w:rPr>
              <w:t>,</w:t>
            </w:r>
            <w:r w:rsidR="00EC3A39" w:rsidRPr="00EC3A39">
              <w:rPr>
                <w:sz w:val="26"/>
                <w:szCs w:val="26"/>
                <w:lang w:val="ro-RO"/>
              </w:rPr>
              <w:t xml:space="preserve"> debursarea tranșelor pentru beneficiarii din Republica Moldova.</w:t>
            </w:r>
            <w:r w:rsidR="00EC3A39">
              <w:rPr>
                <w:sz w:val="26"/>
                <w:szCs w:val="26"/>
                <w:lang w:val="ro-RO"/>
              </w:rPr>
              <w:t xml:space="preserve">  </w:t>
            </w:r>
            <w:r w:rsidR="00042479" w:rsidRPr="00042479">
              <w:rPr>
                <w:sz w:val="26"/>
                <w:szCs w:val="26"/>
                <w:lang w:val="ro-RO"/>
              </w:rPr>
              <w:t xml:space="preserve"> </w:t>
            </w:r>
          </w:p>
        </w:tc>
      </w:tr>
      <w:tr w:rsidR="00250C3D" w:rsidRPr="000F1514" w:rsidTr="002E1A07">
        <w:tc>
          <w:tcPr>
            <w:tcW w:w="9805" w:type="dxa"/>
            <w:shd w:val="clear" w:color="auto" w:fill="BFBFBF" w:themeFill="background1" w:themeFillShade="BF"/>
          </w:tcPr>
          <w:p w:rsidR="00250C3D" w:rsidRPr="002E1A07" w:rsidRDefault="00250C3D" w:rsidP="00FC4B57">
            <w:pPr>
              <w:tabs>
                <w:tab w:val="left" w:pos="278"/>
              </w:tabs>
              <w:jc w:val="center"/>
              <w:rPr>
                <w:b/>
                <w:sz w:val="26"/>
                <w:szCs w:val="26"/>
                <w:lang w:val="ro-RO"/>
              </w:rPr>
            </w:pPr>
            <w:r w:rsidRPr="002E1A07">
              <w:rPr>
                <w:b/>
                <w:sz w:val="26"/>
                <w:szCs w:val="26"/>
                <w:lang w:val="ro-RO"/>
              </w:rPr>
              <w:t>Descrierea gradului de compatibilitate pentru proiectele care au ca scop armonizarea legislaţiei naţionale cu legislația Uniunii Europene</w:t>
            </w:r>
          </w:p>
        </w:tc>
      </w:tr>
      <w:tr w:rsidR="00250C3D" w:rsidRPr="000F1514" w:rsidTr="002E1A07">
        <w:tc>
          <w:tcPr>
            <w:tcW w:w="9805" w:type="dxa"/>
            <w:shd w:val="clear" w:color="auto" w:fill="auto"/>
          </w:tcPr>
          <w:p w:rsidR="00506852" w:rsidRPr="002E1A07" w:rsidRDefault="00EC3A39" w:rsidP="00FC4B57">
            <w:pPr>
              <w:ind w:firstLine="431"/>
              <w:jc w:val="both"/>
              <w:rPr>
                <w:b/>
                <w:sz w:val="26"/>
                <w:szCs w:val="26"/>
                <w:lang w:val="ro-RO"/>
              </w:rPr>
            </w:pPr>
            <w:r w:rsidRPr="00E533AA">
              <w:rPr>
                <w:sz w:val="26"/>
                <w:szCs w:val="26"/>
                <w:lang w:val="ro-RO"/>
              </w:rPr>
              <w:t>Prezentul proiect nu contravine legislației Uniunii Europene</w:t>
            </w:r>
            <w:r>
              <w:rPr>
                <w:sz w:val="26"/>
                <w:szCs w:val="26"/>
                <w:lang w:val="ro-RO"/>
              </w:rPr>
              <w:t xml:space="preserve">, </w:t>
            </w:r>
            <w:r w:rsidRPr="002E1A07">
              <w:rPr>
                <w:sz w:val="26"/>
                <w:szCs w:val="26"/>
                <w:lang w:val="ro-RO"/>
              </w:rPr>
              <w:t xml:space="preserve"> </w:t>
            </w:r>
            <w:r>
              <w:rPr>
                <w:sz w:val="26"/>
                <w:szCs w:val="26"/>
                <w:lang w:val="ro-RO"/>
              </w:rPr>
              <w:t xml:space="preserve">acesta </w:t>
            </w:r>
            <w:r w:rsidR="00021196" w:rsidRPr="00021196">
              <w:rPr>
                <w:sz w:val="26"/>
                <w:szCs w:val="26"/>
                <w:lang w:val="ro-RO"/>
              </w:rPr>
              <w:t>are scopul de a ajusta prevederile Hotărârii Guvernului nr.576/2017 la prevederile Acordurilor de finanțare</w:t>
            </w:r>
            <w:r w:rsidR="00EA5F0F">
              <w:rPr>
                <w:sz w:val="26"/>
                <w:szCs w:val="26"/>
                <w:lang w:val="ro-RO"/>
              </w:rPr>
              <w:t xml:space="preserve"> pentru </w:t>
            </w:r>
            <w:r w:rsidR="00EA5F0F" w:rsidRPr="00021196">
              <w:rPr>
                <w:sz w:val="26"/>
                <w:szCs w:val="26"/>
                <w:lang w:val="ro-RO"/>
              </w:rPr>
              <w:t>PCTT</w:t>
            </w:r>
            <w:r w:rsidR="00EA5F0F" w:rsidRPr="00EA5F0F">
              <w:rPr>
                <w:sz w:val="26"/>
                <w:szCs w:val="26"/>
                <w:lang w:val="ro-RO"/>
              </w:rPr>
              <w:t xml:space="preserve"> </w:t>
            </w:r>
            <w:r w:rsidR="0041560A">
              <w:rPr>
                <w:sz w:val="26"/>
                <w:szCs w:val="26"/>
                <w:lang w:val="ro-RO"/>
              </w:rPr>
              <w:t>finanțate</w:t>
            </w:r>
            <w:r w:rsidR="00EA5F0F">
              <w:rPr>
                <w:sz w:val="26"/>
                <w:szCs w:val="26"/>
                <w:lang w:val="ro-RO"/>
              </w:rPr>
              <w:t xml:space="preserve"> de Uniunea Europeană</w:t>
            </w:r>
            <w:r w:rsidR="00EA5F0F" w:rsidRPr="00EA5F0F">
              <w:rPr>
                <w:sz w:val="26"/>
                <w:szCs w:val="26"/>
                <w:lang w:val="ro-RO"/>
              </w:rPr>
              <w:t xml:space="preserve"> </w:t>
            </w:r>
            <w:r w:rsidR="00021196" w:rsidRPr="00021196">
              <w:rPr>
                <w:sz w:val="26"/>
                <w:szCs w:val="26"/>
                <w:lang w:val="ro-RO"/>
              </w:rPr>
              <w:t>și la Descrierile Sistemelor de Management și Control ale</w:t>
            </w:r>
            <w:r w:rsidR="00EA5F0F">
              <w:rPr>
                <w:sz w:val="26"/>
                <w:szCs w:val="26"/>
                <w:lang w:val="ro-RO"/>
              </w:rPr>
              <w:t xml:space="preserve"> acestora</w:t>
            </w:r>
            <w:r w:rsidR="00021196">
              <w:rPr>
                <w:sz w:val="26"/>
                <w:szCs w:val="26"/>
                <w:lang w:val="ro-RO"/>
              </w:rPr>
              <w:t>.</w:t>
            </w:r>
            <w:r w:rsidR="00F27C9E">
              <w:rPr>
                <w:sz w:val="26"/>
                <w:szCs w:val="26"/>
                <w:lang w:val="ro-RO"/>
              </w:rPr>
              <w:t xml:space="preserve"> </w:t>
            </w:r>
          </w:p>
        </w:tc>
      </w:tr>
      <w:tr w:rsidR="00250C3D" w:rsidRPr="000F1514" w:rsidTr="002E1A07">
        <w:tc>
          <w:tcPr>
            <w:tcW w:w="9805" w:type="dxa"/>
            <w:shd w:val="clear" w:color="auto" w:fill="BFBFBF" w:themeFill="background1" w:themeFillShade="BF"/>
          </w:tcPr>
          <w:p w:rsidR="00250C3D" w:rsidRPr="002E1A07" w:rsidRDefault="00250C3D" w:rsidP="00FC4B57">
            <w:pPr>
              <w:tabs>
                <w:tab w:val="left" w:pos="278"/>
              </w:tabs>
              <w:jc w:val="center"/>
              <w:rPr>
                <w:b/>
                <w:sz w:val="26"/>
                <w:szCs w:val="26"/>
                <w:lang w:val="ro-RO"/>
              </w:rPr>
            </w:pPr>
            <w:r w:rsidRPr="002E1A07">
              <w:rPr>
                <w:b/>
                <w:sz w:val="26"/>
                <w:szCs w:val="26"/>
                <w:lang w:val="ro-RO"/>
              </w:rPr>
              <w:t>Principalele prevederi ale proiectului şi evidențierea elementelor noi</w:t>
            </w:r>
          </w:p>
        </w:tc>
      </w:tr>
      <w:tr w:rsidR="00250C3D" w:rsidRPr="000F1514" w:rsidTr="002E1A07">
        <w:tc>
          <w:tcPr>
            <w:tcW w:w="9805" w:type="dxa"/>
            <w:shd w:val="clear" w:color="auto" w:fill="auto"/>
          </w:tcPr>
          <w:p w:rsidR="00506852" w:rsidRDefault="00506852" w:rsidP="00FC4B57">
            <w:pPr>
              <w:ind w:firstLine="431"/>
              <w:jc w:val="both"/>
              <w:rPr>
                <w:sz w:val="26"/>
                <w:szCs w:val="26"/>
                <w:lang w:val="ro-RO"/>
              </w:rPr>
            </w:pPr>
            <w:r w:rsidRPr="002E1A07">
              <w:rPr>
                <w:sz w:val="26"/>
                <w:szCs w:val="26"/>
                <w:lang w:val="ro-RO"/>
              </w:rPr>
              <w:t xml:space="preserve">Pentru </w:t>
            </w:r>
            <w:r w:rsidR="00E533AA" w:rsidRPr="00E533AA">
              <w:rPr>
                <w:sz w:val="26"/>
                <w:szCs w:val="26"/>
                <w:lang w:val="ro-RO"/>
              </w:rPr>
              <w:t xml:space="preserve">asigurarea clarității sarcinilor entităților care formează cadrul instituțional de implementare a PCTT pe teritoriul Republicii Moldova </w:t>
            </w:r>
            <w:r w:rsidRPr="002E1A07">
              <w:rPr>
                <w:sz w:val="26"/>
                <w:szCs w:val="26"/>
                <w:lang w:val="ro-RO"/>
              </w:rPr>
              <w:t>propunerile de modificare se referă la:</w:t>
            </w:r>
          </w:p>
          <w:p w:rsidR="00E533AA" w:rsidRPr="00E533AA" w:rsidRDefault="00E533AA" w:rsidP="00FC4B57">
            <w:pPr>
              <w:ind w:firstLine="431"/>
              <w:jc w:val="both"/>
              <w:rPr>
                <w:sz w:val="26"/>
                <w:szCs w:val="26"/>
                <w:lang w:val="ro-RO"/>
              </w:rPr>
            </w:pPr>
            <w:r w:rsidRPr="00E533AA">
              <w:rPr>
                <w:sz w:val="26"/>
                <w:szCs w:val="26"/>
                <w:lang w:val="ro-RO"/>
              </w:rPr>
              <w:t>- introducerea în Regulament a unui subpunct nou, 20</w:t>
            </w:r>
            <w:r w:rsidRPr="00E533AA">
              <w:rPr>
                <w:sz w:val="26"/>
                <w:szCs w:val="26"/>
                <w:vertAlign w:val="superscript"/>
                <w:lang w:val="ro-RO"/>
              </w:rPr>
              <w:t>1</w:t>
            </w:r>
            <w:r w:rsidRPr="00E533AA">
              <w:rPr>
                <w:sz w:val="26"/>
                <w:szCs w:val="26"/>
                <w:lang w:val="ro-RO"/>
              </w:rPr>
              <w:t>, prin care Ministerul Finanțelor, în calitatea sa de Pu</w:t>
            </w:r>
            <w:bookmarkStart w:id="0" w:name="_GoBack"/>
            <w:bookmarkEnd w:id="0"/>
            <w:r w:rsidRPr="00E533AA">
              <w:rPr>
                <w:sz w:val="26"/>
                <w:szCs w:val="26"/>
                <w:lang w:val="ro-RO"/>
              </w:rPr>
              <w:t>nct Național de Contact pentru Control, este împuternicit să îndeplinească anumite funcții de comun cu Instituția Publică „Consiliul de supraveghere publică a auditului”, în baza unui Acord semnat între părți (</w:t>
            </w:r>
            <w:r w:rsidR="00DA07BE">
              <w:rPr>
                <w:i/>
                <w:sz w:val="26"/>
                <w:szCs w:val="26"/>
                <w:lang w:val="ro-RO"/>
              </w:rPr>
              <w:t xml:space="preserve">de ex. </w:t>
            </w:r>
            <w:r w:rsidRPr="00E533AA">
              <w:rPr>
                <w:i/>
                <w:sz w:val="26"/>
                <w:szCs w:val="26"/>
                <w:lang w:val="ro-RO"/>
              </w:rPr>
              <w:t>stabilirea criteriilor de selectare, selectarea auditorilor, menținerea și actualizarea listei auditorilor selectați, examinarea, la solicitarea Autorității de Management, a rapoartele aferente misiunilor desfăşurate de auditori</w:t>
            </w:r>
            <w:r w:rsidR="00DA07BE">
              <w:rPr>
                <w:i/>
                <w:sz w:val="26"/>
                <w:szCs w:val="26"/>
                <w:lang w:val="ro-RO"/>
              </w:rPr>
              <w:t xml:space="preserve"> în cadrul proiectelor</w:t>
            </w:r>
            <w:r w:rsidRPr="00E533AA">
              <w:rPr>
                <w:i/>
                <w:sz w:val="26"/>
                <w:szCs w:val="26"/>
                <w:lang w:val="ro-RO"/>
              </w:rPr>
              <w:t xml:space="preserve"> etc.</w:t>
            </w:r>
            <w:r w:rsidRPr="00E533AA">
              <w:rPr>
                <w:sz w:val="26"/>
                <w:szCs w:val="26"/>
                <w:lang w:val="ro-RO"/>
              </w:rPr>
              <w:t xml:space="preserve">). </w:t>
            </w:r>
          </w:p>
          <w:p w:rsidR="00E533AA" w:rsidRPr="00E533AA" w:rsidRDefault="00E533AA" w:rsidP="00FC4B57">
            <w:pPr>
              <w:ind w:firstLine="431"/>
              <w:jc w:val="both"/>
              <w:rPr>
                <w:sz w:val="26"/>
                <w:szCs w:val="26"/>
                <w:lang w:val="ro-RO"/>
              </w:rPr>
            </w:pPr>
            <w:r w:rsidRPr="00E533AA">
              <w:rPr>
                <w:sz w:val="26"/>
                <w:szCs w:val="26"/>
                <w:lang w:val="ro-RO"/>
              </w:rPr>
              <w:t xml:space="preserve">- completarea atribuțiilor Autorității Naționale de Management și a Punctului Național de Contact pentru Control cu responsabilitățile specificate în Acordurile de finanțare întru asigurarea clarității sarcinilor </w:t>
            </w:r>
            <w:r w:rsidR="00EA5F0F">
              <w:rPr>
                <w:sz w:val="26"/>
                <w:szCs w:val="26"/>
                <w:lang w:val="ro-RO"/>
              </w:rPr>
              <w:t>instituțiilor</w:t>
            </w:r>
            <w:r w:rsidRPr="00E533AA">
              <w:rPr>
                <w:sz w:val="26"/>
                <w:szCs w:val="26"/>
                <w:lang w:val="ro-RO"/>
              </w:rPr>
              <w:t xml:space="preserve"> care formează cadrul instituțional de implementare a PCTT pe teritoriul Republicii Moldova;</w:t>
            </w:r>
          </w:p>
          <w:p w:rsidR="00FC4B57" w:rsidRDefault="00E533AA" w:rsidP="00FC4B57">
            <w:pPr>
              <w:ind w:firstLine="431"/>
              <w:jc w:val="both"/>
              <w:rPr>
                <w:sz w:val="26"/>
                <w:szCs w:val="26"/>
                <w:lang w:val="ro-RO"/>
              </w:rPr>
            </w:pPr>
            <w:r w:rsidRPr="00E533AA">
              <w:rPr>
                <w:sz w:val="26"/>
                <w:szCs w:val="26"/>
                <w:lang w:val="ro-RO"/>
              </w:rPr>
              <w:t>- includerea noțiunii de  „Secretariat Tehnic Comun”, care definește o structură importantă a programelor, și care contribuie la asigurarea managementului operațional și financiar.</w:t>
            </w:r>
          </w:p>
          <w:p w:rsidR="00DA07BE" w:rsidRDefault="00DA07BE" w:rsidP="00DA07BE">
            <w:pPr>
              <w:jc w:val="both"/>
              <w:rPr>
                <w:sz w:val="26"/>
                <w:szCs w:val="26"/>
                <w:lang w:val="ro-RO"/>
              </w:rPr>
            </w:pPr>
          </w:p>
          <w:p w:rsidR="00DA07BE" w:rsidRPr="002E1A07" w:rsidRDefault="00DA07BE" w:rsidP="00FC4B57">
            <w:pPr>
              <w:ind w:firstLine="431"/>
              <w:jc w:val="both"/>
              <w:rPr>
                <w:sz w:val="26"/>
                <w:szCs w:val="26"/>
                <w:lang w:val="ro-RO"/>
              </w:rPr>
            </w:pPr>
          </w:p>
        </w:tc>
      </w:tr>
      <w:tr w:rsidR="00250C3D" w:rsidRPr="002E1A07" w:rsidTr="002E1A07">
        <w:tc>
          <w:tcPr>
            <w:tcW w:w="9805" w:type="dxa"/>
            <w:shd w:val="clear" w:color="auto" w:fill="BFBFBF" w:themeFill="background1" w:themeFillShade="BF"/>
          </w:tcPr>
          <w:p w:rsidR="00250C3D" w:rsidRPr="002E1A07" w:rsidRDefault="00250C3D" w:rsidP="00FC4B57">
            <w:pPr>
              <w:tabs>
                <w:tab w:val="left" w:pos="278"/>
              </w:tabs>
              <w:jc w:val="center"/>
              <w:rPr>
                <w:b/>
                <w:sz w:val="26"/>
                <w:szCs w:val="26"/>
                <w:lang w:val="ro-RO"/>
              </w:rPr>
            </w:pPr>
            <w:r w:rsidRPr="002E1A07">
              <w:rPr>
                <w:b/>
                <w:sz w:val="26"/>
                <w:szCs w:val="26"/>
                <w:lang w:val="ro-RO"/>
              </w:rPr>
              <w:lastRenderedPageBreak/>
              <w:t>Fundamentarea economico-financiară</w:t>
            </w:r>
          </w:p>
        </w:tc>
      </w:tr>
      <w:tr w:rsidR="00250C3D" w:rsidRPr="000F1514" w:rsidTr="002E1A07">
        <w:trPr>
          <w:trHeight w:val="680"/>
        </w:trPr>
        <w:tc>
          <w:tcPr>
            <w:tcW w:w="9805" w:type="dxa"/>
          </w:tcPr>
          <w:p w:rsidR="00250C3D" w:rsidRPr="002E1A07" w:rsidRDefault="00F27C9E" w:rsidP="00FC4B57">
            <w:pPr>
              <w:ind w:firstLine="431"/>
              <w:jc w:val="both"/>
              <w:rPr>
                <w:sz w:val="26"/>
                <w:szCs w:val="26"/>
                <w:lang w:val="ro-RO"/>
              </w:rPr>
            </w:pPr>
            <w:r w:rsidRPr="00F27C9E">
              <w:rPr>
                <w:sz w:val="26"/>
                <w:szCs w:val="26"/>
                <w:lang w:val="ro-RO"/>
              </w:rPr>
              <w:t>Aprobarea proiectului de hotărâre nu va necesita cheltuieli financiare suplimentare de la bugetul de stat.</w:t>
            </w:r>
          </w:p>
        </w:tc>
      </w:tr>
      <w:tr w:rsidR="00250C3D" w:rsidRPr="000F1514" w:rsidTr="002E1A07">
        <w:tc>
          <w:tcPr>
            <w:tcW w:w="9805" w:type="dxa"/>
            <w:shd w:val="clear" w:color="auto" w:fill="BFBFBF" w:themeFill="background1" w:themeFillShade="BF"/>
          </w:tcPr>
          <w:p w:rsidR="00250C3D" w:rsidRPr="002E1A07" w:rsidRDefault="00250C3D" w:rsidP="00FC4B57">
            <w:pPr>
              <w:tabs>
                <w:tab w:val="left" w:pos="278"/>
              </w:tabs>
              <w:jc w:val="center"/>
              <w:rPr>
                <w:b/>
                <w:sz w:val="26"/>
                <w:szCs w:val="26"/>
                <w:lang w:val="ro-RO"/>
              </w:rPr>
            </w:pPr>
            <w:r w:rsidRPr="002E1A07">
              <w:rPr>
                <w:b/>
                <w:sz w:val="26"/>
                <w:szCs w:val="26"/>
                <w:lang w:val="ro-RO"/>
              </w:rPr>
              <w:t>Modul de încorporare a actului în cadrul normativ în vigoare</w:t>
            </w:r>
          </w:p>
        </w:tc>
      </w:tr>
      <w:tr w:rsidR="00250C3D" w:rsidRPr="000F1514" w:rsidTr="002E1A07">
        <w:trPr>
          <w:trHeight w:val="458"/>
        </w:trPr>
        <w:tc>
          <w:tcPr>
            <w:tcW w:w="9805" w:type="dxa"/>
            <w:shd w:val="clear" w:color="auto" w:fill="auto"/>
          </w:tcPr>
          <w:p w:rsidR="00250C3D" w:rsidRPr="002E1A07" w:rsidRDefault="00C74724" w:rsidP="00DA07BE">
            <w:pPr>
              <w:ind w:firstLine="431"/>
              <w:jc w:val="both"/>
              <w:rPr>
                <w:sz w:val="26"/>
                <w:szCs w:val="26"/>
                <w:lang w:val="ro-RO"/>
              </w:rPr>
            </w:pPr>
            <w:r>
              <w:rPr>
                <w:sz w:val="26"/>
                <w:szCs w:val="26"/>
                <w:lang w:val="ro-RO"/>
              </w:rPr>
              <w:t xml:space="preserve">Adoptarea prezentului proiect de hotărâre de Guvern nu </w:t>
            </w:r>
            <w:r w:rsidR="00DA07BE">
              <w:rPr>
                <w:sz w:val="26"/>
                <w:szCs w:val="26"/>
                <w:lang w:val="ro-RO"/>
              </w:rPr>
              <w:t>necesită abrogarea sau elaborarea unor acte normative noi</w:t>
            </w:r>
            <w:r>
              <w:rPr>
                <w:sz w:val="26"/>
                <w:szCs w:val="26"/>
                <w:lang w:val="ro-RO"/>
              </w:rPr>
              <w:t>.</w:t>
            </w:r>
            <w:r w:rsidR="00AF0F6E">
              <w:rPr>
                <w:sz w:val="26"/>
                <w:szCs w:val="26"/>
                <w:lang w:val="ro-RO"/>
              </w:rPr>
              <w:t xml:space="preserve"> </w:t>
            </w:r>
          </w:p>
        </w:tc>
      </w:tr>
      <w:tr w:rsidR="00250C3D" w:rsidRPr="000F1514" w:rsidTr="002E1A07">
        <w:tc>
          <w:tcPr>
            <w:tcW w:w="9805" w:type="dxa"/>
            <w:shd w:val="clear" w:color="auto" w:fill="BFBFBF" w:themeFill="background1" w:themeFillShade="BF"/>
          </w:tcPr>
          <w:p w:rsidR="00250C3D" w:rsidRPr="002E1A07" w:rsidRDefault="00250C3D" w:rsidP="00FC4B57">
            <w:pPr>
              <w:tabs>
                <w:tab w:val="left" w:pos="278"/>
              </w:tabs>
              <w:jc w:val="center"/>
              <w:rPr>
                <w:b/>
                <w:sz w:val="26"/>
                <w:szCs w:val="26"/>
                <w:lang w:val="ro-RO"/>
              </w:rPr>
            </w:pPr>
            <w:r w:rsidRPr="002E1A07">
              <w:rPr>
                <w:b/>
                <w:sz w:val="26"/>
                <w:szCs w:val="26"/>
                <w:lang w:val="ro-RO"/>
              </w:rPr>
              <w:t>Avizarea şi consultarea publică a proiectului</w:t>
            </w:r>
          </w:p>
        </w:tc>
      </w:tr>
      <w:tr w:rsidR="00250C3D" w:rsidRPr="000F1514" w:rsidTr="002E1A07">
        <w:trPr>
          <w:trHeight w:val="356"/>
        </w:trPr>
        <w:tc>
          <w:tcPr>
            <w:tcW w:w="9805" w:type="dxa"/>
          </w:tcPr>
          <w:p w:rsidR="00C4049C" w:rsidRDefault="00C4049C" w:rsidP="00C4049C">
            <w:pPr>
              <w:jc w:val="both"/>
              <w:rPr>
                <w:sz w:val="26"/>
                <w:szCs w:val="26"/>
                <w:lang w:val="ro-RO"/>
              </w:rPr>
            </w:pPr>
            <w:r>
              <w:rPr>
                <w:sz w:val="26"/>
                <w:szCs w:val="26"/>
                <w:lang w:val="ro-RO"/>
              </w:rPr>
              <w:t>În conformitate cu prevederile Regulamentului Guvernului, aprobat prin Hotărîrea Guvernului nr. 610/2018, prezentul proiect a fost consultat cu Ministerul Afacerilor Externe și Integrării Europene, Ministerul Economiei și Infrastructurii, Ministerul Agriculturii, Dezvoltării Regionale și Mediului</w:t>
            </w:r>
            <w:r w:rsidR="004B1446">
              <w:rPr>
                <w:sz w:val="26"/>
                <w:szCs w:val="26"/>
                <w:lang w:val="ro-RO"/>
              </w:rPr>
              <w:t>, Ministerul Justiției, Curtea de Conturi, CNA, Consiliul de Supraveghere Publica a Auditului.</w:t>
            </w:r>
          </w:p>
          <w:p w:rsidR="00D66E06" w:rsidRPr="00DA07BE" w:rsidRDefault="00DA07BE" w:rsidP="00C4049C">
            <w:pPr>
              <w:jc w:val="both"/>
              <w:rPr>
                <w:sz w:val="26"/>
                <w:szCs w:val="26"/>
                <w:lang w:val="ro-RO"/>
              </w:rPr>
            </w:pPr>
            <w:r>
              <w:rPr>
                <w:sz w:val="26"/>
                <w:szCs w:val="26"/>
                <w:lang w:val="ro-RO"/>
              </w:rPr>
              <w:t>În scopul respectării prevederilor Legii nr. 239/2008 privind transparența în procesul decizional</w:t>
            </w:r>
            <w:r w:rsidR="00C4049C">
              <w:rPr>
                <w:sz w:val="26"/>
                <w:szCs w:val="26"/>
                <w:lang w:val="ro-RO"/>
              </w:rPr>
              <w:t xml:space="preserve">, proiectul de act normativ a fost plasat pe pagina web oficială a Ministerului Finanțelor la compartimentul Transparența decizională. </w:t>
            </w:r>
          </w:p>
        </w:tc>
      </w:tr>
      <w:tr w:rsidR="00250C3D" w:rsidRPr="002E1A07" w:rsidTr="002E1A07">
        <w:tc>
          <w:tcPr>
            <w:tcW w:w="9805" w:type="dxa"/>
            <w:shd w:val="clear" w:color="auto" w:fill="BFBFBF" w:themeFill="background1" w:themeFillShade="BF"/>
          </w:tcPr>
          <w:p w:rsidR="00250C3D" w:rsidRPr="002E1A07" w:rsidRDefault="00250C3D" w:rsidP="00FC4B57">
            <w:pPr>
              <w:tabs>
                <w:tab w:val="left" w:pos="278"/>
              </w:tabs>
              <w:jc w:val="center"/>
              <w:rPr>
                <w:b/>
                <w:sz w:val="26"/>
                <w:szCs w:val="26"/>
                <w:lang w:val="ro-RO"/>
              </w:rPr>
            </w:pPr>
            <w:r w:rsidRPr="002E1A07">
              <w:rPr>
                <w:b/>
                <w:sz w:val="26"/>
                <w:szCs w:val="26"/>
                <w:lang w:val="ro-RO"/>
              </w:rPr>
              <w:t>Constatările expertizei anticorupţie</w:t>
            </w:r>
          </w:p>
        </w:tc>
      </w:tr>
      <w:tr w:rsidR="00250C3D" w:rsidRPr="000F1514" w:rsidTr="002E1A07">
        <w:trPr>
          <w:trHeight w:val="86"/>
        </w:trPr>
        <w:tc>
          <w:tcPr>
            <w:tcW w:w="9805" w:type="dxa"/>
            <w:shd w:val="clear" w:color="auto" w:fill="auto"/>
          </w:tcPr>
          <w:p w:rsidR="00250C3D" w:rsidRPr="004B1446" w:rsidRDefault="00E7795B" w:rsidP="004B1446">
            <w:pPr>
              <w:pStyle w:val="20"/>
              <w:shd w:val="clear" w:color="auto" w:fill="auto"/>
              <w:spacing w:before="0" w:after="0" w:line="240" w:lineRule="auto"/>
              <w:rPr>
                <w:rFonts w:ascii="Times New Roman" w:hAnsi="Times New Roman" w:cs="Times New Roman"/>
                <w:sz w:val="26"/>
                <w:szCs w:val="26"/>
                <w:highlight w:val="yellow"/>
                <w:lang w:val="ro-RO"/>
              </w:rPr>
            </w:pPr>
            <w:r w:rsidRPr="004B1446">
              <w:rPr>
                <w:rFonts w:ascii="Times New Roman" w:hAnsi="Times New Roman" w:cs="Times New Roman"/>
                <w:sz w:val="26"/>
                <w:szCs w:val="26"/>
                <w:lang w:val="ro-RO"/>
              </w:rPr>
              <w:t>Proiectul de</w:t>
            </w:r>
            <w:r w:rsidR="004B1446" w:rsidRPr="004B1446">
              <w:rPr>
                <w:rFonts w:ascii="Times New Roman" w:hAnsi="Times New Roman" w:cs="Times New Roman"/>
                <w:sz w:val="26"/>
                <w:szCs w:val="26"/>
                <w:lang w:val="ro-RO"/>
              </w:rPr>
              <w:t xml:space="preserve"> act normativ a fost supus </w:t>
            </w:r>
            <w:r w:rsidR="00D50E63" w:rsidRPr="004B1446">
              <w:rPr>
                <w:rFonts w:ascii="Times New Roman" w:hAnsi="Times New Roman" w:cs="Times New Roman"/>
                <w:sz w:val="26"/>
                <w:szCs w:val="26"/>
                <w:lang w:val="ro-RO"/>
              </w:rPr>
              <w:t xml:space="preserve">expertizei anticorupție. Concluziile prezentate în Raportul de expertiză anticorupție </w:t>
            </w:r>
            <w:r w:rsidRPr="004B1446">
              <w:rPr>
                <w:rFonts w:ascii="Times New Roman" w:hAnsi="Times New Roman" w:cs="Times New Roman"/>
                <w:sz w:val="26"/>
                <w:szCs w:val="26"/>
                <w:lang w:val="ro-RO"/>
              </w:rPr>
              <w:t xml:space="preserve">nr. </w:t>
            </w:r>
            <w:r w:rsidR="000834DD" w:rsidRPr="004B1446">
              <w:rPr>
                <w:rFonts w:ascii="Times New Roman" w:hAnsi="Times New Roman" w:cs="Times New Roman"/>
                <w:sz w:val="26"/>
                <w:szCs w:val="26"/>
                <w:lang w:val="ro-RO"/>
              </w:rPr>
              <w:t>06</w:t>
            </w:r>
            <w:r w:rsidR="00CD6E61" w:rsidRPr="004B1446">
              <w:rPr>
                <w:rFonts w:ascii="Times New Roman" w:hAnsi="Times New Roman" w:cs="Times New Roman"/>
                <w:sz w:val="26"/>
                <w:szCs w:val="26"/>
                <w:lang w:val="ro-RO"/>
              </w:rPr>
              <w:t>/</w:t>
            </w:r>
            <w:r w:rsidR="000834DD" w:rsidRPr="004B1446">
              <w:rPr>
                <w:rFonts w:ascii="Times New Roman" w:hAnsi="Times New Roman" w:cs="Times New Roman"/>
                <w:sz w:val="26"/>
                <w:szCs w:val="26"/>
                <w:lang w:val="ro-RO"/>
              </w:rPr>
              <w:t>2-4386</w:t>
            </w:r>
            <w:r w:rsidR="00D50E63" w:rsidRPr="004B1446">
              <w:rPr>
                <w:rFonts w:ascii="Times New Roman" w:hAnsi="Times New Roman" w:cs="Times New Roman"/>
                <w:sz w:val="26"/>
                <w:szCs w:val="26"/>
                <w:lang w:val="ro-RO"/>
              </w:rPr>
              <w:t xml:space="preserve"> din </w:t>
            </w:r>
            <w:r w:rsidR="000834DD" w:rsidRPr="004B1446">
              <w:rPr>
                <w:rFonts w:ascii="Times New Roman" w:hAnsi="Times New Roman" w:cs="Times New Roman"/>
                <w:sz w:val="26"/>
                <w:szCs w:val="26"/>
                <w:lang w:val="ro-RO"/>
              </w:rPr>
              <w:t>2</w:t>
            </w:r>
            <w:r w:rsidR="00CD6E61" w:rsidRPr="004B1446">
              <w:rPr>
                <w:rFonts w:ascii="Times New Roman" w:hAnsi="Times New Roman" w:cs="Times New Roman"/>
                <w:sz w:val="26"/>
                <w:szCs w:val="26"/>
                <w:lang w:val="ro-RO"/>
              </w:rPr>
              <w:t>9</w:t>
            </w:r>
            <w:r w:rsidR="00D50E63" w:rsidRPr="004B1446">
              <w:rPr>
                <w:rFonts w:ascii="Times New Roman" w:hAnsi="Times New Roman" w:cs="Times New Roman"/>
                <w:sz w:val="26"/>
                <w:szCs w:val="26"/>
                <w:lang w:val="ro-RO"/>
              </w:rPr>
              <w:t xml:space="preserve"> iu</w:t>
            </w:r>
            <w:r w:rsidR="000834DD" w:rsidRPr="004B1446">
              <w:rPr>
                <w:rFonts w:ascii="Times New Roman" w:hAnsi="Times New Roman" w:cs="Times New Roman"/>
                <w:sz w:val="26"/>
                <w:szCs w:val="26"/>
                <w:lang w:val="ro-RO"/>
              </w:rPr>
              <w:t>l</w:t>
            </w:r>
            <w:r w:rsidR="00D50E63" w:rsidRPr="004B1446">
              <w:rPr>
                <w:rFonts w:ascii="Times New Roman" w:hAnsi="Times New Roman" w:cs="Times New Roman"/>
                <w:sz w:val="26"/>
                <w:szCs w:val="26"/>
                <w:lang w:val="ro-RO"/>
              </w:rPr>
              <w:t xml:space="preserve">ie 2019 </w:t>
            </w:r>
            <w:r w:rsidR="004B1446">
              <w:rPr>
                <w:rFonts w:ascii="Times New Roman" w:hAnsi="Times New Roman" w:cs="Times New Roman"/>
                <w:sz w:val="26"/>
                <w:szCs w:val="26"/>
                <w:lang w:val="ro-RO"/>
              </w:rPr>
              <w:t>relevă că p</w:t>
            </w:r>
            <w:r w:rsidR="00E437D7" w:rsidRPr="004B1446">
              <w:rPr>
                <w:rFonts w:ascii="Times New Roman" w:hAnsi="Times New Roman" w:cs="Times New Roman"/>
                <w:color w:val="000000"/>
                <w:sz w:val="26"/>
                <w:szCs w:val="26"/>
                <w:lang w:val="ro-RO" w:eastAsia="ro-RO" w:bidi="ro-RO"/>
              </w:rPr>
              <w:t>roiectul nu conține riscuri</w:t>
            </w:r>
            <w:r w:rsidR="004B1446">
              <w:rPr>
                <w:rFonts w:ascii="Times New Roman" w:hAnsi="Times New Roman" w:cs="Times New Roman"/>
                <w:color w:val="000000"/>
                <w:sz w:val="26"/>
                <w:szCs w:val="26"/>
                <w:lang w:val="ro-RO" w:eastAsia="ro-RO" w:bidi="ro-RO"/>
              </w:rPr>
              <w:t xml:space="preserve"> sau factori</w:t>
            </w:r>
            <w:r w:rsidR="00E437D7" w:rsidRPr="004B1446">
              <w:rPr>
                <w:rFonts w:ascii="Times New Roman" w:hAnsi="Times New Roman" w:cs="Times New Roman"/>
                <w:color w:val="000000"/>
                <w:sz w:val="26"/>
                <w:szCs w:val="26"/>
                <w:lang w:val="ro-RO" w:eastAsia="ro-RO" w:bidi="ro-RO"/>
              </w:rPr>
              <w:t xml:space="preserve"> de corupție.</w:t>
            </w:r>
          </w:p>
        </w:tc>
      </w:tr>
      <w:tr w:rsidR="00250C3D" w:rsidRPr="002E1A07" w:rsidTr="002E1A07">
        <w:tc>
          <w:tcPr>
            <w:tcW w:w="9805" w:type="dxa"/>
            <w:shd w:val="clear" w:color="auto" w:fill="BFBFBF" w:themeFill="background1" w:themeFillShade="BF"/>
            <w:vAlign w:val="center"/>
          </w:tcPr>
          <w:p w:rsidR="00250C3D" w:rsidRPr="002E1A07" w:rsidRDefault="00250C3D" w:rsidP="00FC4B57">
            <w:pPr>
              <w:tabs>
                <w:tab w:val="left" w:pos="278"/>
              </w:tabs>
              <w:jc w:val="center"/>
              <w:rPr>
                <w:b/>
                <w:sz w:val="26"/>
                <w:szCs w:val="26"/>
                <w:lang w:val="ro-RO"/>
              </w:rPr>
            </w:pPr>
            <w:r w:rsidRPr="002E1A07">
              <w:rPr>
                <w:b/>
                <w:sz w:val="26"/>
                <w:szCs w:val="26"/>
                <w:lang w:val="ro-RO"/>
              </w:rPr>
              <w:t>Constatările expertizei juridice</w:t>
            </w:r>
          </w:p>
        </w:tc>
      </w:tr>
      <w:tr w:rsidR="00250C3D" w:rsidRPr="000F1514" w:rsidTr="002E1A07">
        <w:tc>
          <w:tcPr>
            <w:tcW w:w="9805" w:type="dxa"/>
            <w:shd w:val="clear" w:color="auto" w:fill="auto"/>
          </w:tcPr>
          <w:p w:rsidR="00250C3D" w:rsidRPr="00FC4B57" w:rsidRDefault="004B1446" w:rsidP="004B1446">
            <w:pPr>
              <w:jc w:val="both"/>
              <w:rPr>
                <w:sz w:val="26"/>
                <w:szCs w:val="26"/>
              </w:rPr>
            </w:pPr>
            <w:r>
              <w:rPr>
                <w:sz w:val="26"/>
                <w:szCs w:val="26"/>
              </w:rPr>
              <w:t xml:space="preserve">Proiectul a fost expertizat de Ministerul Justiției. Obiecțiile și propunerile căruia au fost luate în considerare la definitivarea proiectului. </w:t>
            </w:r>
          </w:p>
        </w:tc>
      </w:tr>
    </w:tbl>
    <w:p w:rsidR="00A63670" w:rsidRPr="002E1A07" w:rsidRDefault="00A63670" w:rsidP="002E1A07">
      <w:pPr>
        <w:spacing w:line="276" w:lineRule="auto"/>
        <w:rPr>
          <w:sz w:val="26"/>
          <w:szCs w:val="26"/>
          <w:lang w:val="ro-RO"/>
        </w:rPr>
      </w:pPr>
    </w:p>
    <w:p w:rsidR="00D87B2A" w:rsidRDefault="00D87B2A" w:rsidP="002E1A07">
      <w:pPr>
        <w:spacing w:line="276" w:lineRule="auto"/>
        <w:rPr>
          <w:b/>
          <w:sz w:val="26"/>
          <w:szCs w:val="26"/>
          <w:lang w:val="ro-RO"/>
        </w:rPr>
      </w:pPr>
    </w:p>
    <w:p w:rsidR="0023761D" w:rsidRPr="00793ADB" w:rsidRDefault="0023761D" w:rsidP="002E1A07">
      <w:pPr>
        <w:spacing w:line="276" w:lineRule="auto"/>
        <w:rPr>
          <w:b/>
          <w:sz w:val="26"/>
          <w:szCs w:val="26"/>
          <w:lang w:val="ro-RO"/>
        </w:rPr>
      </w:pPr>
    </w:p>
    <w:p w:rsidR="00FB4874" w:rsidRPr="00793ADB" w:rsidRDefault="00BE0E83" w:rsidP="00BE0E83">
      <w:pPr>
        <w:spacing w:line="276" w:lineRule="auto"/>
        <w:jc w:val="center"/>
        <w:rPr>
          <w:sz w:val="26"/>
          <w:szCs w:val="26"/>
          <w:lang w:val="ro-RO"/>
        </w:rPr>
      </w:pPr>
      <w:r>
        <w:rPr>
          <w:b/>
          <w:sz w:val="26"/>
          <w:szCs w:val="26"/>
          <w:lang w:val="ro-RO"/>
        </w:rPr>
        <w:t>MINISTRU            /semnat electronic/         Natalia GAVRILIȚA</w:t>
      </w:r>
    </w:p>
    <w:sectPr w:rsidR="00FB4874" w:rsidRPr="00793ADB" w:rsidSect="00FC4B57">
      <w:footerReference w:type="default" r:id="rId8"/>
      <w:pgSz w:w="11906" w:h="16838"/>
      <w:pgMar w:top="426" w:right="849" w:bottom="1985" w:left="1701" w:header="708" w:footer="55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9A2A38" w16cid:durableId="1EA570CB"/>
  <w16cid:commentId w16cid:paraId="62D065AC" w16cid:durableId="1EA5718A"/>
  <w16cid:commentId w16cid:paraId="2A4CB645" w16cid:durableId="1EA571CE"/>
  <w16cid:commentId w16cid:paraId="0841F0EA" w16cid:durableId="1EA5735E"/>
  <w16cid:commentId w16cid:paraId="235811B4" w16cid:durableId="1EA5756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DCF" w:rsidRDefault="007E7DCF" w:rsidP="007453AB">
      <w:r>
        <w:separator/>
      </w:r>
    </w:p>
  </w:endnote>
  <w:endnote w:type="continuationSeparator" w:id="0">
    <w:p w:rsidR="007E7DCF" w:rsidRDefault="007E7DCF" w:rsidP="007453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9399"/>
      <w:docPartObj>
        <w:docPartGallery w:val="Page Numbers (Bottom of Page)"/>
        <w:docPartUnique/>
      </w:docPartObj>
    </w:sdtPr>
    <w:sdtContent>
      <w:p w:rsidR="00B57334" w:rsidRDefault="003A3998">
        <w:pPr>
          <w:pStyle w:val="ab"/>
          <w:jc w:val="right"/>
        </w:pPr>
        <w:r>
          <w:fldChar w:fldCharType="begin"/>
        </w:r>
        <w:r w:rsidR="00D11E8D">
          <w:instrText xml:space="preserve"> PAGE   \* MERGEFORMAT </w:instrText>
        </w:r>
        <w:r>
          <w:fldChar w:fldCharType="separate"/>
        </w:r>
        <w:r w:rsidR="00AC2608">
          <w:rPr>
            <w:noProof/>
          </w:rPr>
          <w:t>1</w:t>
        </w:r>
        <w:r>
          <w:rPr>
            <w:noProof/>
          </w:rPr>
          <w:fldChar w:fldCharType="end"/>
        </w:r>
      </w:p>
    </w:sdtContent>
  </w:sdt>
  <w:p w:rsidR="00B57334" w:rsidRDefault="00B5733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DCF" w:rsidRDefault="007E7DCF" w:rsidP="007453AB">
      <w:r>
        <w:separator/>
      </w:r>
    </w:p>
  </w:footnote>
  <w:footnote w:type="continuationSeparator" w:id="0">
    <w:p w:rsidR="007E7DCF" w:rsidRDefault="007E7DCF" w:rsidP="007453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22C"/>
    <w:multiLevelType w:val="hybridMultilevel"/>
    <w:tmpl w:val="91DABF00"/>
    <w:lvl w:ilvl="0" w:tplc="02A0114A">
      <w:start w:val="1"/>
      <w:numFmt w:val="bullet"/>
      <w:lvlText w:val="•"/>
      <w:lvlJc w:val="left"/>
      <w:pPr>
        <w:tabs>
          <w:tab w:val="num" w:pos="720"/>
        </w:tabs>
        <w:ind w:left="720" w:hanging="360"/>
      </w:pPr>
      <w:rPr>
        <w:rFonts w:ascii="Arial" w:hAnsi="Arial" w:hint="default"/>
      </w:rPr>
    </w:lvl>
    <w:lvl w:ilvl="1" w:tplc="C40A2A96" w:tentative="1">
      <w:start w:val="1"/>
      <w:numFmt w:val="bullet"/>
      <w:lvlText w:val="•"/>
      <w:lvlJc w:val="left"/>
      <w:pPr>
        <w:tabs>
          <w:tab w:val="num" w:pos="1440"/>
        </w:tabs>
        <w:ind w:left="1440" w:hanging="360"/>
      </w:pPr>
      <w:rPr>
        <w:rFonts w:ascii="Arial" w:hAnsi="Arial" w:hint="default"/>
      </w:rPr>
    </w:lvl>
    <w:lvl w:ilvl="2" w:tplc="1822173A" w:tentative="1">
      <w:start w:val="1"/>
      <w:numFmt w:val="bullet"/>
      <w:lvlText w:val="•"/>
      <w:lvlJc w:val="left"/>
      <w:pPr>
        <w:tabs>
          <w:tab w:val="num" w:pos="2160"/>
        </w:tabs>
        <w:ind w:left="2160" w:hanging="360"/>
      </w:pPr>
      <w:rPr>
        <w:rFonts w:ascii="Arial" w:hAnsi="Arial" w:hint="default"/>
      </w:rPr>
    </w:lvl>
    <w:lvl w:ilvl="3" w:tplc="51BE6CB8" w:tentative="1">
      <w:start w:val="1"/>
      <w:numFmt w:val="bullet"/>
      <w:lvlText w:val="•"/>
      <w:lvlJc w:val="left"/>
      <w:pPr>
        <w:tabs>
          <w:tab w:val="num" w:pos="2880"/>
        </w:tabs>
        <w:ind w:left="2880" w:hanging="360"/>
      </w:pPr>
      <w:rPr>
        <w:rFonts w:ascii="Arial" w:hAnsi="Arial" w:hint="default"/>
      </w:rPr>
    </w:lvl>
    <w:lvl w:ilvl="4" w:tplc="52E6B08A" w:tentative="1">
      <w:start w:val="1"/>
      <w:numFmt w:val="bullet"/>
      <w:lvlText w:val="•"/>
      <w:lvlJc w:val="left"/>
      <w:pPr>
        <w:tabs>
          <w:tab w:val="num" w:pos="3600"/>
        </w:tabs>
        <w:ind w:left="3600" w:hanging="360"/>
      </w:pPr>
      <w:rPr>
        <w:rFonts w:ascii="Arial" w:hAnsi="Arial" w:hint="default"/>
      </w:rPr>
    </w:lvl>
    <w:lvl w:ilvl="5" w:tplc="325C51B0" w:tentative="1">
      <w:start w:val="1"/>
      <w:numFmt w:val="bullet"/>
      <w:lvlText w:val="•"/>
      <w:lvlJc w:val="left"/>
      <w:pPr>
        <w:tabs>
          <w:tab w:val="num" w:pos="4320"/>
        </w:tabs>
        <w:ind w:left="4320" w:hanging="360"/>
      </w:pPr>
      <w:rPr>
        <w:rFonts w:ascii="Arial" w:hAnsi="Arial" w:hint="default"/>
      </w:rPr>
    </w:lvl>
    <w:lvl w:ilvl="6" w:tplc="2CAC4BC4" w:tentative="1">
      <w:start w:val="1"/>
      <w:numFmt w:val="bullet"/>
      <w:lvlText w:val="•"/>
      <w:lvlJc w:val="left"/>
      <w:pPr>
        <w:tabs>
          <w:tab w:val="num" w:pos="5040"/>
        </w:tabs>
        <w:ind w:left="5040" w:hanging="360"/>
      </w:pPr>
      <w:rPr>
        <w:rFonts w:ascii="Arial" w:hAnsi="Arial" w:hint="default"/>
      </w:rPr>
    </w:lvl>
    <w:lvl w:ilvl="7" w:tplc="37168DDC" w:tentative="1">
      <w:start w:val="1"/>
      <w:numFmt w:val="bullet"/>
      <w:lvlText w:val="•"/>
      <w:lvlJc w:val="left"/>
      <w:pPr>
        <w:tabs>
          <w:tab w:val="num" w:pos="5760"/>
        </w:tabs>
        <w:ind w:left="5760" w:hanging="360"/>
      </w:pPr>
      <w:rPr>
        <w:rFonts w:ascii="Arial" w:hAnsi="Arial" w:hint="default"/>
      </w:rPr>
    </w:lvl>
    <w:lvl w:ilvl="8" w:tplc="AA367878" w:tentative="1">
      <w:start w:val="1"/>
      <w:numFmt w:val="bullet"/>
      <w:lvlText w:val="•"/>
      <w:lvlJc w:val="left"/>
      <w:pPr>
        <w:tabs>
          <w:tab w:val="num" w:pos="6480"/>
        </w:tabs>
        <w:ind w:left="6480" w:hanging="360"/>
      </w:pPr>
      <w:rPr>
        <w:rFonts w:ascii="Arial" w:hAnsi="Arial" w:hint="default"/>
      </w:rPr>
    </w:lvl>
  </w:abstractNum>
  <w:abstractNum w:abstractNumId="1">
    <w:nsid w:val="08BF3680"/>
    <w:multiLevelType w:val="hybridMultilevel"/>
    <w:tmpl w:val="06C641C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117F716D"/>
    <w:multiLevelType w:val="hybridMultilevel"/>
    <w:tmpl w:val="852EAFB6"/>
    <w:lvl w:ilvl="0" w:tplc="4B1E45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CC1C09"/>
    <w:multiLevelType w:val="hybridMultilevel"/>
    <w:tmpl w:val="3DB24E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1C6E59"/>
    <w:multiLevelType w:val="hybridMultilevel"/>
    <w:tmpl w:val="B0C029B2"/>
    <w:lvl w:ilvl="0" w:tplc="D144C9D8">
      <w:start w:val="1"/>
      <w:numFmt w:val="bullet"/>
      <w:lvlText w:val="-"/>
      <w:lvlJc w:val="left"/>
      <w:pPr>
        <w:ind w:left="720" w:hanging="360"/>
      </w:pPr>
      <w:rPr>
        <w:rFonts w:ascii="Times New Roman" w:hAnsi="Times New Roman" w:cs="Times New Roman"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D183B3D"/>
    <w:multiLevelType w:val="hybridMultilevel"/>
    <w:tmpl w:val="722CA6F8"/>
    <w:lvl w:ilvl="0" w:tplc="DAAC8AF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nsid w:val="622F67A3"/>
    <w:multiLevelType w:val="hybridMultilevel"/>
    <w:tmpl w:val="36A253F8"/>
    <w:lvl w:ilvl="0" w:tplc="9E1660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DB4137"/>
    <w:multiLevelType w:val="hybridMultilevel"/>
    <w:tmpl w:val="E2101EF8"/>
    <w:lvl w:ilvl="0" w:tplc="6B26269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67172D68"/>
    <w:multiLevelType w:val="hybridMultilevel"/>
    <w:tmpl w:val="7B1EC270"/>
    <w:lvl w:ilvl="0" w:tplc="6B2626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F86206"/>
    <w:multiLevelType w:val="hybridMultilevel"/>
    <w:tmpl w:val="5584314E"/>
    <w:lvl w:ilvl="0" w:tplc="5A62EFE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3A56301"/>
    <w:multiLevelType w:val="hybridMultilevel"/>
    <w:tmpl w:val="78F26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D82265"/>
    <w:multiLevelType w:val="hybridMultilevel"/>
    <w:tmpl w:val="E06AEE10"/>
    <w:lvl w:ilvl="0" w:tplc="9E16604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7EE15D74"/>
    <w:multiLevelType w:val="hybridMultilevel"/>
    <w:tmpl w:val="6576E9D8"/>
    <w:lvl w:ilvl="0" w:tplc="27F4422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1"/>
  </w:num>
  <w:num w:numId="2">
    <w:abstractNumId w:val="6"/>
  </w:num>
  <w:num w:numId="3">
    <w:abstractNumId w:val="4"/>
  </w:num>
  <w:num w:numId="4">
    <w:abstractNumId w:val="7"/>
  </w:num>
  <w:num w:numId="5">
    <w:abstractNumId w:val="2"/>
  </w:num>
  <w:num w:numId="6">
    <w:abstractNumId w:val="9"/>
  </w:num>
  <w:num w:numId="7">
    <w:abstractNumId w:val="5"/>
  </w:num>
  <w:num w:numId="8">
    <w:abstractNumId w:val="1"/>
  </w:num>
  <w:num w:numId="9">
    <w:abstractNumId w:val="3"/>
  </w:num>
  <w:num w:numId="10">
    <w:abstractNumId w:val="8"/>
  </w:num>
  <w:num w:numId="11">
    <w:abstractNumId w:val="12"/>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3E4EB9"/>
    <w:rsid w:val="000040EB"/>
    <w:rsid w:val="00017F9A"/>
    <w:rsid w:val="00021196"/>
    <w:rsid w:val="000245CB"/>
    <w:rsid w:val="000272BF"/>
    <w:rsid w:val="00042479"/>
    <w:rsid w:val="00050207"/>
    <w:rsid w:val="0006777F"/>
    <w:rsid w:val="00067F03"/>
    <w:rsid w:val="00082349"/>
    <w:rsid w:val="000834DD"/>
    <w:rsid w:val="000A24F4"/>
    <w:rsid w:val="000A2A6A"/>
    <w:rsid w:val="000A72E4"/>
    <w:rsid w:val="000B07B4"/>
    <w:rsid w:val="000C3D4B"/>
    <w:rsid w:val="000C77C2"/>
    <w:rsid w:val="000D0872"/>
    <w:rsid w:val="000D3856"/>
    <w:rsid w:val="000D4A78"/>
    <w:rsid w:val="000D6BF7"/>
    <w:rsid w:val="000E0CD7"/>
    <w:rsid w:val="000E2B7A"/>
    <w:rsid w:val="000E4019"/>
    <w:rsid w:val="000E6E28"/>
    <w:rsid w:val="000F1514"/>
    <w:rsid w:val="000F2880"/>
    <w:rsid w:val="000F45CE"/>
    <w:rsid w:val="000F4ECA"/>
    <w:rsid w:val="001076D9"/>
    <w:rsid w:val="00116DF3"/>
    <w:rsid w:val="0012661D"/>
    <w:rsid w:val="00130EAD"/>
    <w:rsid w:val="001448B7"/>
    <w:rsid w:val="0014727B"/>
    <w:rsid w:val="00152B12"/>
    <w:rsid w:val="001530F3"/>
    <w:rsid w:val="001574D2"/>
    <w:rsid w:val="00161956"/>
    <w:rsid w:val="001647A7"/>
    <w:rsid w:val="0017440E"/>
    <w:rsid w:val="00174FEE"/>
    <w:rsid w:val="0017677C"/>
    <w:rsid w:val="001772B4"/>
    <w:rsid w:val="0018656E"/>
    <w:rsid w:val="00186E09"/>
    <w:rsid w:val="00190BAB"/>
    <w:rsid w:val="0019388F"/>
    <w:rsid w:val="001A2353"/>
    <w:rsid w:val="001A39BC"/>
    <w:rsid w:val="001C6029"/>
    <w:rsid w:val="001D0187"/>
    <w:rsid w:val="001D6DB6"/>
    <w:rsid w:val="00200F1D"/>
    <w:rsid w:val="002177DE"/>
    <w:rsid w:val="00221090"/>
    <w:rsid w:val="00223ACA"/>
    <w:rsid w:val="002248DC"/>
    <w:rsid w:val="002249E0"/>
    <w:rsid w:val="002256DB"/>
    <w:rsid w:val="0023761D"/>
    <w:rsid w:val="00250C3D"/>
    <w:rsid w:val="00260505"/>
    <w:rsid w:val="00275B5A"/>
    <w:rsid w:val="00280849"/>
    <w:rsid w:val="0029429D"/>
    <w:rsid w:val="002A3199"/>
    <w:rsid w:val="002D2F75"/>
    <w:rsid w:val="002E1801"/>
    <w:rsid w:val="002E1A07"/>
    <w:rsid w:val="002E4090"/>
    <w:rsid w:val="002F0327"/>
    <w:rsid w:val="002F1E71"/>
    <w:rsid w:val="003003B8"/>
    <w:rsid w:val="003037C7"/>
    <w:rsid w:val="00305A7E"/>
    <w:rsid w:val="003067F0"/>
    <w:rsid w:val="0030696C"/>
    <w:rsid w:val="00313A24"/>
    <w:rsid w:val="0031564D"/>
    <w:rsid w:val="0031679C"/>
    <w:rsid w:val="003267EF"/>
    <w:rsid w:val="003271AA"/>
    <w:rsid w:val="00330816"/>
    <w:rsid w:val="00332899"/>
    <w:rsid w:val="0033329C"/>
    <w:rsid w:val="00344971"/>
    <w:rsid w:val="00351A5E"/>
    <w:rsid w:val="00352DEC"/>
    <w:rsid w:val="0036133C"/>
    <w:rsid w:val="00371AC7"/>
    <w:rsid w:val="00373538"/>
    <w:rsid w:val="0037731B"/>
    <w:rsid w:val="00377B3F"/>
    <w:rsid w:val="00384951"/>
    <w:rsid w:val="00387735"/>
    <w:rsid w:val="003901C6"/>
    <w:rsid w:val="003934FD"/>
    <w:rsid w:val="0039388E"/>
    <w:rsid w:val="003A3998"/>
    <w:rsid w:val="003B1563"/>
    <w:rsid w:val="003C1358"/>
    <w:rsid w:val="003C5A25"/>
    <w:rsid w:val="003C6BEC"/>
    <w:rsid w:val="003D0417"/>
    <w:rsid w:val="003D4B31"/>
    <w:rsid w:val="003E15ED"/>
    <w:rsid w:val="003E4EB9"/>
    <w:rsid w:val="003E5055"/>
    <w:rsid w:val="003F292C"/>
    <w:rsid w:val="003F3DE2"/>
    <w:rsid w:val="00413807"/>
    <w:rsid w:val="0041560A"/>
    <w:rsid w:val="004304CC"/>
    <w:rsid w:val="00430D4F"/>
    <w:rsid w:val="004414E9"/>
    <w:rsid w:val="004478FA"/>
    <w:rsid w:val="004527BB"/>
    <w:rsid w:val="00463AF3"/>
    <w:rsid w:val="00464C5F"/>
    <w:rsid w:val="00471924"/>
    <w:rsid w:val="0047577D"/>
    <w:rsid w:val="00482D2C"/>
    <w:rsid w:val="00491599"/>
    <w:rsid w:val="00497BE1"/>
    <w:rsid w:val="004A4046"/>
    <w:rsid w:val="004A4E87"/>
    <w:rsid w:val="004B0AFC"/>
    <w:rsid w:val="004B1446"/>
    <w:rsid w:val="004B7365"/>
    <w:rsid w:val="004C17E2"/>
    <w:rsid w:val="004D3DE5"/>
    <w:rsid w:val="004D3F10"/>
    <w:rsid w:val="004D7830"/>
    <w:rsid w:val="004E1972"/>
    <w:rsid w:val="004E4453"/>
    <w:rsid w:val="004E473F"/>
    <w:rsid w:val="004E6947"/>
    <w:rsid w:val="004F4478"/>
    <w:rsid w:val="004F6E3D"/>
    <w:rsid w:val="00504578"/>
    <w:rsid w:val="00506852"/>
    <w:rsid w:val="0051142F"/>
    <w:rsid w:val="00514F66"/>
    <w:rsid w:val="00524DCC"/>
    <w:rsid w:val="00525826"/>
    <w:rsid w:val="00531F4D"/>
    <w:rsid w:val="005321F1"/>
    <w:rsid w:val="00532EBB"/>
    <w:rsid w:val="00534928"/>
    <w:rsid w:val="0054328B"/>
    <w:rsid w:val="00555BE5"/>
    <w:rsid w:val="00575F2E"/>
    <w:rsid w:val="00595BDE"/>
    <w:rsid w:val="005A60D9"/>
    <w:rsid w:val="005B70BB"/>
    <w:rsid w:val="005C48AC"/>
    <w:rsid w:val="005C4E6D"/>
    <w:rsid w:val="005C73A4"/>
    <w:rsid w:val="005D4DD2"/>
    <w:rsid w:val="005D68F2"/>
    <w:rsid w:val="005D7281"/>
    <w:rsid w:val="005E7B12"/>
    <w:rsid w:val="005F35F5"/>
    <w:rsid w:val="005F64A4"/>
    <w:rsid w:val="006154D0"/>
    <w:rsid w:val="006161BE"/>
    <w:rsid w:val="00632118"/>
    <w:rsid w:val="00642F3E"/>
    <w:rsid w:val="00646CE6"/>
    <w:rsid w:val="006577F6"/>
    <w:rsid w:val="00667E61"/>
    <w:rsid w:val="00673E94"/>
    <w:rsid w:val="006755C1"/>
    <w:rsid w:val="0068391F"/>
    <w:rsid w:val="00692C5C"/>
    <w:rsid w:val="00693AF9"/>
    <w:rsid w:val="006946DF"/>
    <w:rsid w:val="006A0A71"/>
    <w:rsid w:val="006A0F19"/>
    <w:rsid w:val="006A7383"/>
    <w:rsid w:val="006B1A5B"/>
    <w:rsid w:val="006B36DD"/>
    <w:rsid w:val="006D6F7D"/>
    <w:rsid w:val="006E4BC4"/>
    <w:rsid w:val="006E6058"/>
    <w:rsid w:val="006F3084"/>
    <w:rsid w:val="006F5F4F"/>
    <w:rsid w:val="006F62A4"/>
    <w:rsid w:val="00712DF6"/>
    <w:rsid w:val="00715148"/>
    <w:rsid w:val="00720587"/>
    <w:rsid w:val="00721F85"/>
    <w:rsid w:val="007232E2"/>
    <w:rsid w:val="007254E7"/>
    <w:rsid w:val="00727F22"/>
    <w:rsid w:val="0073035A"/>
    <w:rsid w:val="00731F3F"/>
    <w:rsid w:val="007364A7"/>
    <w:rsid w:val="007414CC"/>
    <w:rsid w:val="00744B84"/>
    <w:rsid w:val="007453AB"/>
    <w:rsid w:val="0075349E"/>
    <w:rsid w:val="0077173E"/>
    <w:rsid w:val="00775C31"/>
    <w:rsid w:val="00780826"/>
    <w:rsid w:val="007831F6"/>
    <w:rsid w:val="00793ADB"/>
    <w:rsid w:val="007944BD"/>
    <w:rsid w:val="007A4087"/>
    <w:rsid w:val="007A493F"/>
    <w:rsid w:val="007B0FF1"/>
    <w:rsid w:val="007B1FF8"/>
    <w:rsid w:val="007B7A2B"/>
    <w:rsid w:val="007C0EDD"/>
    <w:rsid w:val="007D13BA"/>
    <w:rsid w:val="007E6A5C"/>
    <w:rsid w:val="007E7DCF"/>
    <w:rsid w:val="007E7EA3"/>
    <w:rsid w:val="007F1788"/>
    <w:rsid w:val="007F2D5B"/>
    <w:rsid w:val="007F7411"/>
    <w:rsid w:val="00807EA1"/>
    <w:rsid w:val="00815D3B"/>
    <w:rsid w:val="00822700"/>
    <w:rsid w:val="00827EF8"/>
    <w:rsid w:val="00836F1C"/>
    <w:rsid w:val="00836FD6"/>
    <w:rsid w:val="0084766A"/>
    <w:rsid w:val="00863F74"/>
    <w:rsid w:val="00865105"/>
    <w:rsid w:val="0086645C"/>
    <w:rsid w:val="00871312"/>
    <w:rsid w:val="00873476"/>
    <w:rsid w:val="00877BB2"/>
    <w:rsid w:val="00885B30"/>
    <w:rsid w:val="00890D87"/>
    <w:rsid w:val="008937AD"/>
    <w:rsid w:val="00893E76"/>
    <w:rsid w:val="00897268"/>
    <w:rsid w:val="008B2555"/>
    <w:rsid w:val="008C1EF7"/>
    <w:rsid w:val="008C4223"/>
    <w:rsid w:val="008C53FD"/>
    <w:rsid w:val="008D559D"/>
    <w:rsid w:val="008E0402"/>
    <w:rsid w:val="008E05CC"/>
    <w:rsid w:val="008E7AA6"/>
    <w:rsid w:val="0090044C"/>
    <w:rsid w:val="00902456"/>
    <w:rsid w:val="00911FDB"/>
    <w:rsid w:val="009123DF"/>
    <w:rsid w:val="00912ED0"/>
    <w:rsid w:val="00914FA9"/>
    <w:rsid w:val="00921889"/>
    <w:rsid w:val="00924E5F"/>
    <w:rsid w:val="00930F8A"/>
    <w:rsid w:val="0094035F"/>
    <w:rsid w:val="00946F2A"/>
    <w:rsid w:val="00961B37"/>
    <w:rsid w:val="00964123"/>
    <w:rsid w:val="00967E8D"/>
    <w:rsid w:val="00980759"/>
    <w:rsid w:val="00980C38"/>
    <w:rsid w:val="009867CD"/>
    <w:rsid w:val="00991D9A"/>
    <w:rsid w:val="009B0586"/>
    <w:rsid w:val="009B0E7E"/>
    <w:rsid w:val="009B70FD"/>
    <w:rsid w:val="009C21E7"/>
    <w:rsid w:val="009C40D3"/>
    <w:rsid w:val="009C41F8"/>
    <w:rsid w:val="009C5BFB"/>
    <w:rsid w:val="009D5852"/>
    <w:rsid w:val="009E1B91"/>
    <w:rsid w:val="009E1DD3"/>
    <w:rsid w:val="009E70D0"/>
    <w:rsid w:val="009F1D29"/>
    <w:rsid w:val="009F3DE4"/>
    <w:rsid w:val="009F7B98"/>
    <w:rsid w:val="009F7DE7"/>
    <w:rsid w:val="00A01B3F"/>
    <w:rsid w:val="00A067D6"/>
    <w:rsid w:val="00A06BFF"/>
    <w:rsid w:val="00A071A2"/>
    <w:rsid w:val="00A1291E"/>
    <w:rsid w:val="00A1756B"/>
    <w:rsid w:val="00A42673"/>
    <w:rsid w:val="00A447E4"/>
    <w:rsid w:val="00A50335"/>
    <w:rsid w:val="00A5062D"/>
    <w:rsid w:val="00A53565"/>
    <w:rsid w:val="00A6222F"/>
    <w:rsid w:val="00A63670"/>
    <w:rsid w:val="00A63AE1"/>
    <w:rsid w:val="00A641F3"/>
    <w:rsid w:val="00A65269"/>
    <w:rsid w:val="00A72234"/>
    <w:rsid w:val="00A7268D"/>
    <w:rsid w:val="00A77AA0"/>
    <w:rsid w:val="00A80BF4"/>
    <w:rsid w:val="00A83A75"/>
    <w:rsid w:val="00A9274C"/>
    <w:rsid w:val="00A9307B"/>
    <w:rsid w:val="00AB16F1"/>
    <w:rsid w:val="00AB3642"/>
    <w:rsid w:val="00AB4620"/>
    <w:rsid w:val="00AC13EA"/>
    <w:rsid w:val="00AC2608"/>
    <w:rsid w:val="00AC3066"/>
    <w:rsid w:val="00AD28E5"/>
    <w:rsid w:val="00AD7F40"/>
    <w:rsid w:val="00AF0F6E"/>
    <w:rsid w:val="00B10F6A"/>
    <w:rsid w:val="00B13523"/>
    <w:rsid w:val="00B139BB"/>
    <w:rsid w:val="00B13DFD"/>
    <w:rsid w:val="00B14D84"/>
    <w:rsid w:val="00B15714"/>
    <w:rsid w:val="00B1587D"/>
    <w:rsid w:val="00B418F3"/>
    <w:rsid w:val="00B42FFF"/>
    <w:rsid w:val="00B43536"/>
    <w:rsid w:val="00B45C64"/>
    <w:rsid w:val="00B568B0"/>
    <w:rsid w:val="00B57334"/>
    <w:rsid w:val="00B64D74"/>
    <w:rsid w:val="00B71FEF"/>
    <w:rsid w:val="00B76A0E"/>
    <w:rsid w:val="00B807A9"/>
    <w:rsid w:val="00B808C4"/>
    <w:rsid w:val="00B81FF3"/>
    <w:rsid w:val="00B87E55"/>
    <w:rsid w:val="00B913F0"/>
    <w:rsid w:val="00BA1DDC"/>
    <w:rsid w:val="00BA20A6"/>
    <w:rsid w:val="00BA3842"/>
    <w:rsid w:val="00BA647F"/>
    <w:rsid w:val="00BB4C14"/>
    <w:rsid w:val="00BC501A"/>
    <w:rsid w:val="00BD1CD7"/>
    <w:rsid w:val="00BD45B1"/>
    <w:rsid w:val="00BD5DB8"/>
    <w:rsid w:val="00BD69C6"/>
    <w:rsid w:val="00BE0E83"/>
    <w:rsid w:val="00BE3D1E"/>
    <w:rsid w:val="00C02114"/>
    <w:rsid w:val="00C12F3F"/>
    <w:rsid w:val="00C13E8B"/>
    <w:rsid w:val="00C23210"/>
    <w:rsid w:val="00C36356"/>
    <w:rsid w:val="00C4049C"/>
    <w:rsid w:val="00C44FCC"/>
    <w:rsid w:val="00C45B2D"/>
    <w:rsid w:val="00C5266C"/>
    <w:rsid w:val="00C52DDD"/>
    <w:rsid w:val="00C54848"/>
    <w:rsid w:val="00C57F9D"/>
    <w:rsid w:val="00C6018C"/>
    <w:rsid w:val="00C655BB"/>
    <w:rsid w:val="00C73E72"/>
    <w:rsid w:val="00C74724"/>
    <w:rsid w:val="00C82977"/>
    <w:rsid w:val="00C829CA"/>
    <w:rsid w:val="00C82DD8"/>
    <w:rsid w:val="00C8396A"/>
    <w:rsid w:val="00C84115"/>
    <w:rsid w:val="00C84754"/>
    <w:rsid w:val="00C945EC"/>
    <w:rsid w:val="00CA5AA1"/>
    <w:rsid w:val="00CB0B7B"/>
    <w:rsid w:val="00CD00B2"/>
    <w:rsid w:val="00CD2599"/>
    <w:rsid w:val="00CD646B"/>
    <w:rsid w:val="00CD6E61"/>
    <w:rsid w:val="00CE06EC"/>
    <w:rsid w:val="00CF15EE"/>
    <w:rsid w:val="00CF2D18"/>
    <w:rsid w:val="00D00D26"/>
    <w:rsid w:val="00D10C07"/>
    <w:rsid w:val="00D11E8D"/>
    <w:rsid w:val="00D15C80"/>
    <w:rsid w:val="00D20587"/>
    <w:rsid w:val="00D27F89"/>
    <w:rsid w:val="00D3243F"/>
    <w:rsid w:val="00D345F8"/>
    <w:rsid w:val="00D3615C"/>
    <w:rsid w:val="00D42DB5"/>
    <w:rsid w:val="00D50E63"/>
    <w:rsid w:val="00D515B9"/>
    <w:rsid w:val="00D54C94"/>
    <w:rsid w:val="00D57C72"/>
    <w:rsid w:val="00D60A2C"/>
    <w:rsid w:val="00D62727"/>
    <w:rsid w:val="00D6570F"/>
    <w:rsid w:val="00D66A6D"/>
    <w:rsid w:val="00D66E06"/>
    <w:rsid w:val="00D71F68"/>
    <w:rsid w:val="00D824AF"/>
    <w:rsid w:val="00D87B2A"/>
    <w:rsid w:val="00D90892"/>
    <w:rsid w:val="00D934F5"/>
    <w:rsid w:val="00D94BCF"/>
    <w:rsid w:val="00D96E2B"/>
    <w:rsid w:val="00DA07BE"/>
    <w:rsid w:val="00DA22E0"/>
    <w:rsid w:val="00DA75EC"/>
    <w:rsid w:val="00DB274B"/>
    <w:rsid w:val="00DB5896"/>
    <w:rsid w:val="00DB742D"/>
    <w:rsid w:val="00DB7A03"/>
    <w:rsid w:val="00DC42F0"/>
    <w:rsid w:val="00DD422E"/>
    <w:rsid w:val="00DD4272"/>
    <w:rsid w:val="00DE3673"/>
    <w:rsid w:val="00DE387F"/>
    <w:rsid w:val="00E101AD"/>
    <w:rsid w:val="00E1354E"/>
    <w:rsid w:val="00E21116"/>
    <w:rsid w:val="00E25D04"/>
    <w:rsid w:val="00E334BB"/>
    <w:rsid w:val="00E4123E"/>
    <w:rsid w:val="00E42532"/>
    <w:rsid w:val="00E437D7"/>
    <w:rsid w:val="00E50A62"/>
    <w:rsid w:val="00E533AA"/>
    <w:rsid w:val="00E57066"/>
    <w:rsid w:val="00E6207F"/>
    <w:rsid w:val="00E67384"/>
    <w:rsid w:val="00E7795B"/>
    <w:rsid w:val="00E840DA"/>
    <w:rsid w:val="00E90192"/>
    <w:rsid w:val="00E92065"/>
    <w:rsid w:val="00E941DF"/>
    <w:rsid w:val="00EA5F0F"/>
    <w:rsid w:val="00EC0D43"/>
    <w:rsid w:val="00EC3A39"/>
    <w:rsid w:val="00EC4787"/>
    <w:rsid w:val="00EC525F"/>
    <w:rsid w:val="00ED0145"/>
    <w:rsid w:val="00ED2F8C"/>
    <w:rsid w:val="00ED684F"/>
    <w:rsid w:val="00EE5AAB"/>
    <w:rsid w:val="00EF26A7"/>
    <w:rsid w:val="00EF2B95"/>
    <w:rsid w:val="00F10BC2"/>
    <w:rsid w:val="00F12528"/>
    <w:rsid w:val="00F12B0E"/>
    <w:rsid w:val="00F2117F"/>
    <w:rsid w:val="00F27C9E"/>
    <w:rsid w:val="00F37610"/>
    <w:rsid w:val="00F41B68"/>
    <w:rsid w:val="00F4730B"/>
    <w:rsid w:val="00F571B4"/>
    <w:rsid w:val="00F62014"/>
    <w:rsid w:val="00F62A4D"/>
    <w:rsid w:val="00F64F6D"/>
    <w:rsid w:val="00F766FD"/>
    <w:rsid w:val="00F77CD6"/>
    <w:rsid w:val="00F77E5A"/>
    <w:rsid w:val="00F81C43"/>
    <w:rsid w:val="00F8300D"/>
    <w:rsid w:val="00F955FB"/>
    <w:rsid w:val="00F9686F"/>
    <w:rsid w:val="00FB4874"/>
    <w:rsid w:val="00FB797D"/>
    <w:rsid w:val="00FB7C4C"/>
    <w:rsid w:val="00FC4078"/>
    <w:rsid w:val="00FC4B57"/>
    <w:rsid w:val="00FC6523"/>
    <w:rsid w:val="00FD48C9"/>
    <w:rsid w:val="00FE2D3D"/>
    <w:rsid w:val="00FE47F1"/>
    <w:rsid w:val="00FF1386"/>
    <w:rsid w:val="00FF660C"/>
    <w:rsid w:val="00FF73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E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4E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3E4EB9"/>
    <w:rPr>
      <w:rFonts w:ascii="Tahoma" w:hAnsi="Tahoma" w:cs="Tahoma"/>
      <w:sz w:val="16"/>
      <w:szCs w:val="16"/>
    </w:rPr>
  </w:style>
  <w:style w:type="character" w:customStyle="1" w:styleId="a5">
    <w:name w:val="Текст выноски Знак"/>
    <w:basedOn w:val="a0"/>
    <w:link w:val="a4"/>
    <w:uiPriority w:val="99"/>
    <w:semiHidden/>
    <w:rsid w:val="003E4EB9"/>
    <w:rPr>
      <w:rFonts w:ascii="Tahoma" w:eastAsia="Times New Roman" w:hAnsi="Tahoma" w:cs="Tahoma"/>
      <w:sz w:val="16"/>
      <w:szCs w:val="16"/>
      <w:lang w:eastAsia="ru-RU"/>
    </w:rPr>
  </w:style>
  <w:style w:type="character" w:customStyle="1" w:styleId="docbody">
    <w:name w:val="doc_body"/>
    <w:rsid w:val="003C5A25"/>
    <w:rPr>
      <w:rFonts w:cs="Times New Roman"/>
    </w:rPr>
  </w:style>
  <w:style w:type="paragraph" w:customStyle="1" w:styleId="CharChar1">
    <w:name w:val="Char Char1"/>
    <w:basedOn w:val="a"/>
    <w:rsid w:val="003C5A25"/>
    <w:pPr>
      <w:spacing w:after="160" w:line="240" w:lineRule="exact"/>
    </w:pPr>
    <w:rPr>
      <w:rFonts w:ascii="Arial" w:eastAsia="Batang" w:hAnsi="Arial" w:cs="Arial"/>
      <w:sz w:val="20"/>
      <w:szCs w:val="20"/>
      <w:lang w:val="en-US" w:eastAsia="en-US"/>
    </w:rPr>
  </w:style>
  <w:style w:type="paragraph" w:styleId="a6">
    <w:name w:val="List Paragraph"/>
    <w:basedOn w:val="a"/>
    <w:uiPriority w:val="34"/>
    <w:qFormat/>
    <w:rsid w:val="007254E7"/>
    <w:pPr>
      <w:ind w:left="720"/>
      <w:contextualSpacing/>
    </w:pPr>
  </w:style>
  <w:style w:type="paragraph" w:styleId="a7">
    <w:name w:val="Normal (Web)"/>
    <w:aliases w:val="Знак, Знак,webb,webb Знак Знак,webb Знак Знак Знак Char Char,Знак Знак1,Знак Знак Знак,Normal (Web) Знак,Normal (Web) Знак Знак Знак,Обычный (веб)1,Знак Знак, Знак Знак,Обычный (веб) Знак,webb Знак,webb Знак Знак Знак"/>
    <w:basedOn w:val="a"/>
    <w:link w:val="1"/>
    <w:uiPriority w:val="99"/>
    <w:qFormat/>
    <w:rsid w:val="003267EF"/>
    <w:pPr>
      <w:ind w:firstLine="567"/>
      <w:jc w:val="both"/>
    </w:pPr>
    <w:rPr>
      <w:lang w:val="ro-RO"/>
    </w:rPr>
  </w:style>
  <w:style w:type="character" w:customStyle="1" w:styleId="1">
    <w:name w:val="Обычный (веб) Знак1"/>
    <w:aliases w:val="Знак Знак2, Знак Знак1,webb Знак1,webb Знак Знак Знак1,webb Знак Знак Знак Char Char Знак,Знак Знак1 Знак,Знак Знак Знак Знак,Normal (Web) Знак Знак,Normal (Web) Знак Знак Знак Знак,Обычный (веб)1 Знак,Знак Знак Знак1, Знак Знак Знак"/>
    <w:basedOn w:val="a0"/>
    <w:link w:val="a7"/>
    <w:uiPriority w:val="99"/>
    <w:locked/>
    <w:rsid w:val="003267EF"/>
    <w:rPr>
      <w:rFonts w:ascii="Times New Roman" w:eastAsia="Times New Roman" w:hAnsi="Times New Roman" w:cs="Times New Roman"/>
      <w:sz w:val="24"/>
      <w:szCs w:val="24"/>
      <w:lang w:val="ro-RO" w:eastAsia="ru-RU"/>
    </w:rPr>
  </w:style>
  <w:style w:type="character" w:styleId="a8">
    <w:name w:val="Hyperlink"/>
    <w:basedOn w:val="a0"/>
    <w:uiPriority w:val="99"/>
    <w:unhideWhenUsed/>
    <w:rsid w:val="00B76A0E"/>
    <w:rPr>
      <w:color w:val="0000FF" w:themeColor="hyperlink"/>
      <w:u w:val="single"/>
    </w:rPr>
  </w:style>
  <w:style w:type="paragraph" w:customStyle="1" w:styleId="Default">
    <w:name w:val="Default"/>
    <w:rsid w:val="003F3DE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nhideWhenUsed/>
    <w:rsid w:val="007453AB"/>
    <w:pPr>
      <w:tabs>
        <w:tab w:val="center" w:pos="4677"/>
        <w:tab w:val="right" w:pos="9355"/>
      </w:tabs>
    </w:pPr>
  </w:style>
  <w:style w:type="character" w:customStyle="1" w:styleId="aa">
    <w:name w:val="Верхний колонтитул Знак"/>
    <w:basedOn w:val="a0"/>
    <w:link w:val="a9"/>
    <w:uiPriority w:val="99"/>
    <w:rsid w:val="007453A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453AB"/>
    <w:pPr>
      <w:tabs>
        <w:tab w:val="center" w:pos="4677"/>
        <w:tab w:val="right" w:pos="9355"/>
      </w:tabs>
    </w:pPr>
  </w:style>
  <w:style w:type="character" w:customStyle="1" w:styleId="ac">
    <w:name w:val="Нижний колонтитул Знак"/>
    <w:basedOn w:val="a0"/>
    <w:link w:val="ab"/>
    <w:uiPriority w:val="99"/>
    <w:rsid w:val="007453AB"/>
    <w:rPr>
      <w:rFonts w:ascii="Times New Roman" w:eastAsia="Times New Roman" w:hAnsi="Times New Roman" w:cs="Times New Roman"/>
      <w:sz w:val="24"/>
      <w:szCs w:val="24"/>
      <w:lang w:eastAsia="ru-RU"/>
    </w:rPr>
  </w:style>
  <w:style w:type="character" w:styleId="ad">
    <w:name w:val="annotation reference"/>
    <w:basedOn w:val="a0"/>
    <w:rsid w:val="00E25D04"/>
    <w:rPr>
      <w:sz w:val="16"/>
      <w:szCs w:val="16"/>
    </w:rPr>
  </w:style>
  <w:style w:type="paragraph" w:styleId="ae">
    <w:name w:val="annotation text"/>
    <w:basedOn w:val="a"/>
    <w:link w:val="af"/>
    <w:rsid w:val="00E25D04"/>
    <w:rPr>
      <w:sz w:val="20"/>
      <w:szCs w:val="20"/>
    </w:rPr>
  </w:style>
  <w:style w:type="character" w:customStyle="1" w:styleId="af">
    <w:name w:val="Текст примечания Знак"/>
    <w:basedOn w:val="a0"/>
    <w:link w:val="ae"/>
    <w:rsid w:val="00E25D0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62A4D"/>
    <w:rPr>
      <w:b/>
      <w:bCs/>
    </w:rPr>
  </w:style>
  <w:style w:type="character" w:customStyle="1" w:styleId="af1">
    <w:name w:val="Тема примечания Знак"/>
    <w:basedOn w:val="af"/>
    <w:link w:val="af0"/>
    <w:uiPriority w:val="99"/>
    <w:semiHidden/>
    <w:rsid w:val="00F62A4D"/>
    <w:rPr>
      <w:rFonts w:ascii="Times New Roman" w:eastAsia="Times New Roman" w:hAnsi="Times New Roman" w:cs="Times New Roman"/>
      <w:b/>
      <w:bCs/>
      <w:sz w:val="20"/>
      <w:szCs w:val="20"/>
      <w:lang w:eastAsia="ru-RU"/>
    </w:rPr>
  </w:style>
  <w:style w:type="paragraph" w:customStyle="1" w:styleId="md">
    <w:name w:val="md"/>
    <w:basedOn w:val="a"/>
    <w:rsid w:val="00A641F3"/>
    <w:pPr>
      <w:spacing w:before="100" w:beforeAutospacing="1" w:after="100" w:afterAutospacing="1"/>
    </w:pPr>
  </w:style>
  <w:style w:type="character" w:customStyle="1" w:styleId="2">
    <w:name w:val="Основной текст (2)_"/>
    <w:basedOn w:val="a0"/>
    <w:link w:val="20"/>
    <w:rsid w:val="00D50E63"/>
    <w:rPr>
      <w:rFonts w:ascii="Calibri" w:eastAsia="Calibri" w:hAnsi="Calibri" w:cs="Calibri"/>
      <w:shd w:val="clear" w:color="auto" w:fill="FFFFFF"/>
    </w:rPr>
  </w:style>
  <w:style w:type="paragraph" w:customStyle="1" w:styleId="20">
    <w:name w:val="Основной текст (2)"/>
    <w:basedOn w:val="a"/>
    <w:link w:val="2"/>
    <w:rsid w:val="00D50E63"/>
    <w:pPr>
      <w:widowControl w:val="0"/>
      <w:shd w:val="clear" w:color="auto" w:fill="FFFFFF"/>
      <w:spacing w:before="60" w:after="360" w:line="293" w:lineRule="exact"/>
      <w:jc w:val="both"/>
    </w:pPr>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32475369">
      <w:bodyDiv w:val="1"/>
      <w:marLeft w:val="0"/>
      <w:marRight w:val="0"/>
      <w:marTop w:val="0"/>
      <w:marBottom w:val="0"/>
      <w:divBdr>
        <w:top w:val="none" w:sz="0" w:space="0" w:color="auto"/>
        <w:left w:val="none" w:sz="0" w:space="0" w:color="auto"/>
        <w:bottom w:val="none" w:sz="0" w:space="0" w:color="auto"/>
        <w:right w:val="none" w:sz="0" w:space="0" w:color="auto"/>
      </w:divBdr>
      <w:divsChild>
        <w:div w:id="255746530">
          <w:marLeft w:val="360"/>
          <w:marRight w:val="0"/>
          <w:marTop w:val="200"/>
          <w:marBottom w:val="0"/>
          <w:divBdr>
            <w:top w:val="none" w:sz="0" w:space="0" w:color="auto"/>
            <w:left w:val="none" w:sz="0" w:space="0" w:color="auto"/>
            <w:bottom w:val="none" w:sz="0" w:space="0" w:color="auto"/>
            <w:right w:val="none" w:sz="0" w:space="0" w:color="auto"/>
          </w:divBdr>
        </w:div>
        <w:div w:id="1231623497">
          <w:marLeft w:val="360"/>
          <w:marRight w:val="0"/>
          <w:marTop w:val="200"/>
          <w:marBottom w:val="0"/>
          <w:divBdr>
            <w:top w:val="none" w:sz="0" w:space="0" w:color="auto"/>
            <w:left w:val="none" w:sz="0" w:space="0" w:color="auto"/>
            <w:bottom w:val="none" w:sz="0" w:space="0" w:color="auto"/>
            <w:right w:val="none" w:sz="0" w:space="0" w:color="auto"/>
          </w:divBdr>
        </w:div>
        <w:div w:id="1977029016">
          <w:marLeft w:val="360"/>
          <w:marRight w:val="0"/>
          <w:marTop w:val="200"/>
          <w:marBottom w:val="0"/>
          <w:divBdr>
            <w:top w:val="none" w:sz="0" w:space="0" w:color="auto"/>
            <w:left w:val="none" w:sz="0" w:space="0" w:color="auto"/>
            <w:bottom w:val="none" w:sz="0" w:space="0" w:color="auto"/>
            <w:right w:val="none" w:sz="0" w:space="0" w:color="auto"/>
          </w:divBdr>
        </w:div>
      </w:divsChild>
    </w:div>
    <w:div w:id="490564349">
      <w:bodyDiv w:val="1"/>
      <w:marLeft w:val="0"/>
      <w:marRight w:val="0"/>
      <w:marTop w:val="0"/>
      <w:marBottom w:val="0"/>
      <w:divBdr>
        <w:top w:val="none" w:sz="0" w:space="0" w:color="auto"/>
        <w:left w:val="none" w:sz="0" w:space="0" w:color="auto"/>
        <w:bottom w:val="none" w:sz="0" w:space="0" w:color="auto"/>
        <w:right w:val="none" w:sz="0" w:space="0" w:color="auto"/>
      </w:divBdr>
      <w:divsChild>
        <w:div w:id="791678789">
          <w:marLeft w:val="0"/>
          <w:marRight w:val="0"/>
          <w:marTop w:val="0"/>
          <w:marBottom w:val="0"/>
          <w:divBdr>
            <w:top w:val="none" w:sz="0" w:space="0" w:color="auto"/>
            <w:left w:val="none" w:sz="0" w:space="0" w:color="auto"/>
            <w:bottom w:val="none" w:sz="0" w:space="0" w:color="auto"/>
            <w:right w:val="none" w:sz="0" w:space="0" w:color="auto"/>
          </w:divBdr>
        </w:div>
        <w:div w:id="1535382861">
          <w:marLeft w:val="0"/>
          <w:marRight w:val="0"/>
          <w:marTop w:val="0"/>
          <w:marBottom w:val="0"/>
          <w:divBdr>
            <w:top w:val="none" w:sz="0" w:space="0" w:color="auto"/>
            <w:left w:val="none" w:sz="0" w:space="0" w:color="auto"/>
            <w:bottom w:val="none" w:sz="0" w:space="0" w:color="auto"/>
            <w:right w:val="none" w:sz="0" w:space="0" w:color="auto"/>
          </w:divBdr>
        </w:div>
        <w:div w:id="786311992">
          <w:marLeft w:val="0"/>
          <w:marRight w:val="0"/>
          <w:marTop w:val="0"/>
          <w:marBottom w:val="0"/>
          <w:divBdr>
            <w:top w:val="none" w:sz="0" w:space="0" w:color="auto"/>
            <w:left w:val="none" w:sz="0" w:space="0" w:color="auto"/>
            <w:bottom w:val="none" w:sz="0" w:space="0" w:color="auto"/>
            <w:right w:val="none" w:sz="0" w:space="0" w:color="auto"/>
          </w:divBdr>
        </w:div>
      </w:divsChild>
    </w:div>
    <w:div w:id="765736460">
      <w:bodyDiv w:val="1"/>
      <w:marLeft w:val="0"/>
      <w:marRight w:val="0"/>
      <w:marTop w:val="0"/>
      <w:marBottom w:val="0"/>
      <w:divBdr>
        <w:top w:val="none" w:sz="0" w:space="0" w:color="auto"/>
        <w:left w:val="none" w:sz="0" w:space="0" w:color="auto"/>
        <w:bottom w:val="none" w:sz="0" w:space="0" w:color="auto"/>
        <w:right w:val="none" w:sz="0" w:space="0" w:color="auto"/>
      </w:divBdr>
    </w:div>
    <w:div w:id="1062487782">
      <w:bodyDiv w:val="1"/>
      <w:marLeft w:val="0"/>
      <w:marRight w:val="0"/>
      <w:marTop w:val="0"/>
      <w:marBottom w:val="0"/>
      <w:divBdr>
        <w:top w:val="none" w:sz="0" w:space="0" w:color="auto"/>
        <w:left w:val="none" w:sz="0" w:space="0" w:color="auto"/>
        <w:bottom w:val="none" w:sz="0" w:space="0" w:color="auto"/>
        <w:right w:val="none" w:sz="0" w:space="0" w:color="auto"/>
      </w:divBdr>
    </w:div>
    <w:div w:id="1418287128">
      <w:bodyDiv w:val="1"/>
      <w:marLeft w:val="0"/>
      <w:marRight w:val="0"/>
      <w:marTop w:val="0"/>
      <w:marBottom w:val="0"/>
      <w:divBdr>
        <w:top w:val="none" w:sz="0" w:space="0" w:color="auto"/>
        <w:left w:val="none" w:sz="0" w:space="0" w:color="auto"/>
        <w:bottom w:val="none" w:sz="0" w:space="0" w:color="auto"/>
        <w:right w:val="none" w:sz="0" w:space="0" w:color="auto"/>
      </w:divBdr>
      <w:divsChild>
        <w:div w:id="1282608986">
          <w:marLeft w:val="0"/>
          <w:marRight w:val="0"/>
          <w:marTop w:val="0"/>
          <w:marBottom w:val="0"/>
          <w:divBdr>
            <w:top w:val="none" w:sz="0" w:space="0" w:color="auto"/>
            <w:left w:val="none" w:sz="0" w:space="0" w:color="auto"/>
            <w:bottom w:val="none" w:sz="0" w:space="0" w:color="auto"/>
            <w:right w:val="none" w:sz="0" w:space="0" w:color="auto"/>
          </w:divBdr>
        </w:div>
        <w:div w:id="1807581162">
          <w:marLeft w:val="0"/>
          <w:marRight w:val="0"/>
          <w:marTop w:val="0"/>
          <w:marBottom w:val="0"/>
          <w:divBdr>
            <w:top w:val="none" w:sz="0" w:space="0" w:color="auto"/>
            <w:left w:val="none" w:sz="0" w:space="0" w:color="auto"/>
            <w:bottom w:val="none" w:sz="0" w:space="0" w:color="auto"/>
            <w:right w:val="none" w:sz="0" w:space="0" w:color="auto"/>
          </w:divBdr>
        </w:div>
        <w:div w:id="1493644277">
          <w:marLeft w:val="0"/>
          <w:marRight w:val="0"/>
          <w:marTop w:val="0"/>
          <w:marBottom w:val="0"/>
          <w:divBdr>
            <w:top w:val="none" w:sz="0" w:space="0" w:color="auto"/>
            <w:left w:val="none" w:sz="0" w:space="0" w:color="auto"/>
            <w:bottom w:val="none" w:sz="0" w:space="0" w:color="auto"/>
            <w:right w:val="none" w:sz="0" w:space="0" w:color="auto"/>
          </w:divBdr>
        </w:div>
      </w:divsChild>
    </w:div>
    <w:div w:id="1818954259">
      <w:bodyDiv w:val="1"/>
      <w:marLeft w:val="0"/>
      <w:marRight w:val="0"/>
      <w:marTop w:val="0"/>
      <w:marBottom w:val="0"/>
      <w:divBdr>
        <w:top w:val="none" w:sz="0" w:space="0" w:color="auto"/>
        <w:left w:val="none" w:sz="0" w:space="0" w:color="auto"/>
        <w:bottom w:val="none" w:sz="0" w:space="0" w:color="auto"/>
        <w:right w:val="none" w:sz="0" w:space="0" w:color="auto"/>
      </w:divBdr>
    </w:div>
    <w:div w:id="1850489210">
      <w:bodyDiv w:val="1"/>
      <w:marLeft w:val="0"/>
      <w:marRight w:val="0"/>
      <w:marTop w:val="0"/>
      <w:marBottom w:val="0"/>
      <w:divBdr>
        <w:top w:val="none" w:sz="0" w:space="0" w:color="auto"/>
        <w:left w:val="none" w:sz="0" w:space="0" w:color="auto"/>
        <w:bottom w:val="none" w:sz="0" w:space="0" w:color="auto"/>
        <w:right w:val="none" w:sz="0" w:space="0" w:color="auto"/>
      </w:divBdr>
    </w:div>
    <w:div w:id="19112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B95E6-57C4-4690-BB5A-E4EE6A84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712</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pricopvior</dc:creator>
  <cp:lastModifiedBy>tarlevoles</cp:lastModifiedBy>
  <cp:revision>2</cp:revision>
  <cp:lastPrinted>2019-10-23T14:14:00Z</cp:lastPrinted>
  <dcterms:created xsi:type="dcterms:W3CDTF">2019-10-24T06:10:00Z</dcterms:created>
  <dcterms:modified xsi:type="dcterms:W3CDTF">2019-10-24T06:10:00Z</dcterms:modified>
</cp:coreProperties>
</file>