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55BB" w14:textId="77777777" w:rsidR="008F5A27" w:rsidRPr="00991A8C" w:rsidRDefault="008F5A27" w:rsidP="008F5A27">
      <w:pPr>
        <w:tabs>
          <w:tab w:val="left" w:pos="884"/>
          <w:tab w:val="left" w:pos="1196"/>
        </w:tabs>
        <w:jc w:val="center"/>
        <w:rPr>
          <w:b/>
          <w:sz w:val="28"/>
          <w:szCs w:val="28"/>
        </w:rPr>
      </w:pPr>
      <w:bookmarkStart w:id="0" w:name="_GoBack"/>
      <w:bookmarkEnd w:id="0"/>
      <w:r w:rsidRPr="00991A8C">
        <w:rPr>
          <w:b/>
          <w:sz w:val="28"/>
          <w:szCs w:val="28"/>
        </w:rPr>
        <w:t>SINTEZA</w:t>
      </w:r>
    </w:p>
    <w:p w14:paraId="6401B023" w14:textId="77777777" w:rsidR="008F5A27" w:rsidRPr="00991A8C" w:rsidRDefault="008F5A27" w:rsidP="008F5A27">
      <w:pPr>
        <w:tabs>
          <w:tab w:val="left" w:pos="884"/>
          <w:tab w:val="left" w:pos="1196"/>
        </w:tabs>
        <w:jc w:val="center"/>
        <w:rPr>
          <w:b/>
          <w:sz w:val="28"/>
          <w:szCs w:val="28"/>
        </w:rPr>
      </w:pPr>
      <w:proofErr w:type="spellStart"/>
      <w:r w:rsidRPr="00991A8C">
        <w:rPr>
          <w:b/>
          <w:sz w:val="28"/>
          <w:szCs w:val="28"/>
        </w:rPr>
        <w:t>obiecţiilor</w:t>
      </w:r>
      <w:proofErr w:type="spellEnd"/>
      <w:r w:rsidRPr="00991A8C">
        <w:rPr>
          <w:b/>
          <w:sz w:val="28"/>
          <w:szCs w:val="28"/>
        </w:rPr>
        <w:t xml:space="preserve"> </w:t>
      </w:r>
      <w:proofErr w:type="spellStart"/>
      <w:r w:rsidRPr="00991A8C">
        <w:rPr>
          <w:b/>
          <w:sz w:val="28"/>
          <w:szCs w:val="28"/>
        </w:rPr>
        <w:t>şi</w:t>
      </w:r>
      <w:proofErr w:type="spellEnd"/>
      <w:r w:rsidRPr="00991A8C">
        <w:rPr>
          <w:b/>
          <w:sz w:val="28"/>
          <w:szCs w:val="28"/>
        </w:rPr>
        <w:t xml:space="preserve"> </w:t>
      </w:r>
      <w:proofErr w:type="spellStart"/>
      <w:r w:rsidRPr="00991A8C">
        <w:rPr>
          <w:b/>
          <w:sz w:val="28"/>
          <w:szCs w:val="28"/>
        </w:rPr>
        <w:t>propunerilor</w:t>
      </w:r>
      <w:proofErr w:type="spellEnd"/>
      <w:r w:rsidRPr="00991A8C">
        <w:rPr>
          <w:b/>
          <w:sz w:val="28"/>
          <w:szCs w:val="28"/>
        </w:rPr>
        <w:t xml:space="preserve"> (</w:t>
      </w:r>
      <w:proofErr w:type="spellStart"/>
      <w:r w:rsidRPr="00991A8C">
        <w:rPr>
          <w:b/>
          <w:sz w:val="28"/>
          <w:szCs w:val="28"/>
        </w:rPr>
        <w:t>recomandărilor</w:t>
      </w:r>
      <w:proofErr w:type="spellEnd"/>
      <w:r w:rsidRPr="00991A8C">
        <w:rPr>
          <w:b/>
          <w:sz w:val="28"/>
          <w:szCs w:val="28"/>
        </w:rPr>
        <w:t>)</w:t>
      </w:r>
    </w:p>
    <w:p w14:paraId="6111F8B1" w14:textId="669D02D9" w:rsidR="00E35B3F" w:rsidRDefault="008F5A27" w:rsidP="00E35B3F">
      <w:pPr>
        <w:tabs>
          <w:tab w:val="left" w:pos="884"/>
          <w:tab w:val="left" w:pos="1196"/>
        </w:tabs>
        <w:jc w:val="center"/>
        <w:rPr>
          <w:rStyle w:val="docheader"/>
          <w:b/>
          <w:bCs/>
          <w:color w:val="000000" w:themeColor="text1"/>
          <w:sz w:val="28"/>
          <w:szCs w:val="28"/>
          <w:lang w:val="ro-RO"/>
        </w:rPr>
      </w:pPr>
      <w:proofErr w:type="spellStart"/>
      <w:r w:rsidRPr="00991A8C">
        <w:rPr>
          <w:b/>
          <w:sz w:val="28"/>
          <w:szCs w:val="28"/>
        </w:rPr>
        <w:t>la</w:t>
      </w:r>
      <w:proofErr w:type="spellEnd"/>
      <w:r w:rsidRPr="00991A8C">
        <w:rPr>
          <w:b/>
          <w:sz w:val="28"/>
          <w:szCs w:val="28"/>
        </w:rPr>
        <w:t xml:space="preserve"> </w:t>
      </w:r>
      <w:proofErr w:type="spellStart"/>
      <w:r w:rsidRPr="00991A8C">
        <w:rPr>
          <w:b/>
          <w:sz w:val="28"/>
          <w:szCs w:val="28"/>
        </w:rPr>
        <w:t>proiectul</w:t>
      </w:r>
      <w:proofErr w:type="spellEnd"/>
      <w:r w:rsidRPr="00991A8C">
        <w:rPr>
          <w:b/>
          <w:sz w:val="28"/>
          <w:szCs w:val="28"/>
        </w:rPr>
        <w:t xml:space="preserve"> </w:t>
      </w:r>
      <w:r w:rsidR="00E35B3F">
        <w:rPr>
          <w:b/>
          <w:sz w:val="28"/>
          <w:szCs w:val="28"/>
        </w:rPr>
        <w:t xml:space="preserve">de </w:t>
      </w:r>
      <w:proofErr w:type="spellStart"/>
      <w:r w:rsidRPr="00991A8C">
        <w:rPr>
          <w:b/>
          <w:sz w:val="28"/>
          <w:szCs w:val="28"/>
        </w:rPr>
        <w:t>hotărîr</w:t>
      </w:r>
      <w:r w:rsidR="00E35B3F">
        <w:rPr>
          <w:b/>
          <w:sz w:val="28"/>
          <w:szCs w:val="28"/>
        </w:rPr>
        <w:t>e</w:t>
      </w:r>
      <w:proofErr w:type="spellEnd"/>
      <w:r w:rsidRPr="00991A8C">
        <w:rPr>
          <w:b/>
          <w:sz w:val="28"/>
          <w:szCs w:val="28"/>
        </w:rPr>
        <w:t xml:space="preserve"> </w:t>
      </w:r>
      <w:r w:rsidR="00E35B3F">
        <w:rPr>
          <w:rStyle w:val="docheader"/>
          <w:b/>
          <w:bCs/>
          <w:color w:val="000000" w:themeColor="text1"/>
          <w:sz w:val="28"/>
          <w:szCs w:val="28"/>
          <w:lang w:val="ro-RO"/>
        </w:rPr>
        <w:t xml:space="preserve">cu privire la </w:t>
      </w:r>
      <w:r w:rsidR="00E35B3F" w:rsidRPr="00D1629C">
        <w:rPr>
          <w:rStyle w:val="docheader"/>
          <w:b/>
          <w:bCs/>
          <w:color w:val="000000" w:themeColor="text1"/>
          <w:sz w:val="28"/>
          <w:szCs w:val="28"/>
          <w:lang w:val="ro-RO"/>
        </w:rPr>
        <w:t xml:space="preserve">modificarea </w:t>
      </w:r>
      <w:proofErr w:type="spellStart"/>
      <w:r w:rsidR="00E35B3F">
        <w:rPr>
          <w:rStyle w:val="docheader"/>
          <w:b/>
          <w:bCs/>
          <w:color w:val="000000" w:themeColor="text1"/>
          <w:sz w:val="28"/>
          <w:szCs w:val="28"/>
          <w:lang w:val="ro-RO"/>
        </w:rPr>
        <w:t>Hotărîrii</w:t>
      </w:r>
      <w:proofErr w:type="spellEnd"/>
      <w:r w:rsidR="00E35B3F">
        <w:rPr>
          <w:rStyle w:val="docheader"/>
          <w:b/>
          <w:bCs/>
          <w:color w:val="000000" w:themeColor="text1"/>
          <w:sz w:val="28"/>
          <w:szCs w:val="28"/>
          <w:lang w:val="ro-RO"/>
        </w:rPr>
        <w:t xml:space="preserve"> Guvernului nr. 159/2018 </w:t>
      </w:r>
    </w:p>
    <w:p w14:paraId="5C9D9539" w14:textId="6C645B5D" w:rsidR="00E35B3F" w:rsidRPr="00E35B3F" w:rsidRDefault="00E35B3F" w:rsidP="00E35B3F">
      <w:pPr>
        <w:tabs>
          <w:tab w:val="left" w:pos="884"/>
          <w:tab w:val="left" w:pos="1196"/>
        </w:tabs>
        <w:jc w:val="center"/>
        <w:rPr>
          <w:rStyle w:val="docheader"/>
          <w:b/>
          <w:sz w:val="28"/>
          <w:szCs w:val="28"/>
        </w:rPr>
      </w:pPr>
      <w:r>
        <w:rPr>
          <w:rStyle w:val="docheader"/>
          <w:b/>
          <w:bCs/>
          <w:color w:val="000000" w:themeColor="text1"/>
          <w:sz w:val="28"/>
          <w:szCs w:val="28"/>
          <w:lang w:val="ro-RO"/>
        </w:rPr>
        <w:t>pentru aprobarea Regulamentului cu privire la modul de stabilire și plată a</w:t>
      </w:r>
    </w:p>
    <w:p w14:paraId="2472A3D2" w14:textId="77777777" w:rsidR="00E35B3F" w:rsidRPr="00D1629C" w:rsidRDefault="00E35B3F" w:rsidP="00E35B3F">
      <w:pPr>
        <w:jc w:val="center"/>
        <w:rPr>
          <w:b/>
          <w:bCs/>
          <w:color w:val="000000" w:themeColor="text1"/>
          <w:sz w:val="28"/>
          <w:szCs w:val="28"/>
        </w:rPr>
      </w:pPr>
      <w:r>
        <w:rPr>
          <w:rStyle w:val="docheader"/>
          <w:b/>
          <w:bCs/>
          <w:color w:val="000000" w:themeColor="text1"/>
          <w:sz w:val="28"/>
          <w:szCs w:val="28"/>
          <w:lang w:val="ro-RO"/>
        </w:rPr>
        <w:t xml:space="preserve"> ajutorului material</w:t>
      </w:r>
    </w:p>
    <w:p w14:paraId="3731429C" w14:textId="77777777" w:rsidR="008F5A27" w:rsidRPr="00140CFD" w:rsidRDefault="008F5A27" w:rsidP="008F5A27">
      <w:pPr>
        <w:tabs>
          <w:tab w:val="left" w:pos="884"/>
          <w:tab w:val="left" w:pos="1196"/>
        </w:tabs>
        <w:rPr>
          <w:b/>
        </w:rPr>
      </w:pPr>
    </w:p>
    <w:tbl>
      <w:tblPr>
        <w:tblW w:w="14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8010"/>
        <w:gridCol w:w="4239"/>
      </w:tblGrid>
      <w:tr w:rsidR="008F5A27" w:rsidRPr="008751C6" w14:paraId="6E768B2E" w14:textId="77777777" w:rsidTr="007866D3">
        <w:tc>
          <w:tcPr>
            <w:tcW w:w="2065" w:type="dxa"/>
            <w:shd w:val="clear" w:color="auto" w:fill="FFFFFF"/>
          </w:tcPr>
          <w:p w14:paraId="77D52273" w14:textId="77777777" w:rsidR="008F5A27" w:rsidRPr="00991A8C" w:rsidRDefault="008F5A27" w:rsidP="0098680F">
            <w:pPr>
              <w:tabs>
                <w:tab w:val="left" w:pos="884"/>
                <w:tab w:val="left" w:pos="1196"/>
              </w:tabs>
              <w:ind w:right="-15"/>
              <w:jc w:val="center"/>
              <w:rPr>
                <w:b/>
                <w:sz w:val="28"/>
                <w:szCs w:val="28"/>
              </w:rPr>
            </w:pPr>
            <w:r w:rsidRPr="00991A8C">
              <w:rPr>
                <w:b/>
                <w:sz w:val="28"/>
                <w:szCs w:val="28"/>
              </w:rPr>
              <w:t xml:space="preserve">Participantul </w:t>
            </w:r>
          </w:p>
          <w:p w14:paraId="4697966E" w14:textId="77777777" w:rsidR="008F5A27" w:rsidRPr="00991A8C" w:rsidRDefault="008F5A27" w:rsidP="0098680F">
            <w:pPr>
              <w:tabs>
                <w:tab w:val="left" w:pos="884"/>
                <w:tab w:val="left" w:pos="1196"/>
              </w:tabs>
              <w:ind w:right="-15"/>
              <w:jc w:val="center"/>
              <w:rPr>
                <w:b/>
                <w:sz w:val="28"/>
                <w:szCs w:val="28"/>
              </w:rPr>
            </w:pPr>
            <w:r w:rsidRPr="00991A8C">
              <w:rPr>
                <w:b/>
                <w:sz w:val="28"/>
                <w:szCs w:val="28"/>
              </w:rPr>
              <w:t xml:space="preserve">la avizare (expertizare)/ consultare publică </w:t>
            </w:r>
          </w:p>
        </w:tc>
        <w:tc>
          <w:tcPr>
            <w:tcW w:w="8010" w:type="dxa"/>
            <w:shd w:val="clear" w:color="auto" w:fill="FFFFFF"/>
          </w:tcPr>
          <w:p w14:paraId="4072CF28" w14:textId="77777777" w:rsidR="008F5A27" w:rsidRPr="00991A8C" w:rsidRDefault="008F5A27" w:rsidP="0098680F">
            <w:pPr>
              <w:tabs>
                <w:tab w:val="left" w:pos="884"/>
                <w:tab w:val="left" w:pos="1196"/>
              </w:tabs>
              <w:jc w:val="center"/>
              <w:rPr>
                <w:b/>
                <w:sz w:val="28"/>
                <w:szCs w:val="28"/>
              </w:rPr>
            </w:pPr>
            <w:proofErr w:type="spellStart"/>
            <w:r w:rsidRPr="00991A8C">
              <w:rPr>
                <w:b/>
                <w:sz w:val="28"/>
                <w:szCs w:val="28"/>
              </w:rPr>
              <w:t>Conţinutul</w:t>
            </w:r>
            <w:proofErr w:type="spellEnd"/>
            <w:r w:rsidRPr="00991A8C">
              <w:rPr>
                <w:b/>
                <w:sz w:val="28"/>
                <w:szCs w:val="28"/>
              </w:rPr>
              <w:t xml:space="preserve"> </w:t>
            </w:r>
            <w:proofErr w:type="spellStart"/>
            <w:r w:rsidRPr="00991A8C">
              <w:rPr>
                <w:b/>
                <w:sz w:val="28"/>
                <w:szCs w:val="28"/>
              </w:rPr>
              <w:t>obiecţiei</w:t>
            </w:r>
            <w:proofErr w:type="spellEnd"/>
            <w:r w:rsidRPr="00991A8C">
              <w:rPr>
                <w:b/>
                <w:sz w:val="28"/>
                <w:szCs w:val="28"/>
              </w:rPr>
              <w:t>/</w:t>
            </w:r>
          </w:p>
          <w:p w14:paraId="0F81F92A" w14:textId="77777777" w:rsidR="008F5A27" w:rsidRPr="00991A8C" w:rsidRDefault="008F5A27" w:rsidP="0098680F">
            <w:pPr>
              <w:tabs>
                <w:tab w:val="left" w:pos="884"/>
                <w:tab w:val="left" w:pos="1196"/>
              </w:tabs>
              <w:jc w:val="center"/>
              <w:rPr>
                <w:b/>
                <w:sz w:val="28"/>
                <w:szCs w:val="28"/>
              </w:rPr>
            </w:pPr>
            <w:r w:rsidRPr="00991A8C">
              <w:rPr>
                <w:b/>
                <w:sz w:val="28"/>
                <w:szCs w:val="28"/>
              </w:rPr>
              <w:t>propunerii (recomandării)</w:t>
            </w:r>
          </w:p>
        </w:tc>
        <w:tc>
          <w:tcPr>
            <w:tcW w:w="4239" w:type="dxa"/>
            <w:shd w:val="clear" w:color="auto" w:fill="FFFFFF"/>
          </w:tcPr>
          <w:p w14:paraId="08408C9D" w14:textId="77777777" w:rsidR="008F5A27" w:rsidRPr="00991A8C" w:rsidRDefault="008F5A27" w:rsidP="0098680F">
            <w:pPr>
              <w:tabs>
                <w:tab w:val="left" w:pos="884"/>
                <w:tab w:val="left" w:pos="1196"/>
              </w:tabs>
              <w:jc w:val="center"/>
              <w:rPr>
                <w:b/>
                <w:sz w:val="28"/>
                <w:szCs w:val="28"/>
              </w:rPr>
            </w:pPr>
            <w:r w:rsidRPr="00991A8C">
              <w:rPr>
                <w:b/>
                <w:sz w:val="28"/>
                <w:szCs w:val="28"/>
              </w:rPr>
              <w:t xml:space="preserve">Argumentarea </w:t>
            </w:r>
          </w:p>
          <w:p w14:paraId="2F5F1A09" w14:textId="77777777" w:rsidR="008F5A27" w:rsidRPr="00991A8C" w:rsidRDefault="008F5A27" w:rsidP="0098680F">
            <w:pPr>
              <w:tabs>
                <w:tab w:val="left" w:pos="884"/>
                <w:tab w:val="left" w:pos="1196"/>
              </w:tabs>
              <w:jc w:val="center"/>
              <w:rPr>
                <w:b/>
                <w:sz w:val="28"/>
                <w:szCs w:val="28"/>
              </w:rPr>
            </w:pPr>
            <w:r w:rsidRPr="00991A8C">
              <w:rPr>
                <w:b/>
                <w:sz w:val="28"/>
                <w:szCs w:val="28"/>
              </w:rPr>
              <w:t>autorului proiectului</w:t>
            </w:r>
          </w:p>
        </w:tc>
      </w:tr>
      <w:tr w:rsidR="008F5A27" w:rsidRPr="008751C6" w14:paraId="67BC48E2" w14:textId="77777777" w:rsidTr="007866D3">
        <w:trPr>
          <w:trHeight w:val="323"/>
        </w:trPr>
        <w:tc>
          <w:tcPr>
            <w:tcW w:w="2065" w:type="dxa"/>
            <w:vMerge w:val="restart"/>
          </w:tcPr>
          <w:p w14:paraId="54C66197" w14:textId="2948238B" w:rsidR="008F5A27" w:rsidRPr="00204F00" w:rsidRDefault="006B4852" w:rsidP="0098680F">
            <w:pPr>
              <w:tabs>
                <w:tab w:val="left" w:pos="884"/>
                <w:tab w:val="left" w:pos="1196"/>
              </w:tabs>
              <w:rPr>
                <w:b/>
              </w:rPr>
            </w:pPr>
            <w:r w:rsidRPr="00204F00">
              <w:rPr>
                <w:b/>
              </w:rPr>
              <w:t>Ministerul Justiției</w:t>
            </w:r>
          </w:p>
        </w:tc>
        <w:tc>
          <w:tcPr>
            <w:tcW w:w="8010" w:type="dxa"/>
          </w:tcPr>
          <w:p w14:paraId="599ABDB0" w14:textId="77777777" w:rsidR="008F5A27" w:rsidRPr="00204F00" w:rsidRDefault="008F5A27" w:rsidP="0098680F">
            <w:pPr>
              <w:tabs>
                <w:tab w:val="left" w:pos="884"/>
                <w:tab w:val="left" w:pos="1196"/>
              </w:tabs>
              <w:rPr>
                <w:b/>
              </w:rPr>
            </w:pPr>
            <w:r w:rsidRPr="00204F00">
              <w:rPr>
                <w:b/>
              </w:rPr>
              <w:t xml:space="preserve">I. </w:t>
            </w:r>
            <w:proofErr w:type="spellStart"/>
            <w:r w:rsidRPr="00204F00">
              <w:rPr>
                <w:b/>
              </w:rPr>
              <w:t>Obiecţiile</w:t>
            </w:r>
            <w:proofErr w:type="spellEnd"/>
          </w:p>
        </w:tc>
        <w:tc>
          <w:tcPr>
            <w:tcW w:w="4239" w:type="dxa"/>
          </w:tcPr>
          <w:p w14:paraId="206BEEFE" w14:textId="77777777" w:rsidR="008F5A27" w:rsidRPr="00204F00" w:rsidRDefault="008F5A27" w:rsidP="0098680F">
            <w:pPr>
              <w:pStyle w:val="a6"/>
              <w:tabs>
                <w:tab w:val="left" w:pos="-14"/>
              </w:tabs>
              <w:ind w:left="-14"/>
            </w:pPr>
          </w:p>
        </w:tc>
      </w:tr>
      <w:tr w:rsidR="00C24B7E" w:rsidRPr="00A76DA1" w14:paraId="097FFC56" w14:textId="77777777" w:rsidTr="00D323B0">
        <w:trPr>
          <w:trHeight w:val="4374"/>
        </w:trPr>
        <w:tc>
          <w:tcPr>
            <w:tcW w:w="2065" w:type="dxa"/>
            <w:vMerge/>
          </w:tcPr>
          <w:p w14:paraId="3D44F24C" w14:textId="77777777" w:rsidR="00C24B7E" w:rsidRPr="00204F00" w:rsidRDefault="00C24B7E" w:rsidP="0098680F">
            <w:pPr>
              <w:tabs>
                <w:tab w:val="left" w:pos="884"/>
                <w:tab w:val="left" w:pos="1196"/>
              </w:tabs>
            </w:pPr>
          </w:p>
        </w:tc>
        <w:tc>
          <w:tcPr>
            <w:tcW w:w="8010" w:type="dxa"/>
          </w:tcPr>
          <w:p w14:paraId="1F1B9CCE" w14:textId="77777777" w:rsidR="00C24B7E" w:rsidRPr="00204F00" w:rsidRDefault="00C24B7E" w:rsidP="00E26D63">
            <w:pPr>
              <w:jc w:val="both"/>
              <w:rPr>
                <w:lang w:eastAsia="en-US"/>
              </w:rPr>
            </w:pPr>
            <w:r w:rsidRPr="00204F00">
              <w:rPr>
                <w:lang w:eastAsia="en-US"/>
              </w:rPr>
              <w:t xml:space="preserve">Conform art. 42 alin. (5) din Legea nr. 100/2017 cu privire la actele normative „după adoptarea, aprobarea sau emiterea actului normativ, denumirea se completează cu un număr de ordine, ca element de identificare, la care se adaugă anul în care a fost adoptat, aprobat sau emis acesta”. În conformitate cu regula precizată, în denumirea proiectului textul „nr. 159 din 14.02.2018” se va substitui cu textul „nr. 159/2018”. </w:t>
            </w:r>
          </w:p>
          <w:p w14:paraId="28188AB5" w14:textId="77777777" w:rsidR="00C24B7E" w:rsidRPr="00204F00" w:rsidRDefault="00C24B7E" w:rsidP="00E26D63">
            <w:pPr>
              <w:jc w:val="both"/>
              <w:rPr>
                <w:lang w:eastAsia="en-US"/>
              </w:rPr>
            </w:pPr>
            <w:proofErr w:type="spellStart"/>
            <w:r w:rsidRPr="00204F00">
              <w:rPr>
                <w:lang w:eastAsia="en-US"/>
              </w:rPr>
              <w:t>Întrucît</w:t>
            </w:r>
            <w:proofErr w:type="spellEnd"/>
            <w:r w:rsidRPr="00204F00">
              <w:rPr>
                <w:lang w:eastAsia="en-US"/>
              </w:rPr>
              <w:t xml:space="preserve"> </w:t>
            </w:r>
            <w:proofErr w:type="spellStart"/>
            <w:r w:rsidRPr="00204F00">
              <w:rPr>
                <w:lang w:eastAsia="en-US"/>
              </w:rPr>
              <w:t>în</w:t>
            </w:r>
            <w:proofErr w:type="spellEnd"/>
            <w:r w:rsidRPr="00204F00">
              <w:rPr>
                <w:lang w:eastAsia="en-US"/>
              </w:rPr>
              <w:t xml:space="preserve"> </w:t>
            </w:r>
            <w:proofErr w:type="spellStart"/>
            <w:r w:rsidRPr="00204F00">
              <w:rPr>
                <w:lang w:eastAsia="en-US"/>
              </w:rPr>
              <w:t>proiect</w:t>
            </w:r>
            <w:proofErr w:type="spellEnd"/>
            <w:r w:rsidRPr="00204F00">
              <w:rPr>
                <w:lang w:eastAsia="en-US"/>
              </w:rPr>
              <w:t xml:space="preserve"> </w:t>
            </w:r>
            <w:proofErr w:type="spellStart"/>
            <w:r w:rsidRPr="00204F00">
              <w:rPr>
                <w:lang w:eastAsia="en-US"/>
              </w:rPr>
              <w:t>se</w:t>
            </w:r>
            <w:proofErr w:type="spellEnd"/>
            <w:r w:rsidRPr="00204F00">
              <w:rPr>
                <w:lang w:eastAsia="en-US"/>
              </w:rPr>
              <w:t xml:space="preserve"> propune modificarea doar a unui act normativ, dispoziția propriu-zisă de modificare nu se va numerota, totodată, reglementările derivate din aceasta se vor însemna cu cifre arabe și o paranteză, în conformitate cu art. 52 alin. (3) din Legea nr. 100/2017 cu privire la actele normative. </w:t>
            </w:r>
          </w:p>
          <w:p w14:paraId="44AFF6C9" w14:textId="531F0F2B" w:rsidR="00C24B7E" w:rsidRPr="00204F00" w:rsidRDefault="00C24B7E" w:rsidP="00E26D63">
            <w:pPr>
              <w:jc w:val="both"/>
              <w:rPr>
                <w:b/>
                <w:bCs/>
                <w:lang w:eastAsia="en-US"/>
              </w:rPr>
            </w:pPr>
            <w:r w:rsidRPr="00204F00">
              <w:rPr>
                <w:lang w:eastAsia="en-US"/>
              </w:rPr>
              <w:t xml:space="preserve">Dispoziția de modificare a Regulamentului menționat </w:t>
            </w:r>
            <w:r w:rsidRPr="00204F00">
              <w:rPr>
                <w:i/>
                <w:iCs/>
                <w:lang w:eastAsia="en-US"/>
              </w:rPr>
              <w:t xml:space="preserve">supra </w:t>
            </w:r>
            <w:r w:rsidRPr="00204F00">
              <w:rPr>
                <w:lang w:eastAsia="en-US"/>
              </w:rPr>
              <w:t>se va expune după cum urmează: „2) pct. 7 din Regulamentul cu privire la modul de stabilire și plată a ajutorului material va avea următorul cuprins:”. Concomitent, semnalăm că noua redacție a pct. 7 nu este conformă normelor limbii literare (se va exclude pleonasmul „</w:t>
            </w:r>
            <w:r w:rsidRPr="00171ADD">
              <w:rPr>
                <w:bCs/>
                <w:lang w:eastAsia="en-US"/>
              </w:rPr>
              <w:t>Cuantumul</w:t>
            </w:r>
            <w:r w:rsidRPr="00204F00">
              <w:rPr>
                <w:lang w:eastAsia="en-US"/>
              </w:rPr>
              <w:t xml:space="preserve"> […] se stabilește </w:t>
            </w:r>
            <w:r w:rsidRPr="00171ADD">
              <w:rPr>
                <w:bCs/>
                <w:lang w:eastAsia="en-US"/>
              </w:rPr>
              <w:t>în mărime</w:t>
            </w:r>
            <w:r w:rsidRPr="00204F00">
              <w:rPr>
                <w:lang w:eastAsia="en-US"/>
              </w:rPr>
              <w:t xml:space="preserve"> de”).  </w:t>
            </w:r>
          </w:p>
        </w:tc>
        <w:tc>
          <w:tcPr>
            <w:tcW w:w="4239" w:type="dxa"/>
          </w:tcPr>
          <w:p w14:paraId="7E8862E5" w14:textId="77777777" w:rsidR="00C24B7E" w:rsidRPr="00204F00" w:rsidRDefault="00C24B7E" w:rsidP="003B533B">
            <w:pPr>
              <w:tabs>
                <w:tab w:val="left" w:pos="270"/>
              </w:tabs>
              <w:jc w:val="both"/>
              <w:rPr>
                <w:color w:val="000000"/>
              </w:rPr>
            </w:pPr>
            <w:r w:rsidRPr="00204F00">
              <w:rPr>
                <w:color w:val="000000"/>
              </w:rPr>
              <w:t>Se acceptă.</w:t>
            </w:r>
          </w:p>
          <w:p w14:paraId="25E08ABF" w14:textId="32377730" w:rsidR="00C24B7E" w:rsidRPr="00204F00" w:rsidRDefault="00C24B7E" w:rsidP="003B533B">
            <w:pPr>
              <w:tabs>
                <w:tab w:val="left" w:pos="270"/>
              </w:tabs>
              <w:jc w:val="both"/>
              <w:rPr>
                <w:bCs/>
                <w:color w:val="000000"/>
              </w:rPr>
            </w:pPr>
          </w:p>
          <w:p w14:paraId="14E42FF3" w14:textId="11104A02" w:rsidR="00C24B7E" w:rsidRPr="00204F00" w:rsidRDefault="00C24B7E" w:rsidP="003B533B">
            <w:pPr>
              <w:tabs>
                <w:tab w:val="left" w:pos="270"/>
              </w:tabs>
              <w:jc w:val="both"/>
              <w:rPr>
                <w:bCs/>
                <w:color w:val="000000"/>
              </w:rPr>
            </w:pPr>
          </w:p>
          <w:p w14:paraId="38F3E234" w14:textId="7F39B68F" w:rsidR="00C24B7E" w:rsidRPr="00204F00" w:rsidRDefault="00C24B7E" w:rsidP="003B533B">
            <w:pPr>
              <w:tabs>
                <w:tab w:val="left" w:pos="270"/>
              </w:tabs>
              <w:jc w:val="both"/>
              <w:rPr>
                <w:bCs/>
                <w:color w:val="000000"/>
              </w:rPr>
            </w:pPr>
          </w:p>
          <w:p w14:paraId="641D8BB3" w14:textId="5C8546B0" w:rsidR="00C24B7E" w:rsidRPr="00204F00" w:rsidRDefault="00C24B7E" w:rsidP="003B533B">
            <w:pPr>
              <w:tabs>
                <w:tab w:val="left" w:pos="270"/>
              </w:tabs>
              <w:jc w:val="both"/>
              <w:rPr>
                <w:bCs/>
                <w:color w:val="000000"/>
              </w:rPr>
            </w:pPr>
          </w:p>
          <w:p w14:paraId="5BBEAF9A" w14:textId="3D637EE9" w:rsidR="00C24B7E" w:rsidRPr="00204F00" w:rsidRDefault="00C24B7E" w:rsidP="003B533B">
            <w:pPr>
              <w:tabs>
                <w:tab w:val="left" w:pos="270"/>
              </w:tabs>
              <w:jc w:val="both"/>
              <w:rPr>
                <w:bCs/>
                <w:color w:val="000000"/>
              </w:rPr>
            </w:pPr>
          </w:p>
          <w:p w14:paraId="2D0893ED" w14:textId="7B554A6F" w:rsidR="00C24B7E" w:rsidRDefault="00C24B7E" w:rsidP="003B533B">
            <w:pPr>
              <w:tabs>
                <w:tab w:val="left" w:pos="270"/>
              </w:tabs>
              <w:jc w:val="both"/>
              <w:rPr>
                <w:bCs/>
                <w:color w:val="000000"/>
              </w:rPr>
            </w:pPr>
            <w:r w:rsidRPr="00A76DA1">
              <w:rPr>
                <w:bCs/>
                <w:color w:val="000000"/>
              </w:rPr>
              <w:t>Se acceptă.</w:t>
            </w:r>
          </w:p>
          <w:p w14:paraId="221F88E2" w14:textId="77777777" w:rsidR="00A76DA1" w:rsidRDefault="00A76DA1" w:rsidP="00A76DA1">
            <w:pPr>
              <w:tabs>
                <w:tab w:val="left" w:pos="270"/>
              </w:tabs>
              <w:jc w:val="both"/>
              <w:rPr>
                <w:bCs/>
                <w:color w:val="000000"/>
              </w:rPr>
            </w:pPr>
            <w:r>
              <w:rPr>
                <w:bCs/>
                <w:color w:val="000000"/>
              </w:rPr>
              <w:t xml:space="preserve">Pct. 7 </w:t>
            </w:r>
            <w:r w:rsidRPr="00A76DA1">
              <w:rPr>
                <w:bCs/>
                <w:color w:val="000000"/>
              </w:rPr>
              <w:t>va avea următorul cuprins:</w:t>
            </w:r>
          </w:p>
          <w:p w14:paraId="12156CB4" w14:textId="4F715E79" w:rsidR="00A76DA1" w:rsidRPr="00204F00" w:rsidRDefault="00A76DA1" w:rsidP="00A76DA1">
            <w:pPr>
              <w:tabs>
                <w:tab w:val="left" w:pos="270"/>
              </w:tabs>
              <w:jc w:val="both"/>
              <w:rPr>
                <w:bCs/>
                <w:color w:val="000000"/>
              </w:rPr>
            </w:pPr>
            <w:r>
              <w:rPr>
                <w:bCs/>
                <w:color w:val="000000"/>
              </w:rPr>
              <w:t xml:space="preserve">„7. Cuantumul </w:t>
            </w:r>
            <w:r w:rsidRPr="00A76DA1">
              <w:rPr>
                <w:bCs/>
                <w:color w:val="000000"/>
              </w:rPr>
              <w:t xml:space="preserve">Ajutorului material anual pentru persoanele specificate la pct. 4 </w:t>
            </w:r>
            <w:proofErr w:type="spellStart"/>
            <w:r w:rsidRPr="00A76DA1">
              <w:rPr>
                <w:bCs/>
                <w:color w:val="000000"/>
              </w:rPr>
              <w:t>subpct</w:t>
            </w:r>
            <w:proofErr w:type="spellEnd"/>
            <w:r w:rsidRPr="00A76DA1">
              <w:rPr>
                <w:bCs/>
                <w:color w:val="000000"/>
              </w:rPr>
              <w:t>. 1)-5) din prezentul Regulament se stabilește în mărime de 1 000 lei.”.</w:t>
            </w:r>
          </w:p>
          <w:p w14:paraId="04F2F276" w14:textId="774C4991" w:rsidR="00C24B7E" w:rsidRPr="00204F00" w:rsidRDefault="00C24B7E" w:rsidP="003B533B">
            <w:pPr>
              <w:tabs>
                <w:tab w:val="left" w:pos="270"/>
              </w:tabs>
              <w:jc w:val="both"/>
              <w:rPr>
                <w:bCs/>
                <w:color w:val="000000"/>
              </w:rPr>
            </w:pPr>
          </w:p>
          <w:p w14:paraId="59F0E4A2" w14:textId="5958C892" w:rsidR="00C24B7E" w:rsidRPr="00204F00" w:rsidRDefault="00C24B7E" w:rsidP="003B533B">
            <w:pPr>
              <w:tabs>
                <w:tab w:val="left" w:pos="270"/>
              </w:tabs>
              <w:jc w:val="both"/>
              <w:rPr>
                <w:color w:val="000000"/>
              </w:rPr>
            </w:pPr>
          </w:p>
        </w:tc>
      </w:tr>
      <w:tr w:rsidR="00D323B0" w:rsidRPr="000C5C28" w14:paraId="2434E5B7" w14:textId="77777777" w:rsidTr="00D323B0">
        <w:trPr>
          <w:trHeight w:val="269"/>
        </w:trPr>
        <w:tc>
          <w:tcPr>
            <w:tcW w:w="2065" w:type="dxa"/>
            <w:vMerge w:val="restart"/>
          </w:tcPr>
          <w:p w14:paraId="6B0AE96C" w14:textId="5787B219" w:rsidR="00D323B0" w:rsidRPr="00204F00" w:rsidRDefault="00D323B0" w:rsidP="0098680F">
            <w:pPr>
              <w:tabs>
                <w:tab w:val="left" w:pos="884"/>
                <w:tab w:val="left" w:pos="1196"/>
              </w:tabs>
            </w:pPr>
            <w:r w:rsidRPr="00204F00">
              <w:rPr>
                <w:b/>
              </w:rPr>
              <w:t>Ministerul Finanțelor</w:t>
            </w:r>
          </w:p>
        </w:tc>
        <w:tc>
          <w:tcPr>
            <w:tcW w:w="8010" w:type="dxa"/>
          </w:tcPr>
          <w:p w14:paraId="1CA9BF16" w14:textId="1D998D0D" w:rsidR="00D323B0" w:rsidRPr="00D323B0" w:rsidRDefault="00D323B0" w:rsidP="00E26D63">
            <w:pPr>
              <w:jc w:val="both"/>
              <w:rPr>
                <w:b/>
                <w:lang w:eastAsia="en-US"/>
              </w:rPr>
            </w:pPr>
            <w:r>
              <w:rPr>
                <w:b/>
                <w:lang w:eastAsia="en-US"/>
              </w:rPr>
              <w:t xml:space="preserve">I. </w:t>
            </w:r>
            <w:r w:rsidRPr="00D323B0">
              <w:rPr>
                <w:b/>
                <w:lang w:eastAsia="en-US"/>
              </w:rPr>
              <w:t>Obiecțiile:</w:t>
            </w:r>
          </w:p>
        </w:tc>
        <w:tc>
          <w:tcPr>
            <w:tcW w:w="4239" w:type="dxa"/>
            <w:vMerge w:val="restart"/>
          </w:tcPr>
          <w:p w14:paraId="4A331311" w14:textId="77777777" w:rsidR="00D323B0" w:rsidRDefault="00171ADD" w:rsidP="003B533B">
            <w:pPr>
              <w:tabs>
                <w:tab w:val="left" w:pos="270"/>
              </w:tabs>
              <w:jc w:val="both"/>
              <w:rPr>
                <w:color w:val="000000"/>
              </w:rPr>
            </w:pPr>
            <w:r>
              <w:rPr>
                <w:color w:val="000000"/>
              </w:rPr>
              <w:t>Se acceptă.</w:t>
            </w:r>
          </w:p>
          <w:p w14:paraId="3714635E" w14:textId="3981D899" w:rsidR="00171ADD" w:rsidRPr="00204F00" w:rsidRDefault="00171ADD" w:rsidP="003B533B">
            <w:pPr>
              <w:tabs>
                <w:tab w:val="left" w:pos="270"/>
              </w:tabs>
              <w:jc w:val="both"/>
              <w:rPr>
                <w:color w:val="000000"/>
              </w:rPr>
            </w:pPr>
            <w:r>
              <w:rPr>
                <w:color w:val="000000"/>
              </w:rPr>
              <w:t>Nota informativă a fost completată.</w:t>
            </w:r>
          </w:p>
        </w:tc>
      </w:tr>
      <w:tr w:rsidR="00D323B0" w:rsidRPr="000C5C28" w14:paraId="48DC92DE" w14:textId="77777777" w:rsidTr="00D323B0">
        <w:trPr>
          <w:trHeight w:val="1259"/>
        </w:trPr>
        <w:tc>
          <w:tcPr>
            <w:tcW w:w="2065" w:type="dxa"/>
            <w:vMerge/>
          </w:tcPr>
          <w:p w14:paraId="70D478CB" w14:textId="77777777" w:rsidR="00D323B0" w:rsidRPr="00204F00" w:rsidRDefault="00D323B0" w:rsidP="0098680F">
            <w:pPr>
              <w:tabs>
                <w:tab w:val="left" w:pos="884"/>
                <w:tab w:val="left" w:pos="1196"/>
              </w:tabs>
            </w:pPr>
          </w:p>
        </w:tc>
        <w:tc>
          <w:tcPr>
            <w:tcW w:w="8010" w:type="dxa"/>
          </w:tcPr>
          <w:p w14:paraId="09F610D2" w14:textId="77777777" w:rsidR="00D323B0" w:rsidRPr="00D323B0" w:rsidRDefault="00D323B0" w:rsidP="00D323B0">
            <w:pPr>
              <w:ind w:right="57"/>
              <w:jc w:val="both"/>
            </w:pPr>
            <w:r w:rsidRPr="00D323B0">
              <w:t xml:space="preserve">Comunică lipsa obiecțiilor. </w:t>
            </w:r>
          </w:p>
          <w:p w14:paraId="222AE7A1" w14:textId="65F31F84" w:rsidR="00D323B0" w:rsidRPr="00204F00" w:rsidRDefault="00D323B0" w:rsidP="00D323B0">
            <w:pPr>
              <w:ind w:right="57"/>
              <w:jc w:val="both"/>
              <w:rPr>
                <w:lang w:eastAsia="en-US"/>
              </w:rPr>
            </w:pPr>
            <w:r w:rsidRPr="00D323B0">
              <w:t xml:space="preserve">Totodată, este de menționat faptul, că în nota informativă nu sunt indicate clar motivele și argumentele privind înaintarea propunerilor de </w:t>
            </w:r>
            <w:proofErr w:type="spellStart"/>
            <w:r w:rsidRPr="00D323B0">
              <w:t>modificare</w:t>
            </w:r>
            <w:proofErr w:type="spellEnd"/>
            <w:r w:rsidRPr="00D323B0">
              <w:t xml:space="preserve"> a </w:t>
            </w:r>
            <w:proofErr w:type="spellStart"/>
            <w:r w:rsidRPr="00D323B0">
              <w:t>hotărîrii</w:t>
            </w:r>
            <w:proofErr w:type="spellEnd"/>
            <w:r w:rsidRPr="00D323B0">
              <w:t xml:space="preserve"> </w:t>
            </w:r>
            <w:proofErr w:type="spellStart"/>
            <w:r w:rsidRPr="00D323B0">
              <w:t>în</w:t>
            </w:r>
            <w:proofErr w:type="spellEnd"/>
            <w:r w:rsidRPr="00D323B0">
              <w:t xml:space="preserve"> </w:t>
            </w:r>
            <w:proofErr w:type="spellStart"/>
            <w:r w:rsidRPr="00D323B0">
              <w:t>cauză</w:t>
            </w:r>
            <w:proofErr w:type="spellEnd"/>
            <w:r w:rsidRPr="00D323B0">
              <w:t xml:space="preserve">. </w:t>
            </w:r>
          </w:p>
        </w:tc>
        <w:tc>
          <w:tcPr>
            <w:tcW w:w="4239" w:type="dxa"/>
            <w:vMerge/>
          </w:tcPr>
          <w:p w14:paraId="6304C3E8" w14:textId="77777777" w:rsidR="00D323B0" w:rsidRPr="00204F00" w:rsidRDefault="00D323B0" w:rsidP="003B533B">
            <w:pPr>
              <w:tabs>
                <w:tab w:val="left" w:pos="270"/>
              </w:tabs>
              <w:jc w:val="both"/>
              <w:rPr>
                <w:color w:val="000000"/>
              </w:rPr>
            </w:pPr>
          </w:p>
        </w:tc>
      </w:tr>
      <w:tr w:rsidR="00D323B0" w:rsidRPr="000C5C28" w14:paraId="69CE5332" w14:textId="77777777" w:rsidTr="007866D3">
        <w:trPr>
          <w:trHeight w:val="197"/>
        </w:trPr>
        <w:tc>
          <w:tcPr>
            <w:tcW w:w="2065" w:type="dxa"/>
            <w:vMerge w:val="restart"/>
          </w:tcPr>
          <w:p w14:paraId="42A02B33" w14:textId="764A65EC" w:rsidR="00D323B0" w:rsidRPr="00204F00" w:rsidRDefault="00D323B0" w:rsidP="0098680F">
            <w:pPr>
              <w:tabs>
                <w:tab w:val="left" w:pos="884"/>
                <w:tab w:val="left" w:pos="1196"/>
              </w:tabs>
              <w:rPr>
                <w:b/>
              </w:rPr>
            </w:pPr>
            <w:r w:rsidRPr="00204F00">
              <w:rPr>
                <w:b/>
              </w:rPr>
              <w:t>Confederația Națională a Sindicatelor din Moldova</w:t>
            </w:r>
          </w:p>
        </w:tc>
        <w:tc>
          <w:tcPr>
            <w:tcW w:w="8010" w:type="dxa"/>
          </w:tcPr>
          <w:p w14:paraId="15A60923" w14:textId="0E8DD49C" w:rsidR="00D323B0" w:rsidRPr="00204F00" w:rsidRDefault="00D323B0" w:rsidP="00F5076A">
            <w:pPr>
              <w:pStyle w:val="Bodytext20"/>
              <w:numPr>
                <w:ilvl w:val="0"/>
                <w:numId w:val="6"/>
              </w:numPr>
              <w:shd w:val="clear" w:color="auto" w:fill="auto"/>
              <w:tabs>
                <w:tab w:val="left" w:pos="430"/>
              </w:tabs>
              <w:spacing w:line="240" w:lineRule="auto"/>
              <w:ind w:left="250" w:hanging="250"/>
              <w:rPr>
                <w:b/>
                <w:sz w:val="24"/>
                <w:szCs w:val="24"/>
              </w:rPr>
            </w:pPr>
            <w:r w:rsidRPr="00204F00">
              <w:rPr>
                <w:b/>
                <w:sz w:val="24"/>
                <w:szCs w:val="24"/>
              </w:rPr>
              <w:t>Obiecțiile</w:t>
            </w:r>
          </w:p>
        </w:tc>
        <w:tc>
          <w:tcPr>
            <w:tcW w:w="4239" w:type="dxa"/>
            <w:vMerge w:val="restart"/>
          </w:tcPr>
          <w:p w14:paraId="79393E12" w14:textId="3A146ED6" w:rsidR="00171ADD" w:rsidRPr="001F66E6" w:rsidRDefault="00171ADD" w:rsidP="0098680F">
            <w:pPr>
              <w:pStyle w:val="a6"/>
              <w:tabs>
                <w:tab w:val="left" w:pos="-14"/>
              </w:tabs>
              <w:ind w:left="-14"/>
            </w:pPr>
            <w:r w:rsidRPr="001F66E6">
              <w:t>Nu se acceptă.</w:t>
            </w:r>
          </w:p>
          <w:p w14:paraId="1FEB2BFF" w14:textId="048EE707" w:rsidR="00F1504F" w:rsidRPr="001F66E6" w:rsidRDefault="001F66E6" w:rsidP="001F66E6">
            <w:pPr>
              <w:pStyle w:val="a6"/>
              <w:tabs>
                <w:tab w:val="left" w:pos="-14"/>
              </w:tabs>
              <w:ind w:left="-14"/>
              <w:jc w:val="both"/>
              <w:rPr>
                <w:lang w:val="ro-RO" w:eastAsia="en-US"/>
              </w:rPr>
            </w:pPr>
            <w:r w:rsidRPr="001F66E6">
              <w:t>Potrivit cadrului legal național</w:t>
            </w:r>
            <w:r>
              <w:t>,</w:t>
            </w:r>
            <w:r w:rsidRPr="001F66E6">
              <w:t xml:space="preserve"> anual se indexează pensiile. </w:t>
            </w:r>
            <w:proofErr w:type="spellStart"/>
            <w:r w:rsidRPr="001F66E6">
              <w:t>Or</w:t>
            </w:r>
            <w:proofErr w:type="spellEnd"/>
            <w:r w:rsidRPr="001F66E6">
              <w:t>, i</w:t>
            </w:r>
            <w:proofErr w:type="spellStart"/>
            <w:r w:rsidR="00F1504F" w:rsidRPr="00ED2410">
              <w:rPr>
                <w:lang w:val="ro-RO" w:eastAsia="en-US"/>
              </w:rPr>
              <w:t>ndexarea</w:t>
            </w:r>
            <w:proofErr w:type="spellEnd"/>
            <w:r w:rsidR="00F1504F" w:rsidRPr="00ED2410">
              <w:rPr>
                <w:lang w:val="ro-RO" w:eastAsia="en-US"/>
              </w:rPr>
              <w:t xml:space="preserve"> reprezintă o reactualizarea periodică a </w:t>
            </w:r>
            <w:r w:rsidR="00F1504F" w:rsidRPr="00ED2410">
              <w:rPr>
                <w:lang w:val="ro-RO" w:eastAsia="en-US"/>
              </w:rPr>
              <w:lastRenderedPageBreak/>
              <w:t>mărimii pensiilor de asigurări sociale de stat, care este specifică prin caracterul său anual, permanent şi obligatoriu. Indexării fiind supuse toate categoriile de pensii, indiferent de tipul și mărimea pensiei.</w:t>
            </w:r>
          </w:p>
          <w:p w14:paraId="1DB953BE" w14:textId="7941A15A" w:rsidR="00132A27" w:rsidRPr="001F66E6" w:rsidRDefault="001F66E6" w:rsidP="001F66E6">
            <w:pPr>
              <w:pStyle w:val="a6"/>
              <w:tabs>
                <w:tab w:val="left" w:pos="-14"/>
              </w:tabs>
              <w:ind w:left="-14"/>
              <w:jc w:val="both"/>
            </w:pPr>
            <w:r w:rsidRPr="001F66E6">
              <w:rPr>
                <w:lang w:val="ro-RO" w:eastAsia="en-US"/>
              </w:rPr>
              <w:t>Suplimentar</w:t>
            </w:r>
            <w:r>
              <w:rPr>
                <w:lang w:val="ro-RO" w:eastAsia="en-US"/>
              </w:rPr>
              <w:t>,</w:t>
            </w:r>
            <w:r w:rsidRPr="001F66E6">
              <w:rPr>
                <w:lang w:val="ro-RO" w:eastAsia="en-US"/>
              </w:rPr>
              <w:t xml:space="preserve"> menționăm că, HG nr. 159/2018 stabilește </w:t>
            </w:r>
            <w:r w:rsidRPr="001F66E6">
              <w:t>modul de acordare a ajutorului material.</w:t>
            </w:r>
          </w:p>
        </w:tc>
      </w:tr>
      <w:tr w:rsidR="00D323B0" w:rsidRPr="000C5C28" w14:paraId="201EA786" w14:textId="77777777" w:rsidTr="007866D3">
        <w:trPr>
          <w:trHeight w:val="197"/>
        </w:trPr>
        <w:tc>
          <w:tcPr>
            <w:tcW w:w="2065" w:type="dxa"/>
            <w:vMerge/>
          </w:tcPr>
          <w:p w14:paraId="7AB8A08F" w14:textId="77777777" w:rsidR="00D323B0" w:rsidRPr="00204F00" w:rsidRDefault="00D323B0" w:rsidP="009138F4">
            <w:pPr>
              <w:tabs>
                <w:tab w:val="left" w:pos="884"/>
                <w:tab w:val="left" w:pos="1196"/>
              </w:tabs>
              <w:rPr>
                <w:b/>
              </w:rPr>
            </w:pPr>
          </w:p>
        </w:tc>
        <w:tc>
          <w:tcPr>
            <w:tcW w:w="8010" w:type="dxa"/>
          </w:tcPr>
          <w:p w14:paraId="10BF86AC" w14:textId="77777777" w:rsidR="00D323B0" w:rsidRPr="00204F00" w:rsidRDefault="00D323B0" w:rsidP="00D323B0">
            <w:pPr>
              <w:pStyle w:val="Bodytext20"/>
              <w:shd w:val="clear" w:color="auto" w:fill="auto"/>
              <w:spacing w:line="240" w:lineRule="auto"/>
              <w:ind w:firstLine="0"/>
              <w:rPr>
                <w:color w:val="000000"/>
                <w:sz w:val="24"/>
                <w:szCs w:val="24"/>
                <w:lang w:eastAsia="ro-RO" w:bidi="ro-RO"/>
              </w:rPr>
            </w:pPr>
            <w:r w:rsidRPr="00204F00">
              <w:rPr>
                <w:b/>
                <w:bCs/>
                <w:color w:val="000000"/>
                <w:sz w:val="24"/>
                <w:szCs w:val="24"/>
                <w:lang w:eastAsia="ro-RO" w:bidi="ro-RO"/>
              </w:rPr>
              <w:t>La punctul 1 din proiect</w:t>
            </w:r>
            <w:r w:rsidRPr="00204F00">
              <w:rPr>
                <w:color w:val="000000"/>
                <w:sz w:val="24"/>
                <w:szCs w:val="24"/>
                <w:lang w:eastAsia="ro-RO" w:bidi="ro-RO"/>
              </w:rPr>
              <w:t>, propunem ca sintagma ,,pct. 2 se abrogă” să fie substituită cu următorul text:</w:t>
            </w:r>
          </w:p>
          <w:p w14:paraId="17F4749B" w14:textId="1E9E1CE0" w:rsidR="00D323B0" w:rsidRPr="00204F00" w:rsidRDefault="00D323B0" w:rsidP="00D323B0">
            <w:pPr>
              <w:pStyle w:val="Bodytext20"/>
              <w:shd w:val="clear" w:color="auto" w:fill="auto"/>
              <w:tabs>
                <w:tab w:val="left" w:pos="430"/>
              </w:tabs>
              <w:spacing w:line="240" w:lineRule="auto"/>
              <w:ind w:firstLine="0"/>
              <w:rPr>
                <w:bCs/>
                <w:sz w:val="24"/>
                <w:szCs w:val="24"/>
              </w:rPr>
            </w:pPr>
            <w:r w:rsidRPr="00204F00">
              <w:rPr>
                <w:color w:val="000000"/>
                <w:sz w:val="24"/>
                <w:szCs w:val="24"/>
                <w:lang w:eastAsia="ro-RO" w:bidi="ro-RO"/>
              </w:rPr>
              <w:t xml:space="preserve">,,2. Cuantumul ajutorului material anual pentru persoanele specificate la punctul </w:t>
            </w:r>
            <w:r w:rsidRPr="00204F00">
              <w:rPr>
                <w:color w:val="000000"/>
                <w:sz w:val="24"/>
                <w:szCs w:val="24"/>
                <w:lang w:eastAsia="ro-RO" w:bidi="ro-RO"/>
              </w:rPr>
              <w:lastRenderedPageBreak/>
              <w:t>4 din Regulamentul cu privire la modul de stabilire și plată a ajutorului material se indexează anual, în funcție de mărimea indicelui prețurilor de consum pentru anul anterior.”</w:t>
            </w:r>
          </w:p>
        </w:tc>
        <w:tc>
          <w:tcPr>
            <w:tcW w:w="4239" w:type="dxa"/>
            <w:vMerge/>
          </w:tcPr>
          <w:p w14:paraId="182A0C18" w14:textId="2AD54F75" w:rsidR="00D323B0" w:rsidRPr="00204F00" w:rsidRDefault="00D323B0" w:rsidP="009138F4">
            <w:pPr>
              <w:pStyle w:val="a6"/>
              <w:tabs>
                <w:tab w:val="left" w:pos="-14"/>
              </w:tabs>
              <w:ind w:left="-14"/>
            </w:pPr>
          </w:p>
        </w:tc>
      </w:tr>
      <w:tr w:rsidR="009138F4" w:rsidRPr="00D323B0" w14:paraId="20222130" w14:textId="77777777" w:rsidTr="007866D3">
        <w:trPr>
          <w:trHeight w:val="197"/>
        </w:trPr>
        <w:tc>
          <w:tcPr>
            <w:tcW w:w="2065" w:type="dxa"/>
            <w:vMerge w:val="restart"/>
          </w:tcPr>
          <w:p w14:paraId="08312A4C" w14:textId="2874E2E4" w:rsidR="009138F4" w:rsidRPr="00204F00" w:rsidRDefault="00D323B0" w:rsidP="009138F4">
            <w:pPr>
              <w:tabs>
                <w:tab w:val="left" w:pos="884"/>
                <w:tab w:val="left" w:pos="1196"/>
              </w:tabs>
              <w:rPr>
                <w:b/>
              </w:rPr>
            </w:pPr>
            <w:r w:rsidRPr="00204F00">
              <w:rPr>
                <w:b/>
              </w:rPr>
              <w:lastRenderedPageBreak/>
              <w:t>Centrul Național Anticorupție</w:t>
            </w:r>
          </w:p>
        </w:tc>
        <w:tc>
          <w:tcPr>
            <w:tcW w:w="8010" w:type="dxa"/>
          </w:tcPr>
          <w:p w14:paraId="61306406" w14:textId="4CCBA277" w:rsidR="009138F4" w:rsidRPr="00204F00" w:rsidRDefault="00D323B0" w:rsidP="00D323B0">
            <w:pPr>
              <w:pStyle w:val="Bodytext20"/>
              <w:shd w:val="clear" w:color="auto" w:fill="auto"/>
              <w:tabs>
                <w:tab w:val="left" w:pos="430"/>
              </w:tabs>
              <w:spacing w:line="240" w:lineRule="auto"/>
              <w:ind w:firstLine="0"/>
              <w:rPr>
                <w:b/>
                <w:sz w:val="24"/>
                <w:szCs w:val="24"/>
              </w:rPr>
            </w:pPr>
            <w:r>
              <w:rPr>
                <w:b/>
                <w:sz w:val="24"/>
                <w:szCs w:val="24"/>
              </w:rPr>
              <w:t xml:space="preserve">I. </w:t>
            </w:r>
            <w:r w:rsidR="009138F4" w:rsidRPr="00204F00">
              <w:rPr>
                <w:b/>
                <w:sz w:val="24"/>
                <w:szCs w:val="24"/>
              </w:rPr>
              <w:t>Obiecțiile</w:t>
            </w:r>
          </w:p>
        </w:tc>
        <w:tc>
          <w:tcPr>
            <w:tcW w:w="4239" w:type="dxa"/>
            <w:vMerge w:val="restart"/>
          </w:tcPr>
          <w:p w14:paraId="71CB37CB" w14:textId="77777777" w:rsidR="009138F4" w:rsidRPr="00204F00" w:rsidRDefault="009138F4" w:rsidP="009138F4">
            <w:pPr>
              <w:pStyle w:val="a6"/>
              <w:tabs>
                <w:tab w:val="left" w:pos="-14"/>
              </w:tabs>
              <w:ind w:left="-14"/>
            </w:pPr>
          </w:p>
          <w:p w14:paraId="79326EDF" w14:textId="77777777" w:rsidR="00316F22" w:rsidRPr="00204F00" w:rsidRDefault="00316F22" w:rsidP="006D4BDE">
            <w:pPr>
              <w:pStyle w:val="a6"/>
              <w:tabs>
                <w:tab w:val="left" w:pos="-14"/>
              </w:tabs>
              <w:ind w:left="-14"/>
              <w:jc w:val="both"/>
            </w:pPr>
          </w:p>
          <w:p w14:paraId="5537C600" w14:textId="77777777" w:rsidR="000D44EA" w:rsidRPr="00204F00" w:rsidRDefault="000D44EA" w:rsidP="006D4BDE">
            <w:pPr>
              <w:pStyle w:val="a6"/>
              <w:tabs>
                <w:tab w:val="left" w:pos="-14"/>
              </w:tabs>
              <w:ind w:left="-14"/>
              <w:jc w:val="both"/>
            </w:pPr>
          </w:p>
          <w:p w14:paraId="2A61CE1C" w14:textId="77777777" w:rsidR="000D44EA" w:rsidRPr="00204F00" w:rsidRDefault="000D44EA" w:rsidP="006D4BDE">
            <w:pPr>
              <w:pStyle w:val="a6"/>
              <w:tabs>
                <w:tab w:val="left" w:pos="-14"/>
              </w:tabs>
              <w:ind w:left="-14"/>
              <w:jc w:val="both"/>
            </w:pPr>
          </w:p>
          <w:p w14:paraId="2526C76E" w14:textId="77777777" w:rsidR="000D44EA" w:rsidRPr="00204F00" w:rsidRDefault="000D44EA" w:rsidP="006D4BDE">
            <w:pPr>
              <w:pStyle w:val="a6"/>
              <w:tabs>
                <w:tab w:val="left" w:pos="-14"/>
              </w:tabs>
              <w:ind w:left="-14"/>
              <w:jc w:val="both"/>
            </w:pPr>
          </w:p>
          <w:p w14:paraId="10200014" w14:textId="77777777" w:rsidR="000D44EA" w:rsidRPr="00204F00" w:rsidRDefault="000D44EA" w:rsidP="006D4BDE">
            <w:pPr>
              <w:pStyle w:val="a6"/>
              <w:tabs>
                <w:tab w:val="left" w:pos="-14"/>
              </w:tabs>
              <w:ind w:left="-14"/>
              <w:jc w:val="both"/>
            </w:pPr>
          </w:p>
          <w:p w14:paraId="0C29E30E" w14:textId="77777777" w:rsidR="000D44EA" w:rsidRPr="00204F00" w:rsidRDefault="000D44EA" w:rsidP="006D4BDE">
            <w:pPr>
              <w:pStyle w:val="a6"/>
              <w:tabs>
                <w:tab w:val="left" w:pos="-14"/>
              </w:tabs>
              <w:ind w:left="-14"/>
              <w:jc w:val="both"/>
            </w:pPr>
          </w:p>
          <w:p w14:paraId="187A1FC9" w14:textId="4FBC7BD3" w:rsidR="000D44EA" w:rsidRPr="00204F00" w:rsidRDefault="000D44EA" w:rsidP="006D4BDE">
            <w:pPr>
              <w:pStyle w:val="a6"/>
              <w:tabs>
                <w:tab w:val="left" w:pos="-14"/>
              </w:tabs>
              <w:ind w:left="-14"/>
              <w:jc w:val="both"/>
            </w:pPr>
          </w:p>
        </w:tc>
      </w:tr>
      <w:tr w:rsidR="009138F4" w:rsidRPr="000C5C28" w14:paraId="3258A735" w14:textId="77777777" w:rsidTr="007866D3">
        <w:trPr>
          <w:trHeight w:val="606"/>
        </w:trPr>
        <w:tc>
          <w:tcPr>
            <w:tcW w:w="2065" w:type="dxa"/>
            <w:vMerge/>
          </w:tcPr>
          <w:p w14:paraId="585FE6A2" w14:textId="77777777" w:rsidR="009138F4" w:rsidRPr="00204F00" w:rsidRDefault="009138F4" w:rsidP="009138F4">
            <w:pPr>
              <w:tabs>
                <w:tab w:val="left" w:pos="884"/>
                <w:tab w:val="left" w:pos="1196"/>
              </w:tabs>
              <w:rPr>
                <w:b/>
              </w:rPr>
            </w:pPr>
          </w:p>
        </w:tc>
        <w:tc>
          <w:tcPr>
            <w:tcW w:w="8010" w:type="dxa"/>
          </w:tcPr>
          <w:p w14:paraId="7F8037D5" w14:textId="77777777" w:rsidR="00D323B0" w:rsidRPr="00204F00" w:rsidRDefault="00D323B0" w:rsidP="00D323B0">
            <w:pPr>
              <w:pStyle w:val="Bodytext20"/>
              <w:tabs>
                <w:tab w:val="left" w:pos="430"/>
              </w:tabs>
              <w:spacing w:line="240" w:lineRule="auto"/>
              <w:ind w:firstLine="0"/>
              <w:rPr>
                <w:bCs/>
                <w:sz w:val="24"/>
                <w:szCs w:val="24"/>
              </w:rPr>
            </w:pPr>
            <w:r w:rsidRPr="00204F00">
              <w:rPr>
                <w:bCs/>
                <w:sz w:val="24"/>
                <w:szCs w:val="24"/>
              </w:rPr>
              <w:t>Proiectul nu conține avizele instituțiilor implicate în procesul de avizare și sinteza recomandărilor recepționate în cadrul consultării publice, fapt ce presupune că redacția proiectului poate suferi ulterior modificări și completări.</w:t>
            </w:r>
          </w:p>
          <w:p w14:paraId="74EAEB99" w14:textId="77777777" w:rsidR="00D323B0" w:rsidRPr="00204F00" w:rsidRDefault="00D323B0" w:rsidP="00D323B0">
            <w:pPr>
              <w:pStyle w:val="Bodytext20"/>
              <w:tabs>
                <w:tab w:val="left" w:pos="430"/>
              </w:tabs>
              <w:spacing w:line="240" w:lineRule="auto"/>
              <w:ind w:firstLine="0"/>
              <w:rPr>
                <w:bCs/>
                <w:sz w:val="24"/>
                <w:szCs w:val="24"/>
              </w:rPr>
            </w:pPr>
            <w:r w:rsidRPr="00204F00">
              <w:rPr>
                <w:bCs/>
                <w:sz w:val="24"/>
                <w:szCs w:val="24"/>
              </w:rPr>
              <w:t>În vedere excluderii neconcordanțelor între constatările expertizei anticorupție și prevederile proiectului definitivat, comunicăm că expertiza sus-citată se va efectua conform Legii integrității nr. 82/2017. Potrivit art. 28, alin. (4) din Legea menționată „</w:t>
            </w:r>
            <w:r w:rsidRPr="00204F00">
              <w:rPr>
                <w:bCs/>
                <w:i/>
                <w:iCs/>
                <w:sz w:val="24"/>
                <w:szCs w:val="24"/>
              </w:rPr>
              <w:t>Expertiza anticorupție, cu excepțiile stabilite la alin. (2) și (3), se efectuează de către Centrul Național Anticorupție doar asupra proiectului definitivat în baza propunerilor și obiecțiilor expuse în procesul de avizare și/sau de consultare a părților interesate. În cazul proiectelor inițiate de Guvern, acestea se consideră definitivate înainte de a fi transmise spre expertiza juridică, iar în cazul inițiativelor altor categorii de autori – după înregistrarea proiectelor în Parlament</w:t>
            </w:r>
            <w:r w:rsidRPr="00204F00">
              <w:rPr>
                <w:bCs/>
                <w:sz w:val="24"/>
                <w:szCs w:val="24"/>
              </w:rPr>
              <w:t>.”.</w:t>
            </w:r>
          </w:p>
          <w:p w14:paraId="3EC77F03" w14:textId="735D4B48" w:rsidR="00204F00" w:rsidRPr="00204F00" w:rsidRDefault="00D323B0" w:rsidP="00D323B0">
            <w:pPr>
              <w:ind w:right="57"/>
              <w:jc w:val="both"/>
              <w:rPr>
                <w:lang w:val="en-US"/>
              </w:rPr>
            </w:pPr>
            <w:r w:rsidRPr="00204F00">
              <w:rPr>
                <w:bCs/>
              </w:rPr>
              <w:t>Reieșind din cele expuse, solicităm respectuos prezentarea proiectului definitivat pentru efectuarea expertizei anticorupție.</w:t>
            </w:r>
          </w:p>
        </w:tc>
        <w:tc>
          <w:tcPr>
            <w:tcW w:w="4239" w:type="dxa"/>
            <w:vMerge/>
          </w:tcPr>
          <w:p w14:paraId="517937A5" w14:textId="77DD38C5" w:rsidR="009138F4" w:rsidRPr="00204F00" w:rsidRDefault="009138F4" w:rsidP="009138F4">
            <w:pPr>
              <w:pStyle w:val="a6"/>
              <w:tabs>
                <w:tab w:val="left" w:pos="-14"/>
              </w:tabs>
              <w:ind w:left="-14"/>
              <w:jc w:val="both"/>
            </w:pPr>
          </w:p>
        </w:tc>
      </w:tr>
      <w:tr w:rsidR="009138F4" w:rsidRPr="000C5C28" w14:paraId="4F5AADC3" w14:textId="77777777" w:rsidTr="007866D3">
        <w:trPr>
          <w:trHeight w:val="350"/>
        </w:trPr>
        <w:tc>
          <w:tcPr>
            <w:tcW w:w="2065" w:type="dxa"/>
          </w:tcPr>
          <w:p w14:paraId="08BD076F" w14:textId="71CCC98E" w:rsidR="009138F4" w:rsidRPr="00204F00" w:rsidRDefault="00D323B0" w:rsidP="009138F4">
            <w:pPr>
              <w:tabs>
                <w:tab w:val="left" w:pos="884"/>
                <w:tab w:val="left" w:pos="1196"/>
              </w:tabs>
              <w:rPr>
                <w:b/>
              </w:rPr>
            </w:pPr>
            <w:r w:rsidRPr="00204F00">
              <w:rPr>
                <w:b/>
              </w:rPr>
              <w:t>Confederația Națională a Patronatelor din Republica Moldova</w:t>
            </w:r>
          </w:p>
        </w:tc>
        <w:tc>
          <w:tcPr>
            <w:tcW w:w="8010" w:type="dxa"/>
          </w:tcPr>
          <w:p w14:paraId="56D2F09C" w14:textId="1DB2D956" w:rsidR="009138F4" w:rsidRPr="00204F00" w:rsidRDefault="00D323B0" w:rsidP="00BC7FDE">
            <w:pPr>
              <w:pStyle w:val="Bodytext20"/>
              <w:shd w:val="clear" w:color="auto" w:fill="auto"/>
              <w:spacing w:line="240" w:lineRule="auto"/>
              <w:ind w:firstLine="0"/>
              <w:rPr>
                <w:color w:val="000000"/>
                <w:sz w:val="24"/>
                <w:szCs w:val="24"/>
                <w:lang w:eastAsia="ro-RO" w:bidi="ro-RO"/>
              </w:rPr>
            </w:pPr>
            <w:r w:rsidRPr="00204F00">
              <w:rPr>
                <w:color w:val="000000"/>
                <w:sz w:val="24"/>
                <w:szCs w:val="24"/>
                <w:lang w:eastAsia="ro-RO" w:bidi="ro-RO"/>
              </w:rPr>
              <w:t>Aviz fără obiecții la proiect.</w:t>
            </w:r>
          </w:p>
        </w:tc>
        <w:tc>
          <w:tcPr>
            <w:tcW w:w="4239" w:type="dxa"/>
          </w:tcPr>
          <w:p w14:paraId="75656EDB" w14:textId="77777777" w:rsidR="009138F4" w:rsidRPr="00204F00" w:rsidRDefault="009138F4" w:rsidP="00D323B0">
            <w:pPr>
              <w:tabs>
                <w:tab w:val="left" w:pos="1276"/>
              </w:tabs>
            </w:pPr>
          </w:p>
        </w:tc>
      </w:tr>
      <w:tr w:rsidR="009138F4" w:rsidRPr="000C5C28" w14:paraId="72ABADC2" w14:textId="77777777" w:rsidTr="007866D3">
        <w:trPr>
          <w:trHeight w:val="350"/>
        </w:trPr>
        <w:tc>
          <w:tcPr>
            <w:tcW w:w="2065" w:type="dxa"/>
          </w:tcPr>
          <w:p w14:paraId="26076800" w14:textId="77777777" w:rsidR="009138F4" w:rsidRPr="00204F00" w:rsidRDefault="009138F4" w:rsidP="009138F4">
            <w:pPr>
              <w:tabs>
                <w:tab w:val="left" w:pos="884"/>
                <w:tab w:val="left" w:pos="1196"/>
              </w:tabs>
              <w:rPr>
                <w:b/>
              </w:rPr>
            </w:pPr>
            <w:r w:rsidRPr="00204F00">
              <w:rPr>
                <w:b/>
              </w:rPr>
              <w:t>Avocatul Poporului</w:t>
            </w:r>
          </w:p>
        </w:tc>
        <w:tc>
          <w:tcPr>
            <w:tcW w:w="8010" w:type="dxa"/>
          </w:tcPr>
          <w:p w14:paraId="6C5C304D" w14:textId="703A83B1" w:rsidR="009138F4" w:rsidRPr="00204F00" w:rsidRDefault="009138F4" w:rsidP="009138F4">
            <w:pPr>
              <w:pStyle w:val="Bodytext20"/>
              <w:shd w:val="clear" w:color="auto" w:fill="auto"/>
              <w:spacing w:line="240" w:lineRule="auto"/>
              <w:ind w:firstLine="0"/>
              <w:rPr>
                <w:color w:val="000000"/>
                <w:sz w:val="24"/>
                <w:szCs w:val="24"/>
                <w:lang w:eastAsia="ro-RO" w:bidi="ro-RO"/>
              </w:rPr>
            </w:pPr>
            <w:r w:rsidRPr="00204F00">
              <w:rPr>
                <w:color w:val="000000"/>
                <w:sz w:val="24"/>
                <w:szCs w:val="24"/>
                <w:lang w:eastAsia="ro-RO" w:bidi="ro-RO"/>
              </w:rPr>
              <w:t xml:space="preserve">Potrivit notei informative proiectul </w:t>
            </w:r>
            <w:r w:rsidR="00E35B3F" w:rsidRPr="00204F00">
              <w:rPr>
                <w:color w:val="000000"/>
                <w:sz w:val="24"/>
                <w:szCs w:val="24"/>
                <w:lang w:eastAsia="ro-RO" w:bidi="ro-RO"/>
              </w:rPr>
              <w:t xml:space="preserve">în cauză </w:t>
            </w:r>
            <w:r w:rsidRPr="00204F00">
              <w:rPr>
                <w:color w:val="000000"/>
                <w:sz w:val="24"/>
                <w:szCs w:val="24"/>
                <w:lang w:eastAsia="ro-RO" w:bidi="ro-RO"/>
              </w:rPr>
              <w:t xml:space="preserve">a fost elaborat în </w:t>
            </w:r>
            <w:r w:rsidR="00E35B3F" w:rsidRPr="00204F00">
              <w:rPr>
                <w:color w:val="000000"/>
                <w:sz w:val="24"/>
                <w:szCs w:val="24"/>
                <w:lang w:eastAsia="ro-RO" w:bidi="ro-RO"/>
              </w:rPr>
              <w:t xml:space="preserve">contextul armonizării normelor Regulamentului cu privire la modul de stabilire și plată a ajutorului material, </w:t>
            </w:r>
            <w:proofErr w:type="spellStart"/>
            <w:r w:rsidR="00E35B3F" w:rsidRPr="00204F00">
              <w:rPr>
                <w:color w:val="000000"/>
                <w:sz w:val="24"/>
                <w:szCs w:val="24"/>
                <w:lang w:eastAsia="ro-RO" w:bidi="ro-RO"/>
              </w:rPr>
              <w:t>aprobat</w:t>
            </w:r>
            <w:proofErr w:type="spellEnd"/>
            <w:r w:rsidR="00E35B3F" w:rsidRPr="00204F00">
              <w:rPr>
                <w:color w:val="000000"/>
                <w:sz w:val="24"/>
                <w:szCs w:val="24"/>
                <w:lang w:eastAsia="ro-RO" w:bidi="ro-RO"/>
              </w:rPr>
              <w:t xml:space="preserve"> </w:t>
            </w:r>
            <w:proofErr w:type="spellStart"/>
            <w:r w:rsidR="00E35B3F" w:rsidRPr="00204F00">
              <w:rPr>
                <w:color w:val="000000"/>
                <w:sz w:val="24"/>
                <w:szCs w:val="24"/>
                <w:lang w:eastAsia="ro-RO" w:bidi="ro-RO"/>
              </w:rPr>
              <w:t>prin</w:t>
            </w:r>
            <w:proofErr w:type="spellEnd"/>
            <w:r w:rsidR="00E35B3F" w:rsidRPr="00204F00">
              <w:rPr>
                <w:color w:val="000000"/>
                <w:sz w:val="24"/>
                <w:szCs w:val="24"/>
                <w:lang w:eastAsia="ro-RO" w:bidi="ro-RO"/>
              </w:rPr>
              <w:t xml:space="preserve"> </w:t>
            </w:r>
            <w:proofErr w:type="spellStart"/>
            <w:r w:rsidR="00E35B3F" w:rsidRPr="00204F00">
              <w:rPr>
                <w:color w:val="000000"/>
                <w:sz w:val="24"/>
                <w:szCs w:val="24"/>
                <w:lang w:eastAsia="ro-RO" w:bidi="ro-RO"/>
              </w:rPr>
              <w:t>Hotărîrea</w:t>
            </w:r>
            <w:proofErr w:type="spellEnd"/>
            <w:r w:rsidR="00E35B3F" w:rsidRPr="00204F00">
              <w:rPr>
                <w:color w:val="000000"/>
                <w:sz w:val="24"/>
                <w:szCs w:val="24"/>
                <w:lang w:eastAsia="ro-RO" w:bidi="ro-RO"/>
              </w:rPr>
              <w:t xml:space="preserve"> </w:t>
            </w:r>
            <w:proofErr w:type="spellStart"/>
            <w:r w:rsidR="00E35B3F" w:rsidRPr="00204F00">
              <w:rPr>
                <w:color w:val="000000"/>
                <w:sz w:val="24"/>
                <w:szCs w:val="24"/>
                <w:lang w:eastAsia="ro-RO" w:bidi="ro-RO"/>
              </w:rPr>
              <w:t>Guvernului</w:t>
            </w:r>
            <w:proofErr w:type="spellEnd"/>
            <w:r w:rsidR="00E35B3F" w:rsidRPr="00204F00">
              <w:rPr>
                <w:color w:val="000000"/>
                <w:sz w:val="24"/>
                <w:szCs w:val="24"/>
                <w:lang w:eastAsia="ro-RO" w:bidi="ro-RO"/>
              </w:rPr>
              <w:t xml:space="preserve"> nr. 159/2018</w:t>
            </w:r>
            <w:r w:rsidR="00BD6575" w:rsidRPr="00204F00">
              <w:rPr>
                <w:color w:val="000000"/>
                <w:sz w:val="24"/>
                <w:szCs w:val="24"/>
                <w:lang w:eastAsia="ro-RO" w:bidi="ro-RO"/>
              </w:rPr>
              <w:t xml:space="preserve">. </w:t>
            </w:r>
          </w:p>
          <w:p w14:paraId="788E7236" w14:textId="7B4BFD06" w:rsidR="009138F4" w:rsidRPr="00204F00" w:rsidRDefault="00E35B3F" w:rsidP="009138F4">
            <w:pPr>
              <w:pStyle w:val="Bodytext20"/>
              <w:shd w:val="clear" w:color="auto" w:fill="auto"/>
              <w:spacing w:line="240" w:lineRule="auto"/>
              <w:ind w:firstLine="0"/>
              <w:rPr>
                <w:color w:val="000000"/>
                <w:sz w:val="24"/>
                <w:szCs w:val="24"/>
                <w:lang w:eastAsia="ro-RO" w:bidi="ro-RO"/>
              </w:rPr>
            </w:pPr>
            <w:r w:rsidRPr="00204F00">
              <w:rPr>
                <w:color w:val="000000"/>
                <w:sz w:val="24"/>
                <w:szCs w:val="24"/>
                <w:lang w:eastAsia="ro-RO" w:bidi="ro-RO"/>
              </w:rPr>
              <w:t>Obiecții ce ar viza drepturile și libertățile omului nu au fost identificate.</w:t>
            </w:r>
          </w:p>
        </w:tc>
        <w:tc>
          <w:tcPr>
            <w:tcW w:w="4239" w:type="dxa"/>
          </w:tcPr>
          <w:p w14:paraId="0BC07DED" w14:textId="77777777" w:rsidR="009138F4" w:rsidRPr="00204F00" w:rsidRDefault="009138F4" w:rsidP="009138F4">
            <w:pPr>
              <w:pStyle w:val="a6"/>
              <w:tabs>
                <w:tab w:val="left" w:pos="-14"/>
              </w:tabs>
              <w:ind w:left="-14"/>
            </w:pPr>
          </w:p>
        </w:tc>
      </w:tr>
    </w:tbl>
    <w:p w14:paraId="53FC3108" w14:textId="77777777" w:rsidR="008F5A27" w:rsidRPr="00140CFD" w:rsidRDefault="008F5A27" w:rsidP="008F5A27">
      <w:pPr>
        <w:ind w:left="720"/>
        <w:rPr>
          <w:b/>
        </w:rPr>
      </w:pPr>
    </w:p>
    <w:p w14:paraId="55D3FAED" w14:textId="77777777" w:rsidR="00CE5F1A" w:rsidRDefault="00CE5F1A" w:rsidP="00AC1783">
      <w:pPr>
        <w:tabs>
          <w:tab w:val="left" w:pos="1530"/>
        </w:tabs>
        <w:ind w:firstLine="1530"/>
        <w:rPr>
          <w:b/>
        </w:rPr>
      </w:pPr>
    </w:p>
    <w:p w14:paraId="49C09CAA" w14:textId="3D1CBC28" w:rsidR="00486ACB" w:rsidRPr="00991A8C" w:rsidRDefault="00CE5F1A" w:rsidP="00AC1783">
      <w:pPr>
        <w:tabs>
          <w:tab w:val="left" w:pos="1530"/>
        </w:tabs>
        <w:ind w:firstLine="1530"/>
        <w:rPr>
          <w:sz w:val="28"/>
          <w:szCs w:val="28"/>
          <w:lang w:val="en-US"/>
        </w:rPr>
      </w:pPr>
      <w:r w:rsidRPr="00991A8C">
        <w:rPr>
          <w:b/>
          <w:sz w:val="28"/>
          <w:szCs w:val="28"/>
        </w:rPr>
        <w:t xml:space="preserve"> </w:t>
      </w:r>
      <w:r w:rsidR="007866D3" w:rsidRPr="00991A8C">
        <w:rPr>
          <w:b/>
          <w:sz w:val="28"/>
          <w:szCs w:val="28"/>
        </w:rPr>
        <w:t xml:space="preserve">MINISTRU                                                                                                                 </w:t>
      </w:r>
      <w:r w:rsidRPr="00991A8C">
        <w:rPr>
          <w:b/>
          <w:sz w:val="28"/>
          <w:szCs w:val="28"/>
        </w:rPr>
        <w:t>Ala NEMERENCO</w:t>
      </w:r>
      <w:r w:rsidR="008F5A27" w:rsidRPr="00991A8C">
        <w:rPr>
          <w:b/>
          <w:sz w:val="28"/>
          <w:szCs w:val="28"/>
        </w:rPr>
        <w:tab/>
      </w:r>
    </w:p>
    <w:sectPr w:rsidR="00486ACB" w:rsidRPr="00991A8C" w:rsidSect="00D129E6">
      <w:pgSz w:w="15840" w:h="12240" w:orient="landscape"/>
      <w:pgMar w:top="567" w:right="1134"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0DD2E" w14:textId="77777777" w:rsidR="00FC3D12" w:rsidRDefault="00FC3D12" w:rsidP="0031049E">
      <w:r>
        <w:separator/>
      </w:r>
    </w:p>
  </w:endnote>
  <w:endnote w:type="continuationSeparator" w:id="0">
    <w:p w14:paraId="7CAE5EBD" w14:textId="77777777" w:rsidR="00FC3D12" w:rsidRDefault="00FC3D12" w:rsidP="0031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A3E1A" w14:textId="77777777" w:rsidR="00FC3D12" w:rsidRDefault="00FC3D12" w:rsidP="0031049E">
      <w:r>
        <w:separator/>
      </w:r>
    </w:p>
  </w:footnote>
  <w:footnote w:type="continuationSeparator" w:id="0">
    <w:p w14:paraId="26962825" w14:textId="77777777" w:rsidR="00FC3D12" w:rsidRDefault="00FC3D12" w:rsidP="00310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78"/>
    <w:multiLevelType w:val="hybridMultilevel"/>
    <w:tmpl w:val="D2F0CA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37726"/>
    <w:multiLevelType w:val="hybridMultilevel"/>
    <w:tmpl w:val="8342E7F4"/>
    <w:lvl w:ilvl="0" w:tplc="37F04B08">
      <w:start w:val="1"/>
      <w:numFmt w:val="decimal"/>
      <w:lvlText w:val="%1."/>
      <w:lvlJc w:val="left"/>
      <w:pPr>
        <w:ind w:left="3621" w:hanging="360"/>
      </w:pPr>
      <w:rPr>
        <w:rFonts w:ascii="Times New Roman" w:eastAsiaTheme="minorEastAsia" w:hAnsi="Times New Roman" w:cs="Times New Roman" w:hint="default"/>
        <w:color w:val="auto"/>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
    <w:nsid w:val="1C260E22"/>
    <w:multiLevelType w:val="hybridMultilevel"/>
    <w:tmpl w:val="8848A7FE"/>
    <w:lvl w:ilvl="0" w:tplc="B8867A68">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7121FDE"/>
    <w:multiLevelType w:val="hybridMultilevel"/>
    <w:tmpl w:val="5300A6C6"/>
    <w:lvl w:ilvl="0" w:tplc="1096A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F772F"/>
    <w:multiLevelType w:val="hybridMultilevel"/>
    <w:tmpl w:val="2C1CB25C"/>
    <w:lvl w:ilvl="0" w:tplc="671E4624">
      <w:start w:val="1"/>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nsid w:val="2BAD56A7"/>
    <w:multiLevelType w:val="hybridMultilevel"/>
    <w:tmpl w:val="2EC82CE6"/>
    <w:lvl w:ilvl="0" w:tplc="C4DEFE24">
      <w:start w:val="4"/>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A17B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F2B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E44E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E5E0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CD75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2E8D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08F2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C869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633753C"/>
    <w:multiLevelType w:val="hybridMultilevel"/>
    <w:tmpl w:val="7F6E328A"/>
    <w:lvl w:ilvl="0" w:tplc="4DAE877A">
      <w:start w:val="1"/>
      <w:numFmt w:val="decimal"/>
      <w:lvlText w:val="%1."/>
      <w:lvlJc w:val="left"/>
      <w:pPr>
        <w:ind w:left="6300" w:hanging="360"/>
      </w:pPr>
      <w:rPr>
        <w:rFonts w:hint="default"/>
        <w:b/>
      </w:rPr>
    </w:lvl>
    <w:lvl w:ilvl="1" w:tplc="1BC6D004">
      <w:start w:val="1"/>
      <w:numFmt w:val="lowerLetter"/>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357F8F"/>
    <w:multiLevelType w:val="hybridMultilevel"/>
    <w:tmpl w:val="73805496"/>
    <w:lvl w:ilvl="0" w:tplc="A9FEFD50">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40FF2EFC"/>
    <w:multiLevelType w:val="hybridMultilevel"/>
    <w:tmpl w:val="71FEB4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E22E2C"/>
    <w:multiLevelType w:val="hybridMultilevel"/>
    <w:tmpl w:val="8610ACAE"/>
    <w:lvl w:ilvl="0" w:tplc="0D561FF0">
      <w:start w:val="1"/>
      <w:numFmt w:val="decimal"/>
      <w:lvlText w:val="%1."/>
      <w:lvlJc w:val="left"/>
      <w:pPr>
        <w:ind w:left="420" w:hanging="360"/>
      </w:pPr>
      <w:rPr>
        <w:rFonts w:hint="default"/>
        <w:color w:val="auto"/>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0">
    <w:nsid w:val="51EC2365"/>
    <w:multiLevelType w:val="hybridMultilevel"/>
    <w:tmpl w:val="8342E7F4"/>
    <w:lvl w:ilvl="0" w:tplc="37F04B08">
      <w:start w:val="1"/>
      <w:numFmt w:val="decimal"/>
      <w:lvlText w:val="%1."/>
      <w:lvlJc w:val="left"/>
      <w:pPr>
        <w:ind w:left="3621" w:hanging="360"/>
      </w:pPr>
      <w:rPr>
        <w:rFonts w:ascii="Times New Roman" w:eastAsiaTheme="minorEastAsia" w:hAnsi="Times New Roman" w:cs="Times New Roman" w:hint="default"/>
        <w:color w:val="auto"/>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1">
    <w:nsid w:val="53E30604"/>
    <w:multiLevelType w:val="hybridMultilevel"/>
    <w:tmpl w:val="7528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758FE"/>
    <w:multiLevelType w:val="hybridMultilevel"/>
    <w:tmpl w:val="BFA834CA"/>
    <w:lvl w:ilvl="0" w:tplc="BA2A6F70">
      <w:start w:val="2"/>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B6D0F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C7E7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9251B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9AA26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EEA6E4">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CAD662">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1C0950">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42764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
  </w:num>
  <w:num w:numId="3">
    <w:abstractNumId w:val="10"/>
  </w:num>
  <w:num w:numId="4">
    <w:abstractNumId w:val="0"/>
  </w:num>
  <w:num w:numId="5">
    <w:abstractNumId w:val="4"/>
  </w:num>
  <w:num w:numId="6">
    <w:abstractNumId w:val="2"/>
  </w:num>
  <w:num w:numId="7">
    <w:abstractNumId w:val="3"/>
  </w:num>
  <w:num w:numId="8">
    <w:abstractNumId w:val="8"/>
  </w:num>
  <w:num w:numId="9">
    <w:abstractNumId w:val="6"/>
  </w:num>
  <w:num w:numId="10">
    <w:abstractNumId w:val="11"/>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C3"/>
    <w:rsid w:val="00011D00"/>
    <w:rsid w:val="00015C34"/>
    <w:rsid w:val="00016BC7"/>
    <w:rsid w:val="00021AF9"/>
    <w:rsid w:val="00024320"/>
    <w:rsid w:val="00032B19"/>
    <w:rsid w:val="00032CD9"/>
    <w:rsid w:val="00042B52"/>
    <w:rsid w:val="00042EBD"/>
    <w:rsid w:val="00043B40"/>
    <w:rsid w:val="000458A4"/>
    <w:rsid w:val="0005246B"/>
    <w:rsid w:val="0005490A"/>
    <w:rsid w:val="00063311"/>
    <w:rsid w:val="000638AC"/>
    <w:rsid w:val="00065AEB"/>
    <w:rsid w:val="00073DF4"/>
    <w:rsid w:val="00074DFA"/>
    <w:rsid w:val="000760F0"/>
    <w:rsid w:val="00077797"/>
    <w:rsid w:val="00081D40"/>
    <w:rsid w:val="00085E88"/>
    <w:rsid w:val="000967CC"/>
    <w:rsid w:val="00096A85"/>
    <w:rsid w:val="000978AD"/>
    <w:rsid w:val="00097B9B"/>
    <w:rsid w:val="00097CB7"/>
    <w:rsid w:val="000A6C7E"/>
    <w:rsid w:val="000B19C7"/>
    <w:rsid w:val="000B430D"/>
    <w:rsid w:val="000B4474"/>
    <w:rsid w:val="000B564B"/>
    <w:rsid w:val="000C10F8"/>
    <w:rsid w:val="000C5C28"/>
    <w:rsid w:val="000D064E"/>
    <w:rsid w:val="000D3C36"/>
    <w:rsid w:val="000D44EA"/>
    <w:rsid w:val="000D5097"/>
    <w:rsid w:val="000E2193"/>
    <w:rsid w:val="000E6A6A"/>
    <w:rsid w:val="000F118A"/>
    <w:rsid w:val="000F12E0"/>
    <w:rsid w:val="000F34CF"/>
    <w:rsid w:val="00107987"/>
    <w:rsid w:val="001139B0"/>
    <w:rsid w:val="0011501A"/>
    <w:rsid w:val="001150E5"/>
    <w:rsid w:val="00120BF3"/>
    <w:rsid w:val="00123B1D"/>
    <w:rsid w:val="00124DBE"/>
    <w:rsid w:val="00127B29"/>
    <w:rsid w:val="00132A27"/>
    <w:rsid w:val="00134039"/>
    <w:rsid w:val="00137536"/>
    <w:rsid w:val="00140CFD"/>
    <w:rsid w:val="00142419"/>
    <w:rsid w:val="00146B8A"/>
    <w:rsid w:val="00150D93"/>
    <w:rsid w:val="00153C03"/>
    <w:rsid w:val="00157518"/>
    <w:rsid w:val="0016095F"/>
    <w:rsid w:val="0016560B"/>
    <w:rsid w:val="00166BF8"/>
    <w:rsid w:val="00171ADD"/>
    <w:rsid w:val="00171B7A"/>
    <w:rsid w:val="001747BB"/>
    <w:rsid w:val="00181485"/>
    <w:rsid w:val="00186BF0"/>
    <w:rsid w:val="0019007A"/>
    <w:rsid w:val="00191A0E"/>
    <w:rsid w:val="00191E34"/>
    <w:rsid w:val="0019504E"/>
    <w:rsid w:val="0019672B"/>
    <w:rsid w:val="001A70D8"/>
    <w:rsid w:val="001A72A0"/>
    <w:rsid w:val="001B2BC3"/>
    <w:rsid w:val="001B5C75"/>
    <w:rsid w:val="001C01D7"/>
    <w:rsid w:val="001C21EB"/>
    <w:rsid w:val="001C4E85"/>
    <w:rsid w:val="001D09F3"/>
    <w:rsid w:val="001D2882"/>
    <w:rsid w:val="001E02CA"/>
    <w:rsid w:val="001E7C0B"/>
    <w:rsid w:val="001F098D"/>
    <w:rsid w:val="001F12AB"/>
    <w:rsid w:val="001F3F13"/>
    <w:rsid w:val="001F47B8"/>
    <w:rsid w:val="001F66E6"/>
    <w:rsid w:val="00204F00"/>
    <w:rsid w:val="002060DD"/>
    <w:rsid w:val="00206987"/>
    <w:rsid w:val="00211F06"/>
    <w:rsid w:val="002174B9"/>
    <w:rsid w:val="00221595"/>
    <w:rsid w:val="00221B16"/>
    <w:rsid w:val="00223120"/>
    <w:rsid w:val="00225F16"/>
    <w:rsid w:val="002401AB"/>
    <w:rsid w:val="002408FC"/>
    <w:rsid w:val="00242BC2"/>
    <w:rsid w:val="00242DC2"/>
    <w:rsid w:val="00244CFA"/>
    <w:rsid w:val="00247EB5"/>
    <w:rsid w:val="00247F6F"/>
    <w:rsid w:val="0025588B"/>
    <w:rsid w:val="00256538"/>
    <w:rsid w:val="00257C1C"/>
    <w:rsid w:val="002653B9"/>
    <w:rsid w:val="002758CF"/>
    <w:rsid w:val="0028038A"/>
    <w:rsid w:val="002908CF"/>
    <w:rsid w:val="00292A91"/>
    <w:rsid w:val="002955BC"/>
    <w:rsid w:val="002A2CE5"/>
    <w:rsid w:val="002A7C7A"/>
    <w:rsid w:val="002B1835"/>
    <w:rsid w:val="002B6E67"/>
    <w:rsid w:val="002C0C2F"/>
    <w:rsid w:val="002C14FA"/>
    <w:rsid w:val="002C1F82"/>
    <w:rsid w:val="002E1A6C"/>
    <w:rsid w:val="002E1D96"/>
    <w:rsid w:val="002E234C"/>
    <w:rsid w:val="002E5A6C"/>
    <w:rsid w:val="002F0ADA"/>
    <w:rsid w:val="002F0EBA"/>
    <w:rsid w:val="002F1364"/>
    <w:rsid w:val="002F2972"/>
    <w:rsid w:val="002F59AE"/>
    <w:rsid w:val="002F7186"/>
    <w:rsid w:val="00300B5A"/>
    <w:rsid w:val="00302BE1"/>
    <w:rsid w:val="0030305B"/>
    <w:rsid w:val="003101D9"/>
    <w:rsid w:val="0031049E"/>
    <w:rsid w:val="00314994"/>
    <w:rsid w:val="00316F22"/>
    <w:rsid w:val="0032340D"/>
    <w:rsid w:val="00326363"/>
    <w:rsid w:val="00337C1F"/>
    <w:rsid w:val="003431EE"/>
    <w:rsid w:val="00344DB2"/>
    <w:rsid w:val="00355CC2"/>
    <w:rsid w:val="00364838"/>
    <w:rsid w:val="0037179D"/>
    <w:rsid w:val="00373EF8"/>
    <w:rsid w:val="003774B3"/>
    <w:rsid w:val="00385FBA"/>
    <w:rsid w:val="00390FDD"/>
    <w:rsid w:val="00391F8E"/>
    <w:rsid w:val="00395798"/>
    <w:rsid w:val="00396A86"/>
    <w:rsid w:val="00396DEF"/>
    <w:rsid w:val="003A7401"/>
    <w:rsid w:val="003B273D"/>
    <w:rsid w:val="003B533B"/>
    <w:rsid w:val="003C26C9"/>
    <w:rsid w:val="003C6CCB"/>
    <w:rsid w:val="003D0EAD"/>
    <w:rsid w:val="003D51A7"/>
    <w:rsid w:val="003D6E3B"/>
    <w:rsid w:val="003E02A3"/>
    <w:rsid w:val="003E0FA0"/>
    <w:rsid w:val="003E2FF0"/>
    <w:rsid w:val="003E5AA6"/>
    <w:rsid w:val="003E752A"/>
    <w:rsid w:val="003F0642"/>
    <w:rsid w:val="003F2C3D"/>
    <w:rsid w:val="003F3D16"/>
    <w:rsid w:val="003F5A4A"/>
    <w:rsid w:val="004013C0"/>
    <w:rsid w:val="00404EC7"/>
    <w:rsid w:val="00405DCC"/>
    <w:rsid w:val="00406916"/>
    <w:rsid w:val="0040725F"/>
    <w:rsid w:val="0041069D"/>
    <w:rsid w:val="0041751D"/>
    <w:rsid w:val="00421732"/>
    <w:rsid w:val="0043345A"/>
    <w:rsid w:val="0043403A"/>
    <w:rsid w:val="004516A5"/>
    <w:rsid w:val="00453001"/>
    <w:rsid w:val="00486ACB"/>
    <w:rsid w:val="004A1474"/>
    <w:rsid w:val="004A7C96"/>
    <w:rsid w:val="004B2168"/>
    <w:rsid w:val="004B25B9"/>
    <w:rsid w:val="004B5C84"/>
    <w:rsid w:val="004C118E"/>
    <w:rsid w:val="004D23D0"/>
    <w:rsid w:val="004D4BF6"/>
    <w:rsid w:val="004D611A"/>
    <w:rsid w:val="004E1AC7"/>
    <w:rsid w:val="004F324B"/>
    <w:rsid w:val="0050033C"/>
    <w:rsid w:val="0050036B"/>
    <w:rsid w:val="00503408"/>
    <w:rsid w:val="00506530"/>
    <w:rsid w:val="00507425"/>
    <w:rsid w:val="00520CB8"/>
    <w:rsid w:val="005226E9"/>
    <w:rsid w:val="00523016"/>
    <w:rsid w:val="00527B31"/>
    <w:rsid w:val="00533E2B"/>
    <w:rsid w:val="0054026B"/>
    <w:rsid w:val="00542F1D"/>
    <w:rsid w:val="0054543F"/>
    <w:rsid w:val="00556CB5"/>
    <w:rsid w:val="005717E1"/>
    <w:rsid w:val="00597A8B"/>
    <w:rsid w:val="005B230A"/>
    <w:rsid w:val="005C1476"/>
    <w:rsid w:val="005C3CEA"/>
    <w:rsid w:val="005C588A"/>
    <w:rsid w:val="005E197D"/>
    <w:rsid w:val="005E251F"/>
    <w:rsid w:val="005E2B1B"/>
    <w:rsid w:val="005E4C91"/>
    <w:rsid w:val="005F3928"/>
    <w:rsid w:val="005F5176"/>
    <w:rsid w:val="006028FD"/>
    <w:rsid w:val="00602E4F"/>
    <w:rsid w:val="00604EE1"/>
    <w:rsid w:val="00606422"/>
    <w:rsid w:val="00606A85"/>
    <w:rsid w:val="00620326"/>
    <w:rsid w:val="006207D7"/>
    <w:rsid w:val="00625F8E"/>
    <w:rsid w:val="00626D45"/>
    <w:rsid w:val="00640245"/>
    <w:rsid w:val="00640AEC"/>
    <w:rsid w:val="006457B1"/>
    <w:rsid w:val="006465F7"/>
    <w:rsid w:val="00650C26"/>
    <w:rsid w:val="00661AF4"/>
    <w:rsid w:val="00664266"/>
    <w:rsid w:val="00666B1E"/>
    <w:rsid w:val="006700CC"/>
    <w:rsid w:val="006853F4"/>
    <w:rsid w:val="00694454"/>
    <w:rsid w:val="006A27F3"/>
    <w:rsid w:val="006A3B0F"/>
    <w:rsid w:val="006B0888"/>
    <w:rsid w:val="006B2287"/>
    <w:rsid w:val="006B4852"/>
    <w:rsid w:val="006B6D3A"/>
    <w:rsid w:val="006C1D3C"/>
    <w:rsid w:val="006C3426"/>
    <w:rsid w:val="006D4BDE"/>
    <w:rsid w:val="006E04C5"/>
    <w:rsid w:val="006E1261"/>
    <w:rsid w:val="006F2E38"/>
    <w:rsid w:val="007014A3"/>
    <w:rsid w:val="0070580C"/>
    <w:rsid w:val="007113FE"/>
    <w:rsid w:val="007170A4"/>
    <w:rsid w:val="00720D01"/>
    <w:rsid w:val="007245EF"/>
    <w:rsid w:val="00733906"/>
    <w:rsid w:val="007401BC"/>
    <w:rsid w:val="0075672B"/>
    <w:rsid w:val="00763CDC"/>
    <w:rsid w:val="00770D5E"/>
    <w:rsid w:val="007839C2"/>
    <w:rsid w:val="007840C1"/>
    <w:rsid w:val="007855B0"/>
    <w:rsid w:val="00786513"/>
    <w:rsid w:val="007866D3"/>
    <w:rsid w:val="00786CFC"/>
    <w:rsid w:val="00790E72"/>
    <w:rsid w:val="00792748"/>
    <w:rsid w:val="00797707"/>
    <w:rsid w:val="007A5A46"/>
    <w:rsid w:val="007B0179"/>
    <w:rsid w:val="007B45B4"/>
    <w:rsid w:val="007C0769"/>
    <w:rsid w:val="007C0EE8"/>
    <w:rsid w:val="007C28B9"/>
    <w:rsid w:val="007C5662"/>
    <w:rsid w:val="007C690E"/>
    <w:rsid w:val="007D135A"/>
    <w:rsid w:val="007D7101"/>
    <w:rsid w:val="007F0BD9"/>
    <w:rsid w:val="007F6696"/>
    <w:rsid w:val="00800F58"/>
    <w:rsid w:val="00811988"/>
    <w:rsid w:val="00821596"/>
    <w:rsid w:val="00821F58"/>
    <w:rsid w:val="0082286D"/>
    <w:rsid w:val="00827B61"/>
    <w:rsid w:val="00835480"/>
    <w:rsid w:val="00837E22"/>
    <w:rsid w:val="0084282C"/>
    <w:rsid w:val="00846C5F"/>
    <w:rsid w:val="0085234D"/>
    <w:rsid w:val="00855C96"/>
    <w:rsid w:val="00863DBA"/>
    <w:rsid w:val="0086408B"/>
    <w:rsid w:val="00865E47"/>
    <w:rsid w:val="008751C6"/>
    <w:rsid w:val="0088153F"/>
    <w:rsid w:val="00885E57"/>
    <w:rsid w:val="00895028"/>
    <w:rsid w:val="008B0C57"/>
    <w:rsid w:val="008B1466"/>
    <w:rsid w:val="008B405C"/>
    <w:rsid w:val="008B5FA8"/>
    <w:rsid w:val="008C480C"/>
    <w:rsid w:val="008C65EF"/>
    <w:rsid w:val="008C74DE"/>
    <w:rsid w:val="008D1153"/>
    <w:rsid w:val="008E3A06"/>
    <w:rsid w:val="008F39FD"/>
    <w:rsid w:val="008F3F98"/>
    <w:rsid w:val="008F5A27"/>
    <w:rsid w:val="00904FE4"/>
    <w:rsid w:val="00905165"/>
    <w:rsid w:val="00906489"/>
    <w:rsid w:val="009069C3"/>
    <w:rsid w:val="009105AF"/>
    <w:rsid w:val="00910604"/>
    <w:rsid w:val="009138F4"/>
    <w:rsid w:val="0091415C"/>
    <w:rsid w:val="00915C5A"/>
    <w:rsid w:val="009162C5"/>
    <w:rsid w:val="00927D1C"/>
    <w:rsid w:val="00944AD8"/>
    <w:rsid w:val="00953CEA"/>
    <w:rsid w:val="009567CF"/>
    <w:rsid w:val="0096135D"/>
    <w:rsid w:val="00967725"/>
    <w:rsid w:val="00971BD3"/>
    <w:rsid w:val="0098361D"/>
    <w:rsid w:val="00991A8C"/>
    <w:rsid w:val="00997F16"/>
    <w:rsid w:val="009E1ABF"/>
    <w:rsid w:val="009E540B"/>
    <w:rsid w:val="00A0127C"/>
    <w:rsid w:val="00A042F6"/>
    <w:rsid w:val="00A077BB"/>
    <w:rsid w:val="00A10EDD"/>
    <w:rsid w:val="00A33A95"/>
    <w:rsid w:val="00A36A4B"/>
    <w:rsid w:val="00A43C54"/>
    <w:rsid w:val="00A472BC"/>
    <w:rsid w:val="00A54579"/>
    <w:rsid w:val="00A56D34"/>
    <w:rsid w:val="00A674D7"/>
    <w:rsid w:val="00A7190B"/>
    <w:rsid w:val="00A72ED2"/>
    <w:rsid w:val="00A76607"/>
    <w:rsid w:val="00A76DA1"/>
    <w:rsid w:val="00A80630"/>
    <w:rsid w:val="00A929D2"/>
    <w:rsid w:val="00A94CA1"/>
    <w:rsid w:val="00AA31A4"/>
    <w:rsid w:val="00AA7218"/>
    <w:rsid w:val="00AA7ECA"/>
    <w:rsid w:val="00AB181B"/>
    <w:rsid w:val="00AB3F55"/>
    <w:rsid w:val="00AC081F"/>
    <w:rsid w:val="00AC1783"/>
    <w:rsid w:val="00AC5821"/>
    <w:rsid w:val="00AD4243"/>
    <w:rsid w:val="00AD5D85"/>
    <w:rsid w:val="00AF431D"/>
    <w:rsid w:val="00AF597E"/>
    <w:rsid w:val="00B2232C"/>
    <w:rsid w:val="00B35C22"/>
    <w:rsid w:val="00B35E14"/>
    <w:rsid w:val="00B36FE5"/>
    <w:rsid w:val="00B46BD0"/>
    <w:rsid w:val="00B53870"/>
    <w:rsid w:val="00B54204"/>
    <w:rsid w:val="00B5498A"/>
    <w:rsid w:val="00B67552"/>
    <w:rsid w:val="00B7366E"/>
    <w:rsid w:val="00B743FA"/>
    <w:rsid w:val="00B823E9"/>
    <w:rsid w:val="00B91DB9"/>
    <w:rsid w:val="00B93ACD"/>
    <w:rsid w:val="00B9702A"/>
    <w:rsid w:val="00BA524D"/>
    <w:rsid w:val="00BA75A2"/>
    <w:rsid w:val="00BB04AE"/>
    <w:rsid w:val="00BB55EA"/>
    <w:rsid w:val="00BC3803"/>
    <w:rsid w:val="00BC7FDE"/>
    <w:rsid w:val="00BD64EB"/>
    <w:rsid w:val="00BD6575"/>
    <w:rsid w:val="00BE0067"/>
    <w:rsid w:val="00C0206D"/>
    <w:rsid w:val="00C06F7B"/>
    <w:rsid w:val="00C16011"/>
    <w:rsid w:val="00C170DB"/>
    <w:rsid w:val="00C21228"/>
    <w:rsid w:val="00C23AF0"/>
    <w:rsid w:val="00C24B7E"/>
    <w:rsid w:val="00C26FFE"/>
    <w:rsid w:val="00C27AA7"/>
    <w:rsid w:val="00C4090F"/>
    <w:rsid w:val="00C468BC"/>
    <w:rsid w:val="00C47A69"/>
    <w:rsid w:val="00C543AF"/>
    <w:rsid w:val="00C5472B"/>
    <w:rsid w:val="00C54A3E"/>
    <w:rsid w:val="00C62978"/>
    <w:rsid w:val="00C629E3"/>
    <w:rsid w:val="00C6333B"/>
    <w:rsid w:val="00C73613"/>
    <w:rsid w:val="00C8732A"/>
    <w:rsid w:val="00CA7358"/>
    <w:rsid w:val="00CB6C98"/>
    <w:rsid w:val="00CC4002"/>
    <w:rsid w:val="00CD4A52"/>
    <w:rsid w:val="00CE02EE"/>
    <w:rsid w:val="00CE1987"/>
    <w:rsid w:val="00CE1C90"/>
    <w:rsid w:val="00CE1EA6"/>
    <w:rsid w:val="00CE3EAA"/>
    <w:rsid w:val="00CE5BEA"/>
    <w:rsid w:val="00CE5F1A"/>
    <w:rsid w:val="00CE6BD1"/>
    <w:rsid w:val="00CF1B0A"/>
    <w:rsid w:val="00CF3B46"/>
    <w:rsid w:val="00CF6101"/>
    <w:rsid w:val="00D06352"/>
    <w:rsid w:val="00D129E6"/>
    <w:rsid w:val="00D323B0"/>
    <w:rsid w:val="00D44100"/>
    <w:rsid w:val="00D44DA9"/>
    <w:rsid w:val="00D64A15"/>
    <w:rsid w:val="00D65BE5"/>
    <w:rsid w:val="00D813BB"/>
    <w:rsid w:val="00D916C3"/>
    <w:rsid w:val="00D94D2E"/>
    <w:rsid w:val="00DA1BCA"/>
    <w:rsid w:val="00DA31AB"/>
    <w:rsid w:val="00DA49F7"/>
    <w:rsid w:val="00DA5CFB"/>
    <w:rsid w:val="00DB4293"/>
    <w:rsid w:val="00DB4592"/>
    <w:rsid w:val="00DB7BD2"/>
    <w:rsid w:val="00DC1ACB"/>
    <w:rsid w:val="00DC5743"/>
    <w:rsid w:val="00DC5D18"/>
    <w:rsid w:val="00DD31AE"/>
    <w:rsid w:val="00DD399E"/>
    <w:rsid w:val="00DD4661"/>
    <w:rsid w:val="00DD5D1E"/>
    <w:rsid w:val="00DE40BD"/>
    <w:rsid w:val="00DE4B5B"/>
    <w:rsid w:val="00DF1924"/>
    <w:rsid w:val="00DF26B1"/>
    <w:rsid w:val="00DF3AF9"/>
    <w:rsid w:val="00DF6DD0"/>
    <w:rsid w:val="00E04FB2"/>
    <w:rsid w:val="00E12412"/>
    <w:rsid w:val="00E215E6"/>
    <w:rsid w:val="00E26D63"/>
    <w:rsid w:val="00E32A8A"/>
    <w:rsid w:val="00E344D8"/>
    <w:rsid w:val="00E35B3F"/>
    <w:rsid w:val="00E41267"/>
    <w:rsid w:val="00E44165"/>
    <w:rsid w:val="00E4437E"/>
    <w:rsid w:val="00E61E34"/>
    <w:rsid w:val="00E62E2A"/>
    <w:rsid w:val="00E714C6"/>
    <w:rsid w:val="00E74244"/>
    <w:rsid w:val="00E774A6"/>
    <w:rsid w:val="00E7755C"/>
    <w:rsid w:val="00E82823"/>
    <w:rsid w:val="00E834F5"/>
    <w:rsid w:val="00E87416"/>
    <w:rsid w:val="00E90054"/>
    <w:rsid w:val="00E91F12"/>
    <w:rsid w:val="00EA1FB6"/>
    <w:rsid w:val="00EB477A"/>
    <w:rsid w:val="00ED2410"/>
    <w:rsid w:val="00ED5809"/>
    <w:rsid w:val="00ED7AF8"/>
    <w:rsid w:val="00EE2EB2"/>
    <w:rsid w:val="00EE37B3"/>
    <w:rsid w:val="00F042D8"/>
    <w:rsid w:val="00F12ADC"/>
    <w:rsid w:val="00F13F74"/>
    <w:rsid w:val="00F14F1D"/>
    <w:rsid w:val="00F1504F"/>
    <w:rsid w:val="00F16A5F"/>
    <w:rsid w:val="00F22D14"/>
    <w:rsid w:val="00F254E3"/>
    <w:rsid w:val="00F25678"/>
    <w:rsid w:val="00F33AB8"/>
    <w:rsid w:val="00F41126"/>
    <w:rsid w:val="00F46114"/>
    <w:rsid w:val="00F5076A"/>
    <w:rsid w:val="00F524EF"/>
    <w:rsid w:val="00F56134"/>
    <w:rsid w:val="00F57C3F"/>
    <w:rsid w:val="00F6418F"/>
    <w:rsid w:val="00F76270"/>
    <w:rsid w:val="00F82C8D"/>
    <w:rsid w:val="00F850B1"/>
    <w:rsid w:val="00F871FF"/>
    <w:rsid w:val="00F87B78"/>
    <w:rsid w:val="00F95A0C"/>
    <w:rsid w:val="00F97AA9"/>
    <w:rsid w:val="00FA280E"/>
    <w:rsid w:val="00FA4FC3"/>
    <w:rsid w:val="00FA6B75"/>
    <w:rsid w:val="00FA7DAB"/>
    <w:rsid w:val="00FB5528"/>
    <w:rsid w:val="00FB5929"/>
    <w:rsid w:val="00FB6C88"/>
    <w:rsid w:val="00FC032D"/>
    <w:rsid w:val="00FC3B88"/>
    <w:rsid w:val="00FC3D12"/>
    <w:rsid w:val="00FC5ABD"/>
    <w:rsid w:val="00FC74DC"/>
    <w:rsid w:val="00FD4F68"/>
    <w:rsid w:val="00FD695E"/>
    <w:rsid w:val="00FD77CB"/>
    <w:rsid w:val="00FE4998"/>
    <w:rsid w:val="00FE75EE"/>
    <w:rsid w:val="00FF1029"/>
    <w:rsid w:val="00FF4068"/>
    <w:rsid w:val="00FF40C1"/>
    <w:rsid w:val="00FF42CE"/>
    <w:rsid w:val="00FF4D68"/>
    <w:rsid w:val="00FF5851"/>
    <w:rsid w:val="00FF5FED"/>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B5FA8"/>
  </w:style>
  <w:style w:type="table" w:styleId="a3">
    <w:name w:val="Table Grid"/>
    <w:basedOn w:val="a1"/>
    <w:rsid w:val="008B5F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
    <w:name w:val="pb"/>
    <w:basedOn w:val="a"/>
    <w:uiPriority w:val="99"/>
    <w:rsid w:val="008B5FA8"/>
    <w:pPr>
      <w:jc w:val="center"/>
    </w:pPr>
    <w:rPr>
      <w:rFonts w:eastAsiaTheme="minorEastAsia"/>
      <w:i/>
      <w:iCs/>
      <w:color w:val="663300"/>
      <w:sz w:val="20"/>
      <w:szCs w:val="20"/>
      <w:lang w:val="en-US" w:eastAsia="en-US"/>
    </w:rPr>
  </w:style>
  <w:style w:type="character" w:customStyle="1" w:styleId="2">
    <w:name w:val="Основной текст (2)_"/>
    <w:basedOn w:val="a0"/>
    <w:link w:val="20"/>
    <w:rsid w:val="008B5FA8"/>
    <w:rPr>
      <w:rFonts w:ascii="Times New Roman" w:eastAsia="Times New Roman" w:hAnsi="Times New Roman" w:cs="Times New Roman"/>
      <w:sz w:val="25"/>
      <w:szCs w:val="25"/>
      <w:shd w:val="clear" w:color="auto" w:fill="FFFFFF"/>
    </w:rPr>
  </w:style>
  <w:style w:type="paragraph" w:customStyle="1" w:styleId="20">
    <w:name w:val="Основной текст (2)"/>
    <w:basedOn w:val="a"/>
    <w:link w:val="2"/>
    <w:rsid w:val="008B5FA8"/>
    <w:pPr>
      <w:widowControl w:val="0"/>
      <w:shd w:val="clear" w:color="auto" w:fill="FFFFFF"/>
      <w:spacing w:after="120" w:line="0" w:lineRule="atLeast"/>
      <w:ind w:hanging="1840"/>
      <w:jc w:val="right"/>
    </w:pPr>
    <w:rPr>
      <w:sz w:val="25"/>
      <w:szCs w:val="25"/>
      <w:lang w:val="en-US" w:eastAsia="en-US"/>
    </w:rPr>
  </w:style>
  <w:style w:type="character" w:customStyle="1" w:styleId="Bodytext4">
    <w:name w:val="Body text (4)_"/>
    <w:basedOn w:val="a0"/>
    <w:link w:val="Bodytext40"/>
    <w:rsid w:val="008B5FA8"/>
    <w:rPr>
      <w:rFonts w:ascii="Times New Roman" w:eastAsia="Times New Roman" w:hAnsi="Times New Roman" w:cs="Times New Roman"/>
      <w:shd w:val="clear" w:color="auto" w:fill="FFFFFF"/>
    </w:rPr>
  </w:style>
  <w:style w:type="paragraph" w:customStyle="1" w:styleId="Bodytext40">
    <w:name w:val="Body text (4)"/>
    <w:basedOn w:val="a"/>
    <w:link w:val="Bodytext4"/>
    <w:rsid w:val="008B5FA8"/>
    <w:pPr>
      <w:widowControl w:val="0"/>
      <w:shd w:val="clear" w:color="auto" w:fill="FFFFFF"/>
      <w:spacing w:after="420" w:line="288" w:lineRule="exact"/>
      <w:ind w:hanging="600"/>
      <w:jc w:val="center"/>
    </w:pPr>
    <w:rPr>
      <w:sz w:val="22"/>
      <w:szCs w:val="22"/>
      <w:lang w:val="en-US" w:eastAsia="en-US"/>
    </w:rPr>
  </w:style>
  <w:style w:type="paragraph" w:styleId="a4">
    <w:name w:val="header"/>
    <w:basedOn w:val="a"/>
    <w:link w:val="a5"/>
    <w:rsid w:val="003B273D"/>
    <w:pPr>
      <w:tabs>
        <w:tab w:val="center" w:pos="4677"/>
        <w:tab w:val="right" w:pos="9355"/>
      </w:tabs>
      <w:spacing w:after="200" w:line="276" w:lineRule="auto"/>
    </w:pPr>
    <w:rPr>
      <w:rFonts w:ascii="Calibri" w:hAnsi="Calibri"/>
      <w:sz w:val="22"/>
      <w:szCs w:val="22"/>
    </w:rPr>
  </w:style>
  <w:style w:type="character" w:customStyle="1" w:styleId="a5">
    <w:name w:val="Верхний колонтитул Знак"/>
    <w:basedOn w:val="a0"/>
    <w:link w:val="a4"/>
    <w:rsid w:val="003B273D"/>
    <w:rPr>
      <w:rFonts w:ascii="Calibri" w:eastAsia="Times New Roman" w:hAnsi="Calibri" w:cs="Times New Roman"/>
      <w:lang w:val="ru-RU" w:eastAsia="ru-RU"/>
    </w:rPr>
  </w:style>
  <w:style w:type="paragraph" w:customStyle="1" w:styleId="Default">
    <w:name w:val="Default"/>
    <w:rsid w:val="003B273D"/>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6">
    <w:name w:val="List Paragraph"/>
    <w:basedOn w:val="a"/>
    <w:uiPriority w:val="34"/>
    <w:qFormat/>
    <w:rsid w:val="003B273D"/>
    <w:pPr>
      <w:ind w:left="720"/>
      <w:contextualSpacing/>
    </w:pPr>
  </w:style>
  <w:style w:type="paragraph" w:styleId="a7">
    <w:name w:val="Balloon Text"/>
    <w:basedOn w:val="a"/>
    <w:link w:val="a8"/>
    <w:uiPriority w:val="99"/>
    <w:semiHidden/>
    <w:unhideWhenUsed/>
    <w:rsid w:val="003774B3"/>
    <w:rPr>
      <w:rFonts w:ascii="Segoe UI" w:hAnsi="Segoe UI" w:cs="Segoe UI"/>
      <w:sz w:val="18"/>
      <w:szCs w:val="18"/>
    </w:rPr>
  </w:style>
  <w:style w:type="character" w:customStyle="1" w:styleId="a8">
    <w:name w:val="Текст выноски Знак"/>
    <w:basedOn w:val="a0"/>
    <w:link w:val="a7"/>
    <w:uiPriority w:val="99"/>
    <w:semiHidden/>
    <w:rsid w:val="003774B3"/>
    <w:rPr>
      <w:rFonts w:ascii="Segoe UI" w:eastAsia="Times New Roman" w:hAnsi="Segoe UI" w:cs="Segoe UI"/>
      <w:sz w:val="18"/>
      <w:szCs w:val="18"/>
      <w:lang w:val="ru-RU" w:eastAsia="ru-RU"/>
    </w:rPr>
  </w:style>
  <w:style w:type="character" w:styleId="a9">
    <w:name w:val="annotation reference"/>
    <w:basedOn w:val="a0"/>
    <w:uiPriority w:val="99"/>
    <w:semiHidden/>
    <w:unhideWhenUsed/>
    <w:rsid w:val="007C0EE8"/>
    <w:rPr>
      <w:sz w:val="16"/>
      <w:szCs w:val="16"/>
    </w:rPr>
  </w:style>
  <w:style w:type="paragraph" w:styleId="aa">
    <w:name w:val="annotation text"/>
    <w:basedOn w:val="a"/>
    <w:link w:val="ab"/>
    <w:uiPriority w:val="99"/>
    <w:semiHidden/>
    <w:unhideWhenUsed/>
    <w:rsid w:val="007C0EE8"/>
    <w:rPr>
      <w:sz w:val="20"/>
      <w:szCs w:val="20"/>
    </w:rPr>
  </w:style>
  <w:style w:type="character" w:customStyle="1" w:styleId="ab">
    <w:name w:val="Текст примечания Знак"/>
    <w:basedOn w:val="a0"/>
    <w:link w:val="aa"/>
    <w:uiPriority w:val="99"/>
    <w:semiHidden/>
    <w:rsid w:val="007C0EE8"/>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C0EE8"/>
    <w:rPr>
      <w:b/>
      <w:bCs/>
    </w:rPr>
  </w:style>
  <w:style w:type="character" w:customStyle="1" w:styleId="ad">
    <w:name w:val="Тема примечания Знак"/>
    <w:basedOn w:val="ab"/>
    <w:link w:val="ac"/>
    <w:uiPriority w:val="99"/>
    <w:semiHidden/>
    <w:rsid w:val="007C0EE8"/>
    <w:rPr>
      <w:rFonts w:ascii="Times New Roman" w:eastAsia="Times New Roman" w:hAnsi="Times New Roman" w:cs="Times New Roman"/>
      <w:b/>
      <w:bCs/>
      <w:sz w:val="20"/>
      <w:szCs w:val="20"/>
      <w:lang w:val="ru-RU" w:eastAsia="ru-RU"/>
    </w:rPr>
  </w:style>
  <w:style w:type="paragraph" w:styleId="ae">
    <w:name w:val="Revision"/>
    <w:hidden/>
    <w:uiPriority w:val="99"/>
    <w:semiHidden/>
    <w:rsid w:val="00406916"/>
    <w:pPr>
      <w:spacing w:after="0" w:line="240" w:lineRule="auto"/>
    </w:pPr>
    <w:rPr>
      <w:rFonts w:ascii="Times New Roman" w:eastAsia="Times New Roman" w:hAnsi="Times New Roman" w:cs="Times New Roman"/>
      <w:sz w:val="24"/>
      <w:szCs w:val="24"/>
      <w:lang w:val="ru-RU" w:eastAsia="ru-RU"/>
    </w:rPr>
  </w:style>
  <w:style w:type="paragraph" w:styleId="af">
    <w:name w:val="footnote text"/>
    <w:basedOn w:val="a"/>
    <w:link w:val="af0"/>
    <w:uiPriority w:val="99"/>
    <w:semiHidden/>
    <w:unhideWhenUsed/>
    <w:rsid w:val="0031049E"/>
    <w:rPr>
      <w:sz w:val="20"/>
      <w:szCs w:val="20"/>
    </w:rPr>
  </w:style>
  <w:style w:type="character" w:customStyle="1" w:styleId="af0">
    <w:name w:val="Текст сноски Знак"/>
    <w:basedOn w:val="a0"/>
    <w:link w:val="af"/>
    <w:uiPriority w:val="99"/>
    <w:semiHidden/>
    <w:rsid w:val="0031049E"/>
    <w:rPr>
      <w:rFonts w:ascii="Times New Roman" w:eastAsia="Times New Roman" w:hAnsi="Times New Roman" w:cs="Times New Roman"/>
      <w:sz w:val="20"/>
      <w:szCs w:val="20"/>
      <w:lang w:val="ru-RU" w:eastAsia="ru-RU"/>
    </w:rPr>
  </w:style>
  <w:style w:type="character" w:styleId="af1">
    <w:name w:val="footnote reference"/>
    <w:basedOn w:val="a0"/>
    <w:uiPriority w:val="99"/>
    <w:semiHidden/>
    <w:unhideWhenUsed/>
    <w:rsid w:val="0031049E"/>
    <w:rPr>
      <w:vertAlign w:val="superscript"/>
    </w:rPr>
  </w:style>
  <w:style w:type="character" w:customStyle="1" w:styleId="docbody">
    <w:name w:val="doc_body"/>
    <w:basedOn w:val="a0"/>
    <w:rsid w:val="00043B40"/>
  </w:style>
  <w:style w:type="character" w:customStyle="1" w:styleId="docblue">
    <w:name w:val="doc_blue"/>
    <w:basedOn w:val="a0"/>
    <w:rsid w:val="00542F1D"/>
  </w:style>
  <w:style w:type="character" w:styleId="af2">
    <w:name w:val="Strong"/>
    <w:basedOn w:val="a0"/>
    <w:uiPriority w:val="22"/>
    <w:qFormat/>
    <w:rsid w:val="00FB5929"/>
    <w:rPr>
      <w:b/>
      <w:bCs/>
    </w:rPr>
  </w:style>
  <w:style w:type="character" w:customStyle="1" w:styleId="Bodytext2">
    <w:name w:val="Body text (2)_"/>
    <w:basedOn w:val="a0"/>
    <w:link w:val="Bodytext20"/>
    <w:rsid w:val="00A94CA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A94CA1"/>
    <w:pPr>
      <w:widowControl w:val="0"/>
      <w:shd w:val="clear" w:color="auto" w:fill="FFFFFF"/>
      <w:spacing w:line="371" w:lineRule="exact"/>
      <w:ind w:firstLine="760"/>
      <w:jc w:val="both"/>
    </w:pPr>
    <w:rPr>
      <w:sz w:val="28"/>
      <w:szCs w:val="28"/>
      <w:lang w:val="en-US" w:eastAsia="en-US"/>
    </w:rPr>
  </w:style>
  <w:style w:type="character" w:customStyle="1" w:styleId="Bodytext5">
    <w:name w:val="Body text (5)_"/>
    <w:basedOn w:val="a0"/>
    <w:link w:val="Bodytext50"/>
    <w:rsid w:val="00A94CA1"/>
    <w:rPr>
      <w:rFonts w:ascii="Times New Roman" w:eastAsia="Times New Roman" w:hAnsi="Times New Roman" w:cs="Times New Roman"/>
      <w:b/>
      <w:bCs/>
      <w:i/>
      <w:iCs/>
      <w:sz w:val="28"/>
      <w:szCs w:val="28"/>
      <w:shd w:val="clear" w:color="auto" w:fill="FFFFFF"/>
    </w:rPr>
  </w:style>
  <w:style w:type="character" w:customStyle="1" w:styleId="Bodytext2Italic">
    <w:name w:val="Body text (2) + Italic"/>
    <w:basedOn w:val="Bodytext2"/>
    <w:rsid w:val="00A94CA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 w:type="character" w:customStyle="1" w:styleId="Bodytext5NotBold">
    <w:name w:val="Body text (5) + Not Bold"/>
    <w:basedOn w:val="Bodytext5"/>
    <w:rsid w:val="00A94CA1"/>
    <w:rPr>
      <w:rFonts w:ascii="Times New Roman" w:eastAsia="Times New Roman" w:hAnsi="Times New Roman" w:cs="Times New Roman"/>
      <w:b/>
      <w:bCs/>
      <w:i/>
      <w:iCs/>
      <w:color w:val="000000"/>
      <w:spacing w:val="0"/>
      <w:w w:val="100"/>
      <w:position w:val="0"/>
      <w:sz w:val="28"/>
      <w:szCs w:val="28"/>
      <w:shd w:val="clear" w:color="auto" w:fill="FFFFFF"/>
    </w:rPr>
  </w:style>
  <w:style w:type="paragraph" w:customStyle="1" w:styleId="Bodytext50">
    <w:name w:val="Body text (5)"/>
    <w:basedOn w:val="a"/>
    <w:link w:val="Bodytext5"/>
    <w:rsid w:val="00A94CA1"/>
    <w:pPr>
      <w:widowControl w:val="0"/>
      <w:shd w:val="clear" w:color="auto" w:fill="FFFFFF"/>
      <w:spacing w:line="389" w:lineRule="exact"/>
    </w:pPr>
    <w:rPr>
      <w:b/>
      <w:bCs/>
      <w:i/>
      <w:iCs/>
      <w:sz w:val="28"/>
      <w:szCs w:val="28"/>
      <w:lang w:val="en-US" w:eastAsia="en-US"/>
    </w:rPr>
  </w:style>
  <w:style w:type="paragraph" w:styleId="af3">
    <w:name w:val="Normal (Web)"/>
    <w:basedOn w:val="a"/>
    <w:uiPriority w:val="99"/>
    <w:unhideWhenUsed/>
    <w:rsid w:val="008F5A27"/>
    <w:pPr>
      <w:ind w:firstLine="567"/>
      <w:jc w:val="both"/>
    </w:pPr>
    <w:rPr>
      <w:lang w:val="en-US" w:eastAsia="en-US"/>
    </w:rPr>
  </w:style>
  <w:style w:type="paragraph" w:customStyle="1" w:styleId="tt">
    <w:name w:val="tt"/>
    <w:basedOn w:val="a"/>
    <w:uiPriority w:val="99"/>
    <w:rsid w:val="003B533B"/>
    <w:pPr>
      <w:jc w:val="center"/>
    </w:pPr>
    <w:rPr>
      <w:b/>
      <w:bCs/>
    </w:rPr>
  </w:style>
  <w:style w:type="character" w:customStyle="1" w:styleId="apple-converted-space">
    <w:name w:val="apple-converted-space"/>
    <w:basedOn w:val="a0"/>
    <w:rsid w:val="000F118A"/>
  </w:style>
  <w:style w:type="paragraph" w:customStyle="1" w:styleId="a00">
    <w:name w:val="a0"/>
    <w:basedOn w:val="a"/>
    <w:rsid w:val="00ED2410"/>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B5FA8"/>
  </w:style>
  <w:style w:type="table" w:styleId="a3">
    <w:name w:val="Table Grid"/>
    <w:basedOn w:val="a1"/>
    <w:rsid w:val="008B5F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
    <w:name w:val="pb"/>
    <w:basedOn w:val="a"/>
    <w:uiPriority w:val="99"/>
    <w:rsid w:val="008B5FA8"/>
    <w:pPr>
      <w:jc w:val="center"/>
    </w:pPr>
    <w:rPr>
      <w:rFonts w:eastAsiaTheme="minorEastAsia"/>
      <w:i/>
      <w:iCs/>
      <w:color w:val="663300"/>
      <w:sz w:val="20"/>
      <w:szCs w:val="20"/>
      <w:lang w:val="en-US" w:eastAsia="en-US"/>
    </w:rPr>
  </w:style>
  <w:style w:type="character" w:customStyle="1" w:styleId="2">
    <w:name w:val="Основной текст (2)_"/>
    <w:basedOn w:val="a0"/>
    <w:link w:val="20"/>
    <w:rsid w:val="008B5FA8"/>
    <w:rPr>
      <w:rFonts w:ascii="Times New Roman" w:eastAsia="Times New Roman" w:hAnsi="Times New Roman" w:cs="Times New Roman"/>
      <w:sz w:val="25"/>
      <w:szCs w:val="25"/>
      <w:shd w:val="clear" w:color="auto" w:fill="FFFFFF"/>
    </w:rPr>
  </w:style>
  <w:style w:type="paragraph" w:customStyle="1" w:styleId="20">
    <w:name w:val="Основной текст (2)"/>
    <w:basedOn w:val="a"/>
    <w:link w:val="2"/>
    <w:rsid w:val="008B5FA8"/>
    <w:pPr>
      <w:widowControl w:val="0"/>
      <w:shd w:val="clear" w:color="auto" w:fill="FFFFFF"/>
      <w:spacing w:after="120" w:line="0" w:lineRule="atLeast"/>
      <w:ind w:hanging="1840"/>
      <w:jc w:val="right"/>
    </w:pPr>
    <w:rPr>
      <w:sz w:val="25"/>
      <w:szCs w:val="25"/>
      <w:lang w:val="en-US" w:eastAsia="en-US"/>
    </w:rPr>
  </w:style>
  <w:style w:type="character" w:customStyle="1" w:styleId="Bodytext4">
    <w:name w:val="Body text (4)_"/>
    <w:basedOn w:val="a0"/>
    <w:link w:val="Bodytext40"/>
    <w:rsid w:val="008B5FA8"/>
    <w:rPr>
      <w:rFonts w:ascii="Times New Roman" w:eastAsia="Times New Roman" w:hAnsi="Times New Roman" w:cs="Times New Roman"/>
      <w:shd w:val="clear" w:color="auto" w:fill="FFFFFF"/>
    </w:rPr>
  </w:style>
  <w:style w:type="paragraph" w:customStyle="1" w:styleId="Bodytext40">
    <w:name w:val="Body text (4)"/>
    <w:basedOn w:val="a"/>
    <w:link w:val="Bodytext4"/>
    <w:rsid w:val="008B5FA8"/>
    <w:pPr>
      <w:widowControl w:val="0"/>
      <w:shd w:val="clear" w:color="auto" w:fill="FFFFFF"/>
      <w:spacing w:after="420" w:line="288" w:lineRule="exact"/>
      <w:ind w:hanging="600"/>
      <w:jc w:val="center"/>
    </w:pPr>
    <w:rPr>
      <w:sz w:val="22"/>
      <w:szCs w:val="22"/>
      <w:lang w:val="en-US" w:eastAsia="en-US"/>
    </w:rPr>
  </w:style>
  <w:style w:type="paragraph" w:styleId="a4">
    <w:name w:val="header"/>
    <w:basedOn w:val="a"/>
    <w:link w:val="a5"/>
    <w:rsid w:val="003B273D"/>
    <w:pPr>
      <w:tabs>
        <w:tab w:val="center" w:pos="4677"/>
        <w:tab w:val="right" w:pos="9355"/>
      </w:tabs>
      <w:spacing w:after="200" w:line="276" w:lineRule="auto"/>
    </w:pPr>
    <w:rPr>
      <w:rFonts w:ascii="Calibri" w:hAnsi="Calibri"/>
      <w:sz w:val="22"/>
      <w:szCs w:val="22"/>
    </w:rPr>
  </w:style>
  <w:style w:type="character" w:customStyle="1" w:styleId="a5">
    <w:name w:val="Верхний колонтитул Знак"/>
    <w:basedOn w:val="a0"/>
    <w:link w:val="a4"/>
    <w:rsid w:val="003B273D"/>
    <w:rPr>
      <w:rFonts w:ascii="Calibri" w:eastAsia="Times New Roman" w:hAnsi="Calibri" w:cs="Times New Roman"/>
      <w:lang w:val="ru-RU" w:eastAsia="ru-RU"/>
    </w:rPr>
  </w:style>
  <w:style w:type="paragraph" w:customStyle="1" w:styleId="Default">
    <w:name w:val="Default"/>
    <w:rsid w:val="003B273D"/>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6">
    <w:name w:val="List Paragraph"/>
    <w:basedOn w:val="a"/>
    <w:uiPriority w:val="34"/>
    <w:qFormat/>
    <w:rsid w:val="003B273D"/>
    <w:pPr>
      <w:ind w:left="720"/>
      <w:contextualSpacing/>
    </w:pPr>
  </w:style>
  <w:style w:type="paragraph" w:styleId="a7">
    <w:name w:val="Balloon Text"/>
    <w:basedOn w:val="a"/>
    <w:link w:val="a8"/>
    <w:uiPriority w:val="99"/>
    <w:semiHidden/>
    <w:unhideWhenUsed/>
    <w:rsid w:val="003774B3"/>
    <w:rPr>
      <w:rFonts w:ascii="Segoe UI" w:hAnsi="Segoe UI" w:cs="Segoe UI"/>
      <w:sz w:val="18"/>
      <w:szCs w:val="18"/>
    </w:rPr>
  </w:style>
  <w:style w:type="character" w:customStyle="1" w:styleId="a8">
    <w:name w:val="Текст выноски Знак"/>
    <w:basedOn w:val="a0"/>
    <w:link w:val="a7"/>
    <w:uiPriority w:val="99"/>
    <w:semiHidden/>
    <w:rsid w:val="003774B3"/>
    <w:rPr>
      <w:rFonts w:ascii="Segoe UI" w:eastAsia="Times New Roman" w:hAnsi="Segoe UI" w:cs="Segoe UI"/>
      <w:sz w:val="18"/>
      <w:szCs w:val="18"/>
      <w:lang w:val="ru-RU" w:eastAsia="ru-RU"/>
    </w:rPr>
  </w:style>
  <w:style w:type="character" w:styleId="a9">
    <w:name w:val="annotation reference"/>
    <w:basedOn w:val="a0"/>
    <w:uiPriority w:val="99"/>
    <w:semiHidden/>
    <w:unhideWhenUsed/>
    <w:rsid w:val="007C0EE8"/>
    <w:rPr>
      <w:sz w:val="16"/>
      <w:szCs w:val="16"/>
    </w:rPr>
  </w:style>
  <w:style w:type="paragraph" w:styleId="aa">
    <w:name w:val="annotation text"/>
    <w:basedOn w:val="a"/>
    <w:link w:val="ab"/>
    <w:uiPriority w:val="99"/>
    <w:semiHidden/>
    <w:unhideWhenUsed/>
    <w:rsid w:val="007C0EE8"/>
    <w:rPr>
      <w:sz w:val="20"/>
      <w:szCs w:val="20"/>
    </w:rPr>
  </w:style>
  <w:style w:type="character" w:customStyle="1" w:styleId="ab">
    <w:name w:val="Текст примечания Знак"/>
    <w:basedOn w:val="a0"/>
    <w:link w:val="aa"/>
    <w:uiPriority w:val="99"/>
    <w:semiHidden/>
    <w:rsid w:val="007C0EE8"/>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C0EE8"/>
    <w:rPr>
      <w:b/>
      <w:bCs/>
    </w:rPr>
  </w:style>
  <w:style w:type="character" w:customStyle="1" w:styleId="ad">
    <w:name w:val="Тема примечания Знак"/>
    <w:basedOn w:val="ab"/>
    <w:link w:val="ac"/>
    <w:uiPriority w:val="99"/>
    <w:semiHidden/>
    <w:rsid w:val="007C0EE8"/>
    <w:rPr>
      <w:rFonts w:ascii="Times New Roman" w:eastAsia="Times New Roman" w:hAnsi="Times New Roman" w:cs="Times New Roman"/>
      <w:b/>
      <w:bCs/>
      <w:sz w:val="20"/>
      <w:szCs w:val="20"/>
      <w:lang w:val="ru-RU" w:eastAsia="ru-RU"/>
    </w:rPr>
  </w:style>
  <w:style w:type="paragraph" w:styleId="ae">
    <w:name w:val="Revision"/>
    <w:hidden/>
    <w:uiPriority w:val="99"/>
    <w:semiHidden/>
    <w:rsid w:val="00406916"/>
    <w:pPr>
      <w:spacing w:after="0" w:line="240" w:lineRule="auto"/>
    </w:pPr>
    <w:rPr>
      <w:rFonts w:ascii="Times New Roman" w:eastAsia="Times New Roman" w:hAnsi="Times New Roman" w:cs="Times New Roman"/>
      <w:sz w:val="24"/>
      <w:szCs w:val="24"/>
      <w:lang w:val="ru-RU" w:eastAsia="ru-RU"/>
    </w:rPr>
  </w:style>
  <w:style w:type="paragraph" w:styleId="af">
    <w:name w:val="footnote text"/>
    <w:basedOn w:val="a"/>
    <w:link w:val="af0"/>
    <w:uiPriority w:val="99"/>
    <w:semiHidden/>
    <w:unhideWhenUsed/>
    <w:rsid w:val="0031049E"/>
    <w:rPr>
      <w:sz w:val="20"/>
      <w:szCs w:val="20"/>
    </w:rPr>
  </w:style>
  <w:style w:type="character" w:customStyle="1" w:styleId="af0">
    <w:name w:val="Текст сноски Знак"/>
    <w:basedOn w:val="a0"/>
    <w:link w:val="af"/>
    <w:uiPriority w:val="99"/>
    <w:semiHidden/>
    <w:rsid w:val="0031049E"/>
    <w:rPr>
      <w:rFonts w:ascii="Times New Roman" w:eastAsia="Times New Roman" w:hAnsi="Times New Roman" w:cs="Times New Roman"/>
      <w:sz w:val="20"/>
      <w:szCs w:val="20"/>
      <w:lang w:val="ru-RU" w:eastAsia="ru-RU"/>
    </w:rPr>
  </w:style>
  <w:style w:type="character" w:styleId="af1">
    <w:name w:val="footnote reference"/>
    <w:basedOn w:val="a0"/>
    <w:uiPriority w:val="99"/>
    <w:semiHidden/>
    <w:unhideWhenUsed/>
    <w:rsid w:val="0031049E"/>
    <w:rPr>
      <w:vertAlign w:val="superscript"/>
    </w:rPr>
  </w:style>
  <w:style w:type="character" w:customStyle="1" w:styleId="docbody">
    <w:name w:val="doc_body"/>
    <w:basedOn w:val="a0"/>
    <w:rsid w:val="00043B40"/>
  </w:style>
  <w:style w:type="character" w:customStyle="1" w:styleId="docblue">
    <w:name w:val="doc_blue"/>
    <w:basedOn w:val="a0"/>
    <w:rsid w:val="00542F1D"/>
  </w:style>
  <w:style w:type="character" w:styleId="af2">
    <w:name w:val="Strong"/>
    <w:basedOn w:val="a0"/>
    <w:uiPriority w:val="22"/>
    <w:qFormat/>
    <w:rsid w:val="00FB5929"/>
    <w:rPr>
      <w:b/>
      <w:bCs/>
    </w:rPr>
  </w:style>
  <w:style w:type="character" w:customStyle="1" w:styleId="Bodytext2">
    <w:name w:val="Body text (2)_"/>
    <w:basedOn w:val="a0"/>
    <w:link w:val="Bodytext20"/>
    <w:rsid w:val="00A94CA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A94CA1"/>
    <w:pPr>
      <w:widowControl w:val="0"/>
      <w:shd w:val="clear" w:color="auto" w:fill="FFFFFF"/>
      <w:spacing w:line="371" w:lineRule="exact"/>
      <w:ind w:firstLine="760"/>
      <w:jc w:val="both"/>
    </w:pPr>
    <w:rPr>
      <w:sz w:val="28"/>
      <w:szCs w:val="28"/>
      <w:lang w:val="en-US" w:eastAsia="en-US"/>
    </w:rPr>
  </w:style>
  <w:style w:type="character" w:customStyle="1" w:styleId="Bodytext5">
    <w:name w:val="Body text (5)_"/>
    <w:basedOn w:val="a0"/>
    <w:link w:val="Bodytext50"/>
    <w:rsid w:val="00A94CA1"/>
    <w:rPr>
      <w:rFonts w:ascii="Times New Roman" w:eastAsia="Times New Roman" w:hAnsi="Times New Roman" w:cs="Times New Roman"/>
      <w:b/>
      <w:bCs/>
      <w:i/>
      <w:iCs/>
      <w:sz w:val="28"/>
      <w:szCs w:val="28"/>
      <w:shd w:val="clear" w:color="auto" w:fill="FFFFFF"/>
    </w:rPr>
  </w:style>
  <w:style w:type="character" w:customStyle="1" w:styleId="Bodytext2Italic">
    <w:name w:val="Body text (2) + Italic"/>
    <w:basedOn w:val="Bodytext2"/>
    <w:rsid w:val="00A94CA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 w:type="character" w:customStyle="1" w:styleId="Bodytext5NotBold">
    <w:name w:val="Body text (5) + Not Bold"/>
    <w:basedOn w:val="Bodytext5"/>
    <w:rsid w:val="00A94CA1"/>
    <w:rPr>
      <w:rFonts w:ascii="Times New Roman" w:eastAsia="Times New Roman" w:hAnsi="Times New Roman" w:cs="Times New Roman"/>
      <w:b/>
      <w:bCs/>
      <w:i/>
      <w:iCs/>
      <w:color w:val="000000"/>
      <w:spacing w:val="0"/>
      <w:w w:val="100"/>
      <w:position w:val="0"/>
      <w:sz w:val="28"/>
      <w:szCs w:val="28"/>
      <w:shd w:val="clear" w:color="auto" w:fill="FFFFFF"/>
    </w:rPr>
  </w:style>
  <w:style w:type="paragraph" w:customStyle="1" w:styleId="Bodytext50">
    <w:name w:val="Body text (5)"/>
    <w:basedOn w:val="a"/>
    <w:link w:val="Bodytext5"/>
    <w:rsid w:val="00A94CA1"/>
    <w:pPr>
      <w:widowControl w:val="0"/>
      <w:shd w:val="clear" w:color="auto" w:fill="FFFFFF"/>
      <w:spacing w:line="389" w:lineRule="exact"/>
    </w:pPr>
    <w:rPr>
      <w:b/>
      <w:bCs/>
      <w:i/>
      <w:iCs/>
      <w:sz w:val="28"/>
      <w:szCs w:val="28"/>
      <w:lang w:val="en-US" w:eastAsia="en-US"/>
    </w:rPr>
  </w:style>
  <w:style w:type="paragraph" w:styleId="af3">
    <w:name w:val="Normal (Web)"/>
    <w:basedOn w:val="a"/>
    <w:uiPriority w:val="99"/>
    <w:unhideWhenUsed/>
    <w:rsid w:val="008F5A27"/>
    <w:pPr>
      <w:ind w:firstLine="567"/>
      <w:jc w:val="both"/>
    </w:pPr>
    <w:rPr>
      <w:lang w:val="en-US" w:eastAsia="en-US"/>
    </w:rPr>
  </w:style>
  <w:style w:type="paragraph" w:customStyle="1" w:styleId="tt">
    <w:name w:val="tt"/>
    <w:basedOn w:val="a"/>
    <w:uiPriority w:val="99"/>
    <w:rsid w:val="003B533B"/>
    <w:pPr>
      <w:jc w:val="center"/>
    </w:pPr>
    <w:rPr>
      <w:b/>
      <w:bCs/>
    </w:rPr>
  </w:style>
  <w:style w:type="character" w:customStyle="1" w:styleId="apple-converted-space">
    <w:name w:val="apple-converted-space"/>
    <w:basedOn w:val="a0"/>
    <w:rsid w:val="000F118A"/>
  </w:style>
  <w:style w:type="paragraph" w:customStyle="1" w:styleId="a00">
    <w:name w:val="a0"/>
    <w:basedOn w:val="a"/>
    <w:rsid w:val="00ED241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9254">
      <w:bodyDiv w:val="1"/>
      <w:marLeft w:val="0"/>
      <w:marRight w:val="0"/>
      <w:marTop w:val="0"/>
      <w:marBottom w:val="0"/>
      <w:divBdr>
        <w:top w:val="none" w:sz="0" w:space="0" w:color="auto"/>
        <w:left w:val="none" w:sz="0" w:space="0" w:color="auto"/>
        <w:bottom w:val="none" w:sz="0" w:space="0" w:color="auto"/>
        <w:right w:val="none" w:sz="0" w:space="0" w:color="auto"/>
      </w:divBdr>
    </w:div>
    <w:div w:id="326058542">
      <w:bodyDiv w:val="1"/>
      <w:marLeft w:val="0"/>
      <w:marRight w:val="0"/>
      <w:marTop w:val="0"/>
      <w:marBottom w:val="0"/>
      <w:divBdr>
        <w:top w:val="none" w:sz="0" w:space="0" w:color="auto"/>
        <w:left w:val="none" w:sz="0" w:space="0" w:color="auto"/>
        <w:bottom w:val="none" w:sz="0" w:space="0" w:color="auto"/>
        <w:right w:val="none" w:sz="0" w:space="0" w:color="auto"/>
      </w:divBdr>
    </w:div>
    <w:div w:id="151850184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3">
          <w:marLeft w:val="0"/>
          <w:marRight w:val="0"/>
          <w:marTop w:val="0"/>
          <w:marBottom w:val="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219A-E127-403F-A410-6E665698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3953</Characters>
  <Application>Microsoft Office Word</Application>
  <DocSecurity>0</DocSecurity>
  <Lines>32</Lines>
  <Paragraphs>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acasa</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2019-07-30T06:29:00Z</cp:lastPrinted>
  <dcterms:created xsi:type="dcterms:W3CDTF">2019-11-01T13:44:00Z</dcterms:created>
  <dcterms:modified xsi:type="dcterms:W3CDTF">2019-11-01T13:44:00Z</dcterms:modified>
</cp:coreProperties>
</file>