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AB8" w:rsidRPr="00C540CD" w:rsidRDefault="00927AB8" w:rsidP="00927AB8">
      <w:pPr>
        <w:mirrorIndents/>
        <w:jc w:val="center"/>
        <w:rPr>
          <w:b/>
          <w:sz w:val="28"/>
          <w:szCs w:val="28"/>
          <w:lang w:val="ro-MD"/>
        </w:rPr>
      </w:pPr>
      <w:r w:rsidRPr="00C540CD">
        <w:rPr>
          <w:b/>
          <w:sz w:val="28"/>
          <w:szCs w:val="28"/>
          <w:lang w:val="ro-MD"/>
        </w:rPr>
        <w:t>NOT</w:t>
      </w:r>
      <w:r w:rsidR="00697079" w:rsidRPr="00C540CD">
        <w:rPr>
          <w:b/>
          <w:sz w:val="28"/>
          <w:szCs w:val="28"/>
          <w:lang w:val="ro-MD"/>
        </w:rPr>
        <w:t>A</w:t>
      </w:r>
      <w:r w:rsidRPr="00C540CD">
        <w:rPr>
          <w:b/>
          <w:sz w:val="28"/>
          <w:szCs w:val="28"/>
          <w:lang w:val="ro-MD"/>
        </w:rPr>
        <w:t xml:space="preserve"> INFORMATIVĂ</w:t>
      </w:r>
    </w:p>
    <w:p w:rsidR="00927AB8" w:rsidRPr="00C540CD" w:rsidRDefault="00927AB8" w:rsidP="00205E52">
      <w:pPr>
        <w:jc w:val="center"/>
        <w:rPr>
          <w:b/>
          <w:sz w:val="28"/>
          <w:szCs w:val="28"/>
          <w:lang w:val="ro-MD"/>
        </w:rPr>
      </w:pPr>
      <w:r w:rsidRPr="00C540CD">
        <w:rPr>
          <w:b/>
          <w:sz w:val="28"/>
          <w:szCs w:val="28"/>
          <w:lang w:val="ro-MD"/>
        </w:rPr>
        <w:t xml:space="preserve">la proiectul </w:t>
      </w:r>
      <w:r w:rsidR="00205E52" w:rsidRPr="00C540CD">
        <w:rPr>
          <w:b/>
          <w:sz w:val="28"/>
          <w:szCs w:val="28"/>
          <w:lang w:val="ro-MD"/>
        </w:rPr>
        <w:t xml:space="preserve">de </w:t>
      </w:r>
      <w:r w:rsidR="00217AF2">
        <w:rPr>
          <w:b/>
          <w:sz w:val="28"/>
          <w:szCs w:val="28"/>
          <w:lang w:val="ro-MD"/>
        </w:rPr>
        <w:t>lege</w:t>
      </w:r>
      <w:r w:rsidR="002F1889" w:rsidRPr="00C540CD">
        <w:rPr>
          <w:b/>
          <w:sz w:val="28"/>
          <w:szCs w:val="28"/>
          <w:lang w:val="ro-MD"/>
        </w:rPr>
        <w:t xml:space="preserve"> pentru </w:t>
      </w:r>
      <w:r w:rsidR="00205E52" w:rsidRPr="00C540CD">
        <w:rPr>
          <w:b/>
          <w:sz w:val="28"/>
          <w:szCs w:val="28"/>
          <w:lang w:val="ro-MD"/>
        </w:rPr>
        <w:t xml:space="preserve">modificarea </w:t>
      </w:r>
      <w:r w:rsidR="00AE0F9B" w:rsidRPr="00C540CD">
        <w:rPr>
          <w:b/>
          <w:sz w:val="28"/>
          <w:szCs w:val="28"/>
          <w:lang w:val="ro-MD"/>
        </w:rPr>
        <w:t>Legii nr. 270/2018 privind sistemul unitar de salarizare în sectorul bugetar</w:t>
      </w:r>
    </w:p>
    <w:p w:rsidR="00205E52" w:rsidRPr="00C540CD" w:rsidRDefault="00205E52" w:rsidP="00205E52">
      <w:pPr>
        <w:jc w:val="center"/>
        <w:rPr>
          <w:sz w:val="28"/>
          <w:szCs w:val="28"/>
          <w:lang w:val="ro-MD"/>
        </w:rPr>
      </w:pPr>
    </w:p>
    <w:tbl>
      <w:tblPr>
        <w:tblW w:w="5452" w:type="pct"/>
        <w:tblLook w:val="04A0" w:firstRow="1" w:lastRow="0" w:firstColumn="1" w:lastColumn="0" w:noHBand="0" w:noVBand="1"/>
      </w:tblPr>
      <w:tblGrid>
        <w:gridCol w:w="10177"/>
      </w:tblGrid>
      <w:tr w:rsidR="00927AB8" w:rsidRPr="00C540CD" w:rsidTr="004F541F">
        <w:trPr>
          <w:trHeight w:val="541"/>
        </w:trPr>
        <w:tc>
          <w:tcPr>
            <w:tcW w:w="5000" w:type="pct"/>
            <w:shd w:val="clear" w:color="auto" w:fill="D9D9D9"/>
            <w:hideMark/>
          </w:tcPr>
          <w:p w:rsidR="00927AB8" w:rsidRPr="00C540CD" w:rsidRDefault="00927AB8" w:rsidP="00512A16">
            <w:pPr>
              <w:pStyle w:val="a3"/>
              <w:numPr>
                <w:ilvl w:val="0"/>
                <w:numId w:val="1"/>
              </w:numPr>
              <w:spacing w:after="120"/>
              <w:ind w:left="0" w:firstLine="890"/>
              <w:rPr>
                <w:b/>
                <w:sz w:val="28"/>
                <w:szCs w:val="28"/>
                <w:lang w:val="ro-MD"/>
              </w:rPr>
            </w:pPr>
            <w:r w:rsidRPr="00C540CD">
              <w:rPr>
                <w:b/>
                <w:sz w:val="28"/>
                <w:szCs w:val="28"/>
                <w:lang w:val="ro-MD"/>
              </w:rPr>
              <w:t>Denumirea autorului și, după caz, a participanților la elaborarea proiectului</w:t>
            </w:r>
          </w:p>
        </w:tc>
      </w:tr>
      <w:tr w:rsidR="00927AB8" w:rsidRPr="00C540CD" w:rsidTr="004F541F">
        <w:trPr>
          <w:trHeight w:val="428"/>
        </w:trPr>
        <w:tc>
          <w:tcPr>
            <w:tcW w:w="5000" w:type="pct"/>
            <w:hideMark/>
          </w:tcPr>
          <w:p w:rsidR="00927AB8" w:rsidRPr="00C540CD" w:rsidRDefault="006E6820" w:rsidP="00A47D69">
            <w:pPr>
              <w:ind w:firstLine="743"/>
              <w:rPr>
                <w:sz w:val="28"/>
                <w:szCs w:val="28"/>
                <w:lang w:val="ro-MD"/>
              </w:rPr>
            </w:pPr>
            <w:r w:rsidRPr="00C540CD">
              <w:rPr>
                <w:rFonts w:eastAsia="Calibri"/>
                <w:sz w:val="28"/>
                <w:szCs w:val="28"/>
                <w:lang w:val="ro-MD"/>
              </w:rPr>
              <w:t>Autorul p</w:t>
            </w:r>
            <w:r w:rsidR="00927AB8" w:rsidRPr="00C540CD">
              <w:rPr>
                <w:rFonts w:eastAsia="Calibri"/>
                <w:sz w:val="28"/>
                <w:szCs w:val="28"/>
                <w:lang w:val="ro-MD"/>
              </w:rPr>
              <w:t>roiectul</w:t>
            </w:r>
            <w:r w:rsidRPr="00C540CD">
              <w:rPr>
                <w:rFonts w:eastAsia="Calibri"/>
                <w:sz w:val="28"/>
                <w:szCs w:val="28"/>
                <w:lang w:val="ro-MD"/>
              </w:rPr>
              <w:t xml:space="preserve">ui este </w:t>
            </w:r>
            <w:r w:rsidR="00927AB8" w:rsidRPr="00C540CD">
              <w:rPr>
                <w:rFonts w:eastAsia="Calibri"/>
                <w:sz w:val="28"/>
                <w:szCs w:val="28"/>
                <w:lang w:val="ro-MD"/>
              </w:rPr>
              <w:t xml:space="preserve">Ministerul </w:t>
            </w:r>
            <w:r w:rsidR="00927AB8" w:rsidRPr="00C540CD">
              <w:rPr>
                <w:sz w:val="28"/>
                <w:szCs w:val="28"/>
                <w:lang w:val="ro-MD"/>
              </w:rPr>
              <w:t>Finanțelor</w:t>
            </w:r>
            <w:r w:rsidRPr="00C540CD">
              <w:rPr>
                <w:sz w:val="28"/>
                <w:szCs w:val="28"/>
                <w:lang w:val="ro-MD"/>
              </w:rPr>
              <w:t>, care este desemnat responsabil de politica în domeniul salarizării în sectorul bugetar</w:t>
            </w:r>
            <w:r w:rsidR="00927AB8" w:rsidRPr="00C540CD">
              <w:rPr>
                <w:sz w:val="28"/>
                <w:szCs w:val="28"/>
                <w:lang w:val="ro-MD"/>
              </w:rPr>
              <w:t>.</w:t>
            </w:r>
            <w:r w:rsidR="008C54A0" w:rsidRPr="00C540CD">
              <w:rPr>
                <w:sz w:val="28"/>
                <w:szCs w:val="28"/>
                <w:lang w:val="ro-MD"/>
              </w:rPr>
              <w:t xml:space="preserve"> </w:t>
            </w:r>
          </w:p>
        </w:tc>
      </w:tr>
      <w:tr w:rsidR="00927AB8" w:rsidRPr="00C540CD" w:rsidTr="004F541F">
        <w:tc>
          <w:tcPr>
            <w:tcW w:w="5000" w:type="pct"/>
            <w:shd w:val="clear" w:color="auto" w:fill="D9D9D9"/>
            <w:hideMark/>
          </w:tcPr>
          <w:p w:rsidR="00927AB8" w:rsidRPr="00C540CD" w:rsidRDefault="00927AB8" w:rsidP="00512A16">
            <w:pPr>
              <w:pStyle w:val="a3"/>
              <w:numPr>
                <w:ilvl w:val="0"/>
                <w:numId w:val="1"/>
              </w:numPr>
              <w:tabs>
                <w:tab w:val="left" w:pos="884"/>
              </w:tabs>
              <w:spacing w:after="120"/>
              <w:ind w:left="0" w:firstLine="890"/>
              <w:rPr>
                <w:b/>
                <w:sz w:val="28"/>
                <w:szCs w:val="28"/>
                <w:lang w:val="ro-MD"/>
              </w:rPr>
            </w:pPr>
            <w:r w:rsidRPr="00C540CD">
              <w:rPr>
                <w:b/>
                <w:sz w:val="28"/>
                <w:szCs w:val="28"/>
                <w:lang w:val="ro-MD"/>
              </w:rPr>
              <w:t>Condițiile ce au impus elaborarea proiectului de act normativ și finalitățile urmărite</w:t>
            </w:r>
          </w:p>
        </w:tc>
      </w:tr>
      <w:tr w:rsidR="00927AB8" w:rsidRPr="00C540CD" w:rsidTr="004F541F">
        <w:tc>
          <w:tcPr>
            <w:tcW w:w="5000" w:type="pct"/>
          </w:tcPr>
          <w:p w:rsidR="008859F1" w:rsidRPr="00C540CD" w:rsidRDefault="0040035F" w:rsidP="00512A16">
            <w:pPr>
              <w:spacing w:before="120" w:after="120"/>
              <w:rPr>
                <w:rFonts w:eastAsia="Calibri"/>
                <w:sz w:val="28"/>
                <w:szCs w:val="28"/>
                <w:lang w:val="ro-MD"/>
              </w:rPr>
            </w:pPr>
            <w:r w:rsidRPr="00C540CD">
              <w:rPr>
                <w:rFonts w:eastAsia="Calibri"/>
                <w:sz w:val="28"/>
                <w:szCs w:val="28"/>
                <w:lang w:val="ro-MD"/>
              </w:rPr>
              <w:t xml:space="preserve">În vederea reformării sistemului de salarizare în sectorul </w:t>
            </w:r>
            <w:r w:rsidR="008859F1" w:rsidRPr="00C540CD">
              <w:rPr>
                <w:rFonts w:eastAsia="Calibri"/>
                <w:sz w:val="28"/>
                <w:szCs w:val="28"/>
                <w:lang w:val="ro-MD"/>
              </w:rPr>
              <w:t xml:space="preserve">bugetar, </w:t>
            </w:r>
            <w:r w:rsidR="00205E52" w:rsidRPr="00C540CD">
              <w:rPr>
                <w:rFonts w:eastAsia="Calibri"/>
                <w:sz w:val="28"/>
                <w:szCs w:val="28"/>
                <w:lang w:val="ro-MD"/>
              </w:rPr>
              <w:t>Parlamentul a adoptat L</w:t>
            </w:r>
            <w:r w:rsidR="008859F1" w:rsidRPr="00C540CD">
              <w:rPr>
                <w:rFonts w:eastAsia="Calibri"/>
                <w:sz w:val="28"/>
                <w:szCs w:val="28"/>
                <w:lang w:val="ro-MD"/>
              </w:rPr>
              <w:t>eg</w:t>
            </w:r>
            <w:r w:rsidR="00205E52" w:rsidRPr="00C540CD">
              <w:rPr>
                <w:rFonts w:eastAsia="Calibri"/>
                <w:sz w:val="28"/>
                <w:szCs w:val="28"/>
                <w:lang w:val="ro-MD"/>
              </w:rPr>
              <w:t>ea nr. 270/2018</w:t>
            </w:r>
            <w:r w:rsidR="008859F1" w:rsidRPr="00C540CD">
              <w:rPr>
                <w:rFonts w:eastAsia="Calibri"/>
                <w:sz w:val="28"/>
                <w:szCs w:val="28"/>
                <w:lang w:val="ro-MD"/>
              </w:rPr>
              <w:t xml:space="preserve"> privi</w:t>
            </w:r>
            <w:r w:rsidR="00205E52" w:rsidRPr="00C540CD">
              <w:rPr>
                <w:rFonts w:eastAsia="Calibri"/>
                <w:sz w:val="28"/>
                <w:szCs w:val="28"/>
                <w:lang w:val="ro-MD"/>
              </w:rPr>
              <w:t>nd</w:t>
            </w:r>
            <w:r w:rsidR="008859F1" w:rsidRPr="00C540CD">
              <w:rPr>
                <w:rFonts w:eastAsia="Calibri"/>
                <w:sz w:val="28"/>
                <w:szCs w:val="28"/>
                <w:lang w:val="ro-MD"/>
              </w:rPr>
              <w:t xml:space="preserve"> sistemul unitar de salarizare în sectorul bugetar</w:t>
            </w:r>
            <w:r w:rsidR="00205E52" w:rsidRPr="00C540CD">
              <w:rPr>
                <w:rFonts w:eastAsia="Calibri"/>
                <w:sz w:val="28"/>
                <w:szCs w:val="28"/>
                <w:lang w:val="ro-MD"/>
              </w:rPr>
              <w:t>, cu implementare din 1 decembrie 2019</w:t>
            </w:r>
            <w:r w:rsidR="008859F1" w:rsidRPr="00C540CD">
              <w:rPr>
                <w:rFonts w:eastAsia="Calibri"/>
                <w:sz w:val="28"/>
                <w:szCs w:val="28"/>
                <w:lang w:val="ro-MD"/>
              </w:rPr>
              <w:t xml:space="preserve">. </w:t>
            </w:r>
          </w:p>
          <w:p w:rsidR="00BC20BE" w:rsidRPr="00C540CD" w:rsidRDefault="00AE0F9B" w:rsidP="00512A16">
            <w:pPr>
              <w:spacing w:before="120" w:after="120"/>
              <w:rPr>
                <w:rFonts w:eastAsia="Calibri"/>
                <w:sz w:val="28"/>
                <w:szCs w:val="28"/>
                <w:lang w:val="ro-MD"/>
              </w:rPr>
            </w:pPr>
            <w:r w:rsidRPr="00C540CD">
              <w:rPr>
                <w:rFonts w:eastAsia="Calibri"/>
                <w:sz w:val="28"/>
                <w:szCs w:val="28"/>
                <w:lang w:val="ro-MD"/>
              </w:rPr>
              <w:t>Pe parcursul anului 2019</w:t>
            </w:r>
            <w:r w:rsidR="000F2916" w:rsidRPr="00C540CD">
              <w:rPr>
                <w:rFonts w:eastAsia="Calibri"/>
                <w:sz w:val="28"/>
                <w:szCs w:val="28"/>
                <w:lang w:val="ro-MD"/>
              </w:rPr>
              <w:t xml:space="preserve"> autoritățile publice au semnalat unele</w:t>
            </w:r>
            <w:r w:rsidRPr="00C540CD">
              <w:rPr>
                <w:rFonts w:eastAsia="Calibri"/>
                <w:sz w:val="28"/>
                <w:szCs w:val="28"/>
                <w:lang w:val="ro-MD"/>
              </w:rPr>
              <w:t xml:space="preserve"> carențe privitor la aplicare</w:t>
            </w:r>
            <w:r w:rsidR="000F2916" w:rsidRPr="00C540CD">
              <w:rPr>
                <w:rFonts w:eastAsia="Calibri"/>
                <w:sz w:val="28"/>
                <w:szCs w:val="28"/>
                <w:lang w:val="ro-MD"/>
              </w:rPr>
              <w:t>a noului sistem de salarizare ce țin de: salarii inferioare pentru directori adjuncți în școli față de cadre didactice, salarii diferențiate la profesori/învățători/educatori educație timpurie, condiții diferite de salarizare în sistemul penitenciar în comparație cu funcții similare în alte instituții de ordine publică, salarii neconforme pentru unele funcții de demnitate publică la nivel local față de instituțiile din subordine, plasarea necorespunzătoare în ierarhia posturilor a unor funcții de cultură în urma evaluării, necesitatea ajustării gradului profesional în apărare urmare modificărilor legislative efectuate, ș.a.</w:t>
            </w:r>
            <w:r w:rsidR="00BC20BE" w:rsidRPr="00C540CD">
              <w:rPr>
                <w:rFonts w:eastAsia="Calibri"/>
                <w:sz w:val="28"/>
                <w:szCs w:val="28"/>
                <w:lang w:val="ro-MD"/>
              </w:rPr>
              <w:t xml:space="preserve"> </w:t>
            </w:r>
          </w:p>
          <w:p w:rsidR="000F2916" w:rsidRPr="00C540CD" w:rsidRDefault="000F2916" w:rsidP="00512A16">
            <w:pPr>
              <w:spacing w:before="120" w:after="120"/>
              <w:rPr>
                <w:rFonts w:eastAsia="Calibri"/>
                <w:sz w:val="28"/>
                <w:szCs w:val="28"/>
                <w:lang w:val="ro-MD"/>
              </w:rPr>
            </w:pPr>
            <w:r w:rsidRPr="00C540CD">
              <w:rPr>
                <w:rFonts w:eastAsia="Calibri"/>
                <w:sz w:val="28"/>
                <w:szCs w:val="28"/>
                <w:lang w:val="ro-MD"/>
              </w:rPr>
              <w:t xml:space="preserve">Totodată, în temeiul dreptului oferit prin art. 25 (5) din Legea nr. 270/2018, </w:t>
            </w:r>
            <w:r w:rsidR="00C540CD" w:rsidRPr="00C540CD">
              <w:rPr>
                <w:rFonts w:eastAsia="Calibri"/>
                <w:sz w:val="28"/>
                <w:szCs w:val="28"/>
                <w:lang w:val="ro-MD"/>
              </w:rPr>
              <w:t xml:space="preserve">la propunerea unităților bugetare, </w:t>
            </w:r>
            <w:r w:rsidRPr="00C540CD">
              <w:rPr>
                <w:rFonts w:eastAsia="Calibri"/>
                <w:sz w:val="28"/>
                <w:szCs w:val="28"/>
                <w:lang w:val="ro-MD"/>
              </w:rPr>
              <w:t xml:space="preserve">Ministerul Finanțelor a poziționat provizoriu </w:t>
            </w:r>
            <w:r w:rsidR="00C540CD" w:rsidRPr="00C540CD">
              <w:rPr>
                <w:rFonts w:eastAsia="Calibri"/>
                <w:sz w:val="28"/>
                <w:szCs w:val="28"/>
                <w:lang w:val="ro-MD"/>
              </w:rPr>
              <w:t xml:space="preserve">în grila de salarizare </w:t>
            </w:r>
            <w:r w:rsidRPr="00C540CD">
              <w:rPr>
                <w:rFonts w:eastAsia="Calibri"/>
                <w:sz w:val="28"/>
                <w:szCs w:val="28"/>
                <w:lang w:val="ro-MD"/>
              </w:rPr>
              <w:t>unele funcții (Ordinul ministrului finanțelor nr. 203 din 18 decembrie 2018 și nr. 219 din 28 decembrie 2018</w:t>
            </w:r>
            <w:r w:rsidR="00E10D1F">
              <w:rPr>
                <w:rFonts w:eastAsia="Calibri"/>
                <w:sz w:val="28"/>
                <w:szCs w:val="28"/>
                <w:lang w:val="ro-MD"/>
              </w:rPr>
              <w:t>)</w:t>
            </w:r>
            <w:r w:rsidRPr="00C540CD">
              <w:rPr>
                <w:rFonts w:eastAsia="Calibri"/>
                <w:sz w:val="28"/>
                <w:szCs w:val="28"/>
                <w:lang w:val="ro-MD"/>
              </w:rPr>
              <w:t xml:space="preserve">, care se propun fi introduse în </w:t>
            </w:r>
            <w:r w:rsidR="00C540CD" w:rsidRPr="00C540CD">
              <w:rPr>
                <w:rFonts w:eastAsia="Calibri"/>
                <w:sz w:val="28"/>
                <w:szCs w:val="28"/>
                <w:lang w:val="ro-MD"/>
              </w:rPr>
              <w:t xml:space="preserve">anexele respective din </w:t>
            </w:r>
            <w:r w:rsidRPr="00C540CD">
              <w:rPr>
                <w:rFonts w:eastAsia="Calibri"/>
                <w:sz w:val="28"/>
                <w:szCs w:val="28"/>
                <w:lang w:val="ro-MD"/>
              </w:rPr>
              <w:t>lege.</w:t>
            </w:r>
          </w:p>
          <w:p w:rsidR="00625ED0" w:rsidRPr="00C540CD" w:rsidRDefault="00205E52" w:rsidP="00C540CD">
            <w:pPr>
              <w:spacing w:before="120" w:after="120"/>
              <w:rPr>
                <w:rFonts w:eastAsia="Calibri"/>
                <w:sz w:val="28"/>
                <w:szCs w:val="28"/>
                <w:lang w:val="ro-MD"/>
              </w:rPr>
            </w:pPr>
            <w:r w:rsidRPr="00C540CD">
              <w:rPr>
                <w:rFonts w:eastAsia="Calibri"/>
                <w:sz w:val="28"/>
                <w:szCs w:val="28"/>
                <w:lang w:val="ro-MD"/>
              </w:rPr>
              <w:t>Concomitent</w:t>
            </w:r>
            <w:r w:rsidR="00C540CD" w:rsidRPr="00C540CD">
              <w:rPr>
                <w:rFonts w:eastAsia="Calibri"/>
                <w:sz w:val="28"/>
                <w:szCs w:val="28"/>
                <w:lang w:val="ro-MD"/>
              </w:rPr>
              <w:t xml:space="preserve"> au fost identificate unele inexactități privitor la coduri ale funcțiilor și/sau coeficienții de salarizare atribuiți, pentru care se propun modificări redacționale.  </w:t>
            </w:r>
            <w:r w:rsidRPr="00C540CD">
              <w:rPr>
                <w:rFonts w:eastAsia="Calibri"/>
                <w:sz w:val="28"/>
                <w:szCs w:val="28"/>
                <w:lang w:val="ro-MD"/>
              </w:rPr>
              <w:t xml:space="preserve"> </w:t>
            </w:r>
          </w:p>
        </w:tc>
      </w:tr>
      <w:tr w:rsidR="00711875" w:rsidRPr="00C540CD" w:rsidTr="004F541F">
        <w:tc>
          <w:tcPr>
            <w:tcW w:w="5000" w:type="pct"/>
            <w:shd w:val="clear" w:color="auto" w:fill="D9D9D9"/>
          </w:tcPr>
          <w:p w:rsidR="00711875" w:rsidRPr="00C540CD" w:rsidRDefault="00711875" w:rsidP="00201CBA">
            <w:pPr>
              <w:pStyle w:val="a3"/>
              <w:numPr>
                <w:ilvl w:val="0"/>
                <w:numId w:val="1"/>
              </w:numPr>
              <w:tabs>
                <w:tab w:val="left" w:pos="884"/>
              </w:tabs>
              <w:spacing w:after="120"/>
              <w:ind w:left="0" w:firstLine="890"/>
              <w:rPr>
                <w:b/>
                <w:sz w:val="28"/>
                <w:szCs w:val="28"/>
                <w:lang w:val="ro-MD"/>
              </w:rPr>
            </w:pPr>
            <w:r>
              <w:rPr>
                <w:b/>
                <w:sz w:val="28"/>
                <w:szCs w:val="28"/>
                <w:lang w:val="ro-MD"/>
              </w:rPr>
              <w:t>Descrierea gradului de compatibilitate pentru proiectele care au ca scop armonizarea legislației naționale cu legislația Uniunii Europene</w:t>
            </w:r>
          </w:p>
        </w:tc>
      </w:tr>
      <w:tr w:rsidR="00711875" w:rsidRPr="00C540CD" w:rsidTr="00711875">
        <w:tc>
          <w:tcPr>
            <w:tcW w:w="5000" w:type="pct"/>
            <w:shd w:val="clear" w:color="auto" w:fill="auto"/>
          </w:tcPr>
          <w:p w:rsidR="00711875" w:rsidRPr="00711875" w:rsidRDefault="00711875" w:rsidP="00711875">
            <w:pPr>
              <w:spacing w:before="120" w:after="120"/>
              <w:rPr>
                <w:sz w:val="28"/>
                <w:szCs w:val="28"/>
                <w:lang w:val="ro-MD"/>
              </w:rPr>
            </w:pPr>
            <w:r w:rsidRPr="00711875">
              <w:rPr>
                <w:rFonts w:eastAsia="Calibri"/>
                <w:sz w:val="28"/>
                <w:szCs w:val="28"/>
                <w:lang w:val="ro-MD"/>
              </w:rPr>
              <w:t>Proiectul nu are drept scop armonizarea legislației naționale cu legislația Uniunii Europene.</w:t>
            </w:r>
          </w:p>
        </w:tc>
      </w:tr>
      <w:tr w:rsidR="00512A16" w:rsidRPr="00C540CD" w:rsidTr="004F541F">
        <w:tc>
          <w:tcPr>
            <w:tcW w:w="5000" w:type="pct"/>
            <w:shd w:val="clear" w:color="auto" w:fill="D9D9D9"/>
            <w:hideMark/>
          </w:tcPr>
          <w:p w:rsidR="00512A16" w:rsidRPr="00C540CD" w:rsidRDefault="00201CBA" w:rsidP="00201CBA">
            <w:pPr>
              <w:pStyle w:val="a3"/>
              <w:numPr>
                <w:ilvl w:val="0"/>
                <w:numId w:val="1"/>
              </w:numPr>
              <w:tabs>
                <w:tab w:val="left" w:pos="884"/>
              </w:tabs>
              <w:spacing w:after="120"/>
              <w:ind w:left="0" w:firstLine="890"/>
              <w:rPr>
                <w:b/>
                <w:sz w:val="28"/>
                <w:szCs w:val="28"/>
                <w:lang w:val="ro-MD"/>
              </w:rPr>
            </w:pPr>
            <w:r w:rsidRPr="00C540CD">
              <w:rPr>
                <w:b/>
                <w:sz w:val="28"/>
                <w:szCs w:val="28"/>
                <w:lang w:val="ro-MD"/>
              </w:rPr>
              <w:t>Principalele prevederi ale proiectului și evidențierea elementelor noi</w:t>
            </w:r>
          </w:p>
        </w:tc>
      </w:tr>
      <w:tr w:rsidR="00512A16" w:rsidRPr="00C540CD" w:rsidTr="004F541F">
        <w:tc>
          <w:tcPr>
            <w:tcW w:w="5000" w:type="pct"/>
          </w:tcPr>
          <w:p w:rsidR="00E8666C" w:rsidRPr="00C540CD" w:rsidRDefault="00E8666C" w:rsidP="00E8666C">
            <w:pPr>
              <w:ind w:firstLine="567"/>
              <w:rPr>
                <w:rFonts w:eastAsia="Calibri"/>
                <w:sz w:val="28"/>
                <w:szCs w:val="28"/>
                <w:lang w:val="ro-MD"/>
              </w:rPr>
            </w:pPr>
          </w:p>
          <w:p w:rsidR="005912E6" w:rsidRDefault="005912E6" w:rsidP="00E8666C">
            <w:pPr>
              <w:spacing w:after="120"/>
              <w:ind w:firstLine="567"/>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La </w:t>
            </w:r>
            <w:r w:rsidRPr="005912E6">
              <w:rPr>
                <w:rFonts w:asciiTheme="majorBidi" w:hAnsiTheme="majorBidi" w:cstheme="majorBidi"/>
                <w:b/>
                <w:color w:val="000000"/>
                <w:sz w:val="28"/>
                <w:szCs w:val="28"/>
                <w:lang w:val="ro-RO" w:eastAsia="ro-RO"/>
              </w:rPr>
              <w:t>art. I</w:t>
            </w:r>
            <w:r>
              <w:rPr>
                <w:rFonts w:asciiTheme="majorBidi" w:hAnsiTheme="majorBidi" w:cstheme="majorBidi"/>
                <w:color w:val="000000"/>
                <w:sz w:val="28"/>
                <w:szCs w:val="28"/>
                <w:lang w:val="ro-RO" w:eastAsia="ro-RO"/>
              </w:rPr>
              <w:t xml:space="preserve"> se propune completarea cu alineatul (3), care va indica dreptul exclusiv al legii asupra normelor salariale. Această normă se conținea în proiectul inițial al legii, </w:t>
            </w:r>
            <w:r>
              <w:rPr>
                <w:rFonts w:asciiTheme="majorBidi" w:hAnsiTheme="majorBidi" w:cstheme="majorBidi"/>
                <w:color w:val="000000"/>
                <w:sz w:val="28"/>
                <w:szCs w:val="28"/>
                <w:lang w:val="ro-RO" w:eastAsia="ro-RO"/>
              </w:rPr>
              <w:lastRenderedPageBreak/>
              <w:t>aprobat de Guvern și transmis Parlamentului, care a fost exclusă în procesul de definitivare. Se propune de a reveni la această formulare pentru a evita tentativele de completare a altor acte normative cu norme salariale.</w:t>
            </w:r>
          </w:p>
          <w:p w:rsidR="005912E6" w:rsidRDefault="005912E6" w:rsidP="00E8666C">
            <w:pPr>
              <w:spacing w:after="120"/>
              <w:ind w:firstLine="567"/>
              <w:rPr>
                <w:rFonts w:asciiTheme="majorBidi" w:hAnsiTheme="majorBidi" w:cstheme="majorBidi"/>
                <w:color w:val="000000"/>
                <w:sz w:val="28"/>
                <w:szCs w:val="28"/>
                <w:lang w:val="ro-RO" w:eastAsia="ro-RO"/>
              </w:rPr>
            </w:pPr>
            <w:r w:rsidRPr="005912E6">
              <w:rPr>
                <w:rFonts w:asciiTheme="majorBidi" w:hAnsiTheme="majorBidi" w:cstheme="majorBidi"/>
                <w:b/>
                <w:color w:val="000000"/>
                <w:sz w:val="28"/>
                <w:szCs w:val="28"/>
                <w:lang w:val="ro-RO" w:eastAsia="ro-RO"/>
              </w:rPr>
              <w:t>Art. 4</w:t>
            </w:r>
            <w:r>
              <w:rPr>
                <w:rFonts w:asciiTheme="majorBidi" w:hAnsiTheme="majorBidi" w:cstheme="majorBidi"/>
                <w:color w:val="000000"/>
                <w:sz w:val="28"/>
                <w:szCs w:val="28"/>
                <w:lang w:val="ro-RO" w:eastAsia="ro-RO"/>
              </w:rPr>
              <w:t xml:space="preserve"> se propune a fi completat cu noțiunea de „conducător al unității bugetare”, pentru a aduce o mai mare claritate în aplicarea treptelor pentru vechime în muncă.</w:t>
            </w:r>
          </w:p>
          <w:p w:rsidR="005912E6" w:rsidRDefault="005912E6" w:rsidP="00E8666C">
            <w:pPr>
              <w:spacing w:after="120"/>
              <w:ind w:firstLine="567"/>
              <w:rPr>
                <w:rFonts w:asciiTheme="majorBidi" w:hAnsiTheme="majorBidi" w:cstheme="majorBidi"/>
                <w:color w:val="000000"/>
                <w:sz w:val="28"/>
                <w:szCs w:val="28"/>
                <w:lang w:val="ro-RO" w:eastAsia="ro-RO"/>
              </w:rPr>
            </w:pPr>
            <w:r>
              <w:rPr>
                <w:rFonts w:asciiTheme="majorBidi" w:hAnsiTheme="majorBidi" w:cstheme="majorBidi"/>
                <w:color w:val="000000"/>
                <w:sz w:val="28"/>
                <w:szCs w:val="28"/>
                <w:lang w:val="ro-RO" w:eastAsia="ro-RO"/>
              </w:rPr>
              <w:t xml:space="preserve"> </w:t>
            </w:r>
            <w:r w:rsidR="006C7C3A">
              <w:rPr>
                <w:rFonts w:asciiTheme="majorBidi" w:hAnsiTheme="majorBidi" w:cstheme="majorBidi"/>
                <w:color w:val="000000"/>
                <w:sz w:val="28"/>
                <w:szCs w:val="28"/>
                <w:lang w:val="ro-RO" w:eastAsia="ro-RO"/>
              </w:rPr>
              <w:t xml:space="preserve">În </w:t>
            </w:r>
            <w:r w:rsidR="006C7C3A" w:rsidRPr="006C7C3A">
              <w:rPr>
                <w:rFonts w:asciiTheme="majorBidi" w:hAnsiTheme="majorBidi" w:cstheme="majorBidi"/>
                <w:b/>
                <w:color w:val="000000"/>
                <w:sz w:val="28"/>
                <w:szCs w:val="28"/>
                <w:lang w:val="ro-RO" w:eastAsia="ro-RO"/>
              </w:rPr>
              <w:t>art. 10</w:t>
            </w:r>
            <w:r w:rsidR="006C7C3A">
              <w:rPr>
                <w:rFonts w:asciiTheme="majorBidi" w:hAnsiTheme="majorBidi" w:cstheme="majorBidi"/>
                <w:color w:val="000000"/>
                <w:sz w:val="28"/>
                <w:szCs w:val="28"/>
                <w:lang w:val="ro-RO" w:eastAsia="ro-RO"/>
              </w:rPr>
              <w:t xml:space="preserve"> și </w:t>
            </w:r>
            <w:r w:rsidR="006C7C3A" w:rsidRPr="006C7C3A">
              <w:rPr>
                <w:rFonts w:asciiTheme="majorBidi" w:hAnsiTheme="majorBidi" w:cstheme="majorBidi"/>
                <w:b/>
                <w:color w:val="000000"/>
                <w:sz w:val="28"/>
                <w:szCs w:val="28"/>
                <w:lang w:val="ro-RO" w:eastAsia="ro-RO"/>
              </w:rPr>
              <w:t>21</w:t>
            </w:r>
            <w:r w:rsidR="006C7C3A" w:rsidRPr="006C7C3A">
              <w:rPr>
                <w:rFonts w:asciiTheme="majorBidi" w:hAnsiTheme="majorBidi" w:cstheme="majorBidi"/>
                <w:b/>
                <w:color w:val="000000"/>
                <w:sz w:val="28"/>
                <w:szCs w:val="28"/>
                <w:vertAlign w:val="superscript"/>
                <w:lang w:val="ro-RO" w:eastAsia="ro-RO"/>
              </w:rPr>
              <w:t>1</w:t>
            </w:r>
            <w:r w:rsidR="006C7C3A">
              <w:rPr>
                <w:rFonts w:asciiTheme="majorBidi" w:hAnsiTheme="majorBidi" w:cstheme="majorBidi"/>
                <w:color w:val="000000"/>
                <w:sz w:val="28"/>
                <w:szCs w:val="28"/>
                <w:vertAlign w:val="superscript"/>
                <w:lang w:val="ro-RO" w:eastAsia="ro-RO"/>
              </w:rPr>
              <w:t xml:space="preserve"> </w:t>
            </w:r>
            <w:r>
              <w:rPr>
                <w:rFonts w:asciiTheme="majorBidi" w:hAnsiTheme="majorBidi" w:cstheme="majorBidi"/>
                <w:color w:val="000000"/>
                <w:sz w:val="28"/>
                <w:szCs w:val="28"/>
                <w:lang w:val="ro-RO" w:eastAsia="ro-RO"/>
              </w:rPr>
              <w:t xml:space="preserve"> </w:t>
            </w:r>
            <w:r w:rsidR="006C7C3A">
              <w:rPr>
                <w:rFonts w:asciiTheme="majorBidi" w:hAnsiTheme="majorBidi" w:cstheme="majorBidi"/>
                <w:color w:val="000000"/>
                <w:sz w:val="28"/>
                <w:szCs w:val="28"/>
                <w:lang w:val="ro-RO" w:eastAsia="ro-RO"/>
              </w:rPr>
              <w:t xml:space="preserve">se propune de a include reglementări ce țin de introducerea premiului </w:t>
            </w:r>
            <w:r w:rsidR="008E4795">
              <w:rPr>
                <w:rFonts w:asciiTheme="majorBidi" w:hAnsiTheme="majorBidi" w:cstheme="majorBidi"/>
                <w:color w:val="000000"/>
                <w:sz w:val="28"/>
                <w:szCs w:val="28"/>
                <w:lang w:val="ro-RO" w:eastAsia="ro-RO"/>
              </w:rPr>
              <w:t xml:space="preserve">anual în mărime de 50 la sută din salariul de bază, modul de acordarea a căruia </w:t>
            </w:r>
            <w:proofErr w:type="spellStart"/>
            <w:r w:rsidR="008E4795">
              <w:rPr>
                <w:rFonts w:asciiTheme="majorBidi" w:hAnsiTheme="majorBidi" w:cstheme="majorBidi"/>
                <w:color w:val="000000"/>
                <w:sz w:val="28"/>
                <w:szCs w:val="28"/>
                <w:lang w:val="ro-RO" w:eastAsia="ro-RO"/>
              </w:rPr>
              <w:t>urmînd</w:t>
            </w:r>
            <w:proofErr w:type="spellEnd"/>
            <w:r w:rsidR="008E4795">
              <w:rPr>
                <w:rFonts w:asciiTheme="majorBidi" w:hAnsiTheme="majorBidi" w:cstheme="majorBidi"/>
                <w:color w:val="000000"/>
                <w:sz w:val="28"/>
                <w:szCs w:val="28"/>
                <w:lang w:val="ro-RO" w:eastAsia="ro-RO"/>
              </w:rPr>
              <w:t xml:space="preserve"> a fi stabilit de Guvern.</w:t>
            </w:r>
          </w:p>
          <w:p w:rsidR="00D736E5" w:rsidRDefault="00D736E5" w:rsidP="00E8666C">
            <w:pPr>
              <w:spacing w:after="120"/>
              <w:ind w:firstLine="567"/>
              <w:rPr>
                <w:sz w:val="28"/>
                <w:szCs w:val="28"/>
                <w:lang w:val="ro-MD"/>
              </w:rPr>
            </w:pPr>
            <w:r>
              <w:rPr>
                <w:rFonts w:asciiTheme="majorBidi" w:hAnsiTheme="majorBidi" w:cstheme="majorBidi"/>
                <w:color w:val="000000"/>
                <w:sz w:val="28"/>
                <w:szCs w:val="28"/>
                <w:lang w:val="ro-RO" w:eastAsia="ro-RO"/>
              </w:rPr>
              <w:t xml:space="preserve">În </w:t>
            </w:r>
            <w:r w:rsidRPr="009F006F">
              <w:rPr>
                <w:rFonts w:asciiTheme="majorBidi" w:hAnsiTheme="majorBidi" w:cstheme="majorBidi"/>
                <w:b/>
                <w:color w:val="000000"/>
                <w:sz w:val="28"/>
                <w:szCs w:val="28"/>
                <w:lang w:val="ro-RO" w:eastAsia="ro-RO"/>
              </w:rPr>
              <w:t>art. 12</w:t>
            </w:r>
            <w:r>
              <w:rPr>
                <w:rFonts w:asciiTheme="majorBidi" w:hAnsiTheme="majorBidi" w:cstheme="majorBidi"/>
                <w:color w:val="000000"/>
                <w:sz w:val="28"/>
                <w:szCs w:val="28"/>
                <w:lang w:val="ro-RO" w:eastAsia="ro-RO"/>
              </w:rPr>
              <w:t xml:space="preserve"> se face o precizare referitor la dreptul angajaților din instituțiile amplasate în </w:t>
            </w:r>
            <w:proofErr w:type="spellStart"/>
            <w:r>
              <w:rPr>
                <w:rFonts w:asciiTheme="majorBidi" w:hAnsiTheme="majorBidi" w:cstheme="majorBidi"/>
                <w:color w:val="000000"/>
                <w:sz w:val="28"/>
                <w:szCs w:val="28"/>
                <w:lang w:val="ro-RO" w:eastAsia="ro-RO"/>
              </w:rPr>
              <w:t>stînga</w:t>
            </w:r>
            <w:proofErr w:type="spellEnd"/>
            <w:r>
              <w:rPr>
                <w:rFonts w:asciiTheme="majorBidi" w:hAnsiTheme="majorBidi" w:cstheme="majorBidi"/>
                <w:color w:val="000000"/>
                <w:sz w:val="28"/>
                <w:szCs w:val="28"/>
                <w:lang w:val="ro-RO" w:eastAsia="ro-RO"/>
              </w:rPr>
              <w:t xml:space="preserve"> Nistrului de a beneficia de 4 clase suplimentare (au fost eliminate </w:t>
            </w:r>
            <w:proofErr w:type="spellStart"/>
            <w:r>
              <w:rPr>
                <w:rFonts w:asciiTheme="majorBidi" w:hAnsiTheme="majorBidi" w:cstheme="majorBidi"/>
                <w:color w:val="000000"/>
                <w:sz w:val="28"/>
                <w:szCs w:val="28"/>
                <w:lang w:val="ro-RO" w:eastAsia="ro-RO"/>
              </w:rPr>
              <w:t>cuvintul</w:t>
            </w:r>
            <w:proofErr w:type="spellEnd"/>
            <w:r>
              <w:rPr>
                <w:rFonts w:asciiTheme="majorBidi" w:hAnsiTheme="majorBidi" w:cstheme="majorBidi"/>
                <w:color w:val="000000"/>
                <w:sz w:val="28"/>
                <w:szCs w:val="28"/>
                <w:lang w:val="ro-RO" w:eastAsia="ro-RO"/>
              </w:rPr>
              <w:t xml:space="preserve"> confuz „inclusiv” și precizate categoriile de militarii, corpul de ofițeri și subofițeri </w:t>
            </w:r>
            <w:r w:rsidRPr="00D736E5">
              <w:rPr>
                <w:rFonts w:asciiTheme="majorBidi" w:hAnsiTheme="majorBidi" w:cstheme="majorBidi"/>
                <w:color w:val="000000"/>
                <w:sz w:val="28"/>
                <w:szCs w:val="28"/>
                <w:lang w:val="ro-RO" w:eastAsia="ro-RO"/>
              </w:rPr>
              <w:t xml:space="preserve">din </w:t>
            </w:r>
            <w:r w:rsidRPr="00D736E5">
              <w:rPr>
                <w:sz w:val="28"/>
                <w:szCs w:val="28"/>
                <w:lang w:val="ro-MD"/>
              </w:rPr>
              <w:t>cadrul subdiviziunilor municipiului Bender și raionului Dubăsari ale Ministerului Afacerilor Interne</w:t>
            </w:r>
            <w:r>
              <w:rPr>
                <w:sz w:val="28"/>
                <w:szCs w:val="28"/>
                <w:lang w:val="ro-MD"/>
              </w:rPr>
              <w:t>.</w:t>
            </w:r>
          </w:p>
          <w:p w:rsidR="009F006F" w:rsidRDefault="009F006F"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În </w:t>
            </w:r>
            <w:r w:rsidRPr="009F006F">
              <w:rPr>
                <w:rFonts w:asciiTheme="majorBidi" w:hAnsiTheme="majorBidi" w:cstheme="majorBidi"/>
                <w:b/>
                <w:color w:val="000000"/>
                <w:sz w:val="28"/>
                <w:szCs w:val="28"/>
                <w:lang w:val="ro-MD" w:eastAsia="ro-RO"/>
              </w:rPr>
              <w:t>art. 16</w:t>
            </w:r>
            <w:r>
              <w:rPr>
                <w:rFonts w:asciiTheme="majorBidi" w:hAnsiTheme="majorBidi" w:cstheme="majorBidi"/>
                <w:color w:val="000000"/>
                <w:sz w:val="28"/>
                <w:szCs w:val="28"/>
                <w:lang w:val="ro-MD" w:eastAsia="ro-RO"/>
              </w:rPr>
              <w:t xml:space="preserve"> se propune de a limita volumul alocațiilor planificate pentru sporul de performanță la salariile de bază a personalului care poate beneficia de acest spor. Completarea urmează să aducă în condiții egale angajații din instituțiile bugetare cu acele autorități, unde o parte semnificativă o constituie persoanele cu funcții de demnitate publică și care nu pot beneficia de spor de performanță. Astfel, spre exemplu, în instanțe, partea de 10 la sută din salarii de bază ale judecătorilor se distribuie funcționarilor publici și personalului auxiliar, aceștia din urmă fiind în condiții mai avantajoase de salarizare.</w:t>
            </w:r>
          </w:p>
          <w:p w:rsidR="00EB5A0E" w:rsidRDefault="00EB5A0E"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În </w:t>
            </w:r>
            <w:r w:rsidRPr="00EB5A0E">
              <w:rPr>
                <w:rFonts w:asciiTheme="majorBidi" w:hAnsiTheme="majorBidi" w:cstheme="majorBidi"/>
                <w:b/>
                <w:color w:val="000000"/>
                <w:sz w:val="28"/>
                <w:szCs w:val="28"/>
                <w:lang w:val="ro-MD" w:eastAsia="ro-RO"/>
              </w:rPr>
              <w:t>art. 22</w:t>
            </w:r>
            <w:r>
              <w:rPr>
                <w:rFonts w:asciiTheme="majorBidi" w:hAnsiTheme="majorBidi" w:cstheme="majorBidi"/>
                <w:color w:val="000000"/>
                <w:sz w:val="28"/>
                <w:szCs w:val="28"/>
                <w:lang w:val="ro-MD" w:eastAsia="ro-RO"/>
              </w:rPr>
              <w:t>, la solicitarea autorităților, se introduce o precizare referitor la imposibilitatea exercitării interimatului unei funcții de conducere de către locțiitorul titular.</w:t>
            </w:r>
          </w:p>
          <w:p w:rsidR="00D736E5" w:rsidRDefault="009F006F"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 </w:t>
            </w:r>
            <w:r w:rsidR="0052287B">
              <w:rPr>
                <w:rFonts w:asciiTheme="majorBidi" w:hAnsiTheme="majorBidi" w:cstheme="majorBidi"/>
                <w:color w:val="000000"/>
                <w:sz w:val="28"/>
                <w:szCs w:val="28"/>
                <w:lang w:val="ro-MD" w:eastAsia="ro-RO"/>
              </w:rPr>
              <w:t xml:space="preserve">În </w:t>
            </w:r>
            <w:r w:rsidR="0052287B" w:rsidRPr="0052287B">
              <w:rPr>
                <w:rFonts w:asciiTheme="majorBidi" w:hAnsiTheme="majorBidi" w:cstheme="majorBidi"/>
                <w:b/>
                <w:color w:val="000000"/>
                <w:sz w:val="28"/>
                <w:szCs w:val="28"/>
                <w:lang w:val="ro-MD" w:eastAsia="ro-RO"/>
              </w:rPr>
              <w:t>art. 24</w:t>
            </w:r>
            <w:r w:rsidR="0052287B">
              <w:rPr>
                <w:rFonts w:asciiTheme="majorBidi" w:hAnsiTheme="majorBidi" w:cstheme="majorBidi"/>
                <w:color w:val="000000"/>
                <w:sz w:val="28"/>
                <w:szCs w:val="28"/>
                <w:lang w:val="ro-MD" w:eastAsia="ro-RO"/>
              </w:rPr>
              <w:t xml:space="preserve"> se revine la formularea aprobată de Guvern în proiectul de lege, care a fost modificată în varianta finală și se elimină neconcordanța cu alineatul (1) din același articol.</w:t>
            </w:r>
          </w:p>
          <w:p w:rsidR="0052287B" w:rsidRDefault="0052287B"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În </w:t>
            </w:r>
            <w:r w:rsidRPr="0052287B">
              <w:rPr>
                <w:rFonts w:asciiTheme="majorBidi" w:hAnsiTheme="majorBidi" w:cstheme="majorBidi"/>
                <w:b/>
                <w:color w:val="000000"/>
                <w:sz w:val="28"/>
                <w:szCs w:val="28"/>
                <w:lang w:val="ro-MD" w:eastAsia="ro-RO"/>
              </w:rPr>
              <w:t>art. 27</w:t>
            </w:r>
            <w:r>
              <w:rPr>
                <w:rFonts w:asciiTheme="majorBidi" w:hAnsiTheme="majorBidi" w:cstheme="majorBidi"/>
                <w:color w:val="000000"/>
                <w:sz w:val="28"/>
                <w:szCs w:val="28"/>
                <w:lang w:val="ro-MD" w:eastAsia="ro-RO"/>
              </w:rPr>
              <w:t xml:space="preserve"> se face o precizare referitor la garantarea salariului de 2000 lei inclusiv și celor care la 1 decembrie 2018 aveau contractele individuale de muncă/raporturile de serviciu suspendate pentru a se asigura că nici un angajat nu va avea salariu calculat mai mic de 2000 lei pentru o normă deplină.</w:t>
            </w:r>
          </w:p>
          <w:p w:rsidR="0052287B" w:rsidRDefault="002E27DE" w:rsidP="00E8666C">
            <w:pPr>
              <w:spacing w:after="120"/>
              <w:ind w:firstLine="567"/>
              <w:rPr>
                <w:rFonts w:asciiTheme="majorBidi" w:hAnsiTheme="majorBidi" w:cstheme="majorBidi"/>
                <w:color w:val="000000"/>
                <w:sz w:val="28"/>
                <w:szCs w:val="28"/>
                <w:lang w:val="ro-MD" w:eastAsia="ro-RO"/>
              </w:rPr>
            </w:pPr>
            <w:r w:rsidRPr="002E27DE">
              <w:rPr>
                <w:rFonts w:asciiTheme="majorBidi" w:hAnsiTheme="majorBidi" w:cstheme="majorBidi"/>
                <w:b/>
                <w:color w:val="000000"/>
                <w:sz w:val="28"/>
                <w:szCs w:val="28"/>
                <w:lang w:val="ro-MD" w:eastAsia="ro-RO"/>
              </w:rPr>
              <w:t>Art. 28</w:t>
            </w:r>
            <w:r>
              <w:rPr>
                <w:rFonts w:asciiTheme="majorBidi" w:hAnsiTheme="majorBidi" w:cstheme="majorBidi"/>
                <w:color w:val="000000"/>
                <w:sz w:val="28"/>
                <w:szCs w:val="28"/>
                <w:lang w:val="ro-MD" w:eastAsia="ro-RO"/>
              </w:rPr>
              <w:t xml:space="preserve"> privitor la premiul anual pentru rezultatele anului 2018 a devenit caduc și se propune spre abrogare.</w:t>
            </w:r>
          </w:p>
          <w:p w:rsidR="002E27DE" w:rsidRDefault="00881BAC"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În </w:t>
            </w:r>
            <w:r w:rsidRPr="00881BAC">
              <w:rPr>
                <w:rFonts w:asciiTheme="majorBidi" w:hAnsiTheme="majorBidi" w:cstheme="majorBidi"/>
                <w:b/>
                <w:color w:val="000000"/>
                <w:sz w:val="28"/>
                <w:szCs w:val="28"/>
                <w:lang w:val="ro-MD" w:eastAsia="ro-RO"/>
              </w:rPr>
              <w:t>Anexa nr. 2</w:t>
            </w:r>
            <w:r>
              <w:rPr>
                <w:rFonts w:asciiTheme="majorBidi" w:hAnsiTheme="majorBidi" w:cstheme="majorBidi"/>
                <w:color w:val="000000"/>
                <w:sz w:val="28"/>
                <w:szCs w:val="28"/>
                <w:lang w:val="ro-MD" w:eastAsia="ro-RO"/>
              </w:rPr>
              <w:t xml:space="preserve"> se modifică titlurile gradelor militare/speciale urmare modificărilor produse la Legea nr. 1245/2002 cu privire la pregătirea cetățenilor pentru apărarea Patriei și Legea nr. 162/2005 cu privire la statutul militarului, prin care în Forțele Armate au fost </w:t>
            </w:r>
            <w:r>
              <w:rPr>
                <w:rFonts w:asciiTheme="majorBidi" w:hAnsiTheme="majorBidi" w:cstheme="majorBidi"/>
                <w:color w:val="000000"/>
                <w:sz w:val="28"/>
                <w:szCs w:val="28"/>
                <w:lang w:val="ro-MD" w:eastAsia="ro-RO"/>
              </w:rPr>
              <w:lastRenderedPageBreak/>
              <w:t>introduse unele grade militare cu echivalarea acestora cu gradele militare prevăzute pentru efectivul de soldați, sergenți și subofițeri.</w:t>
            </w:r>
          </w:p>
          <w:p w:rsidR="006108ED" w:rsidRDefault="008415BE"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În </w:t>
            </w:r>
            <w:r w:rsidRPr="008415BE">
              <w:rPr>
                <w:rFonts w:asciiTheme="majorBidi" w:hAnsiTheme="majorBidi" w:cstheme="majorBidi"/>
                <w:b/>
                <w:color w:val="000000"/>
                <w:sz w:val="28"/>
                <w:szCs w:val="28"/>
                <w:lang w:val="ro-MD" w:eastAsia="ro-RO"/>
              </w:rPr>
              <w:t>Anexa nr.3</w:t>
            </w:r>
            <w:r>
              <w:rPr>
                <w:rFonts w:asciiTheme="majorBidi" w:hAnsiTheme="majorBidi" w:cstheme="majorBidi"/>
                <w:color w:val="000000"/>
                <w:sz w:val="28"/>
                <w:szCs w:val="28"/>
                <w:lang w:val="ro-MD" w:eastAsia="ro-RO"/>
              </w:rPr>
              <w:t xml:space="preserve"> se propune de a interveni în Tabelul 1 cu majorarea claselor de salarizare pentru persoanele cu funcții de demnitate publică din autoritățile publice locale</w:t>
            </w:r>
            <w:r w:rsidR="009C0C59">
              <w:rPr>
                <w:rFonts w:asciiTheme="majorBidi" w:hAnsiTheme="majorBidi" w:cstheme="majorBidi"/>
                <w:color w:val="000000"/>
                <w:sz w:val="28"/>
                <w:szCs w:val="28"/>
                <w:lang w:val="ro-MD" w:eastAsia="ro-RO"/>
              </w:rPr>
              <w:t xml:space="preserve"> cu număr de populație sub 20000 locuitori pentru a introduce o diferențiere rezonabilă între salariile conducătorilor instituțiilor din subordine (de exemplu directori case de cultură). </w:t>
            </w:r>
          </w:p>
          <w:p w:rsidR="00120263" w:rsidRDefault="008929FD"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În Tabelul 2 se introduc funcțiile asimilate provizoriu prin Ordinul ministrului finanțelor nr. 203/2018 (pozițiile A2230, A2229, A2231, A2232, A2233). La poziția A2104 se ajustează în conformitate cu Anexa nr. 1 coeficientul indicat greși.</w:t>
            </w:r>
          </w:p>
          <w:p w:rsidR="007B5EC1" w:rsidRDefault="006C5593"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În Note la Tabelul 2 se introduce o normă specială pentru angajații subdiviziunilor teritoriale ale Casei Naționale de Asigurări Sociale</w:t>
            </w:r>
            <w:r w:rsidR="007B5EC1">
              <w:rPr>
                <w:rFonts w:asciiTheme="majorBidi" w:hAnsiTheme="majorBidi" w:cstheme="majorBidi"/>
                <w:color w:val="000000"/>
                <w:sz w:val="28"/>
                <w:szCs w:val="28"/>
                <w:lang w:val="ro-MD" w:eastAsia="ro-RO"/>
              </w:rPr>
              <w:t>, potrivit căreia salariile în aceste structuri se vor stabili analogic funcțiilor identice din cadrul consiliilor municipale și raionale (cu creștere de 2 clase). Altfel spus, asupra acestora nu se aplica norma de diminuare a claselor din punctul 1 din Note.</w:t>
            </w:r>
          </w:p>
          <w:p w:rsidR="006108ED" w:rsidRDefault="007B5EC1"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În Tabelul 3, în urma reexaminării claselor și a valorilor de referință pentru angajații cabinetelor persoanelor cu funcții de demnitate publică, se propune modificarea (spre diminuare) a claselor pentru șefii de cabinet și consilier din cabinetele Președintelui Parlamentului, Președintelui Republicii Moldova și Prim-ministrului, cu majorarea concomitentă a claselor pentru alți membri ai cabinetelor. Ca rezultat, salariul stabilit pentru șeful cabinetului persoanei de rang înalt va fi la nivel de șef direcție din autoritate administrativă centrală, a asistentului – la nivel de consultant principal. </w:t>
            </w:r>
          </w:p>
          <w:p w:rsidR="006B40C4" w:rsidRDefault="006B40C4"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În </w:t>
            </w:r>
            <w:r w:rsidRPr="006B40C4">
              <w:rPr>
                <w:rFonts w:asciiTheme="majorBidi" w:hAnsiTheme="majorBidi" w:cstheme="majorBidi"/>
                <w:b/>
                <w:color w:val="000000"/>
                <w:sz w:val="28"/>
                <w:szCs w:val="28"/>
                <w:lang w:val="ro-MD" w:eastAsia="ro-RO"/>
              </w:rPr>
              <w:t>Anexa nr. 5</w:t>
            </w:r>
            <w:r>
              <w:rPr>
                <w:rFonts w:asciiTheme="majorBidi" w:hAnsiTheme="majorBidi" w:cstheme="majorBidi"/>
                <w:color w:val="000000"/>
                <w:sz w:val="28"/>
                <w:szCs w:val="28"/>
                <w:lang w:val="ro-MD" w:eastAsia="ro-RO"/>
              </w:rPr>
              <w:t xml:space="preserve"> </w:t>
            </w:r>
            <w:r w:rsidR="007B5EC1">
              <w:rPr>
                <w:rFonts w:asciiTheme="majorBidi" w:hAnsiTheme="majorBidi" w:cstheme="majorBidi"/>
                <w:color w:val="000000"/>
                <w:sz w:val="28"/>
                <w:szCs w:val="28"/>
                <w:lang w:val="ro-MD" w:eastAsia="ro-RO"/>
              </w:rPr>
              <w:t xml:space="preserve"> </w:t>
            </w:r>
            <w:r>
              <w:rPr>
                <w:rFonts w:asciiTheme="majorBidi" w:hAnsiTheme="majorBidi" w:cstheme="majorBidi"/>
                <w:color w:val="000000"/>
                <w:sz w:val="28"/>
                <w:szCs w:val="28"/>
                <w:lang w:val="ro-MD" w:eastAsia="ro-RO"/>
              </w:rPr>
              <w:t>se introdus pozițiile asimilate provizoriu (codurile C3055, C3056, C3058). Concomitent, coeficienții pentru codurile C3032, C3037 se aduc în concordanță cu Anexa nr. 1.</w:t>
            </w:r>
          </w:p>
          <w:p w:rsidR="006B40C4" w:rsidRDefault="006B40C4"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La propunerea Ministerului Apărării, clasele de salarizare pentru unele funcții se ajustează și se egalează cu funcțiile similare din ordine publică, la fel ca și se prezintă în redacție nouă clasele de salarizare pentru funcțiile cu statut special fără grade de ofițeri, acestea fiind ajustate la ultimele modificări în domeniul apărării naționale.</w:t>
            </w:r>
          </w:p>
          <w:p w:rsidR="006108ED" w:rsidRDefault="00250630" w:rsidP="00E8666C">
            <w:pPr>
              <w:spacing w:after="120"/>
              <w:ind w:firstLine="567"/>
              <w:rPr>
                <w:rFonts w:asciiTheme="majorBidi" w:hAnsiTheme="majorBidi" w:cstheme="majorBidi"/>
                <w:color w:val="000000"/>
                <w:sz w:val="28"/>
                <w:szCs w:val="28"/>
                <w:lang w:val="ro-MD" w:eastAsia="ro-RO"/>
              </w:rPr>
            </w:pPr>
            <w:r w:rsidRPr="002B1808">
              <w:rPr>
                <w:rFonts w:asciiTheme="majorBidi" w:hAnsiTheme="majorBidi" w:cstheme="majorBidi"/>
                <w:b/>
                <w:color w:val="000000"/>
                <w:sz w:val="28"/>
                <w:szCs w:val="28"/>
                <w:lang w:val="ro-MD" w:eastAsia="ro-RO"/>
              </w:rPr>
              <w:t>Anexa nr. 6</w:t>
            </w:r>
            <w:r>
              <w:rPr>
                <w:rFonts w:asciiTheme="majorBidi" w:hAnsiTheme="majorBidi" w:cstheme="majorBidi"/>
                <w:color w:val="000000"/>
                <w:sz w:val="28"/>
                <w:szCs w:val="28"/>
                <w:lang w:val="ro-MD" w:eastAsia="ro-RO"/>
              </w:rPr>
              <w:t xml:space="preserve"> a fost completată cu pozițiile asimilate provizoriu (D3188, D3189, D3190, D3192, D3201, D3202</w:t>
            </w:r>
            <w:r w:rsidR="00556DC3">
              <w:rPr>
                <w:rFonts w:asciiTheme="majorBidi" w:hAnsiTheme="majorBidi" w:cstheme="majorBidi"/>
                <w:color w:val="000000"/>
                <w:sz w:val="28"/>
                <w:szCs w:val="28"/>
                <w:lang w:val="ro-MD" w:eastAsia="ro-RO"/>
              </w:rPr>
              <w:t>, D3193, D3194, D3195, D3196, D3197, D3198</w:t>
            </w:r>
            <w:r>
              <w:rPr>
                <w:rFonts w:asciiTheme="majorBidi" w:hAnsiTheme="majorBidi" w:cstheme="majorBidi"/>
                <w:color w:val="000000"/>
                <w:sz w:val="28"/>
                <w:szCs w:val="28"/>
                <w:lang w:val="ro-MD" w:eastAsia="ro-RO"/>
              </w:rPr>
              <w:t>)</w:t>
            </w:r>
            <w:r w:rsidR="002B1808">
              <w:rPr>
                <w:rFonts w:asciiTheme="majorBidi" w:hAnsiTheme="majorBidi" w:cstheme="majorBidi"/>
                <w:color w:val="000000"/>
                <w:sz w:val="28"/>
                <w:szCs w:val="28"/>
                <w:lang w:val="ro-MD" w:eastAsia="ro-RO"/>
              </w:rPr>
              <w:t>. Totodată, pentru a crea dezechilibru între subofițerii din apărare, ordine publică, sistemul penitenciar, se propune majorarea clasei de salarizare pentru unele poziții cu risc sporit în activitate, dar poziționate la nivelul jos în ierarhie (pompieri, scafandri, carabinieri, etc.).</w:t>
            </w:r>
          </w:p>
          <w:p w:rsidR="006B40C4" w:rsidRDefault="00595DED"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Compartimentul </w:t>
            </w:r>
            <w:r w:rsidRPr="00595DED">
              <w:rPr>
                <w:rFonts w:asciiTheme="majorBidi" w:hAnsiTheme="majorBidi" w:cstheme="majorBidi"/>
                <w:i/>
                <w:color w:val="000000"/>
                <w:sz w:val="28"/>
                <w:szCs w:val="28"/>
                <w:lang w:val="ro-MD" w:eastAsia="ro-RO"/>
              </w:rPr>
              <w:t>Sistemul administrației penitenciare</w:t>
            </w:r>
            <w:r>
              <w:rPr>
                <w:rFonts w:asciiTheme="majorBidi" w:hAnsiTheme="majorBidi" w:cstheme="majorBidi"/>
                <w:color w:val="000000"/>
                <w:sz w:val="28"/>
                <w:szCs w:val="28"/>
                <w:lang w:val="ro-MD" w:eastAsia="ro-RO"/>
              </w:rPr>
              <w:t xml:space="preserve"> a fost reconceptualizat totalmente, fiind ajustate titlurile de funcții (ofițeri și agenți) și alineate clasele la funcțiile similare din ordine publică. </w:t>
            </w:r>
          </w:p>
          <w:p w:rsidR="008929FD" w:rsidRDefault="006B40C4"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lastRenderedPageBreak/>
              <w:t xml:space="preserve">  </w:t>
            </w:r>
            <w:r w:rsidR="005136A0">
              <w:rPr>
                <w:rFonts w:asciiTheme="majorBidi" w:hAnsiTheme="majorBidi" w:cstheme="majorBidi"/>
                <w:color w:val="000000"/>
                <w:sz w:val="28"/>
                <w:szCs w:val="28"/>
                <w:lang w:val="ro-MD" w:eastAsia="ro-RO"/>
              </w:rPr>
              <w:t xml:space="preserve">În </w:t>
            </w:r>
            <w:r w:rsidR="005136A0" w:rsidRPr="005136A0">
              <w:rPr>
                <w:rFonts w:asciiTheme="majorBidi" w:hAnsiTheme="majorBidi" w:cstheme="majorBidi"/>
                <w:b/>
                <w:color w:val="000000"/>
                <w:sz w:val="28"/>
                <w:szCs w:val="28"/>
                <w:lang w:val="ro-MD" w:eastAsia="ro-RO"/>
              </w:rPr>
              <w:t>Anexa nr. 7</w:t>
            </w:r>
            <w:r w:rsidR="005136A0">
              <w:rPr>
                <w:rFonts w:asciiTheme="majorBidi" w:hAnsiTheme="majorBidi" w:cstheme="majorBidi"/>
                <w:color w:val="000000"/>
                <w:sz w:val="28"/>
                <w:szCs w:val="28"/>
                <w:lang w:val="ro-MD" w:eastAsia="ro-RO"/>
              </w:rPr>
              <w:t xml:space="preserve">, fiind </w:t>
            </w:r>
            <w:r w:rsidR="006108ED">
              <w:rPr>
                <w:rFonts w:asciiTheme="majorBidi" w:hAnsiTheme="majorBidi" w:cstheme="majorBidi"/>
                <w:color w:val="000000"/>
                <w:sz w:val="28"/>
                <w:szCs w:val="28"/>
                <w:lang w:val="ro-MD" w:eastAsia="ro-RO"/>
              </w:rPr>
              <w:t>abordată</w:t>
            </w:r>
            <w:r w:rsidR="005136A0">
              <w:rPr>
                <w:rFonts w:asciiTheme="majorBidi" w:hAnsiTheme="majorBidi" w:cstheme="majorBidi"/>
                <w:color w:val="000000"/>
                <w:sz w:val="28"/>
                <w:szCs w:val="28"/>
                <w:lang w:val="ro-MD" w:eastAsia="ro-RO"/>
              </w:rPr>
              <w:t xml:space="preserve"> problema neconcordanței salariilor persoanelor cu funcții de conducere în instituții de </w:t>
            </w:r>
            <w:proofErr w:type="spellStart"/>
            <w:r w:rsidR="005136A0">
              <w:rPr>
                <w:rFonts w:asciiTheme="majorBidi" w:hAnsiTheme="majorBidi" w:cstheme="majorBidi"/>
                <w:color w:val="000000"/>
                <w:sz w:val="28"/>
                <w:szCs w:val="28"/>
                <w:lang w:val="ro-MD" w:eastAsia="ro-RO"/>
              </w:rPr>
              <w:t>învățămînt</w:t>
            </w:r>
            <w:proofErr w:type="spellEnd"/>
            <w:r w:rsidR="005136A0">
              <w:rPr>
                <w:rFonts w:asciiTheme="majorBidi" w:hAnsiTheme="majorBidi" w:cstheme="majorBidi"/>
                <w:color w:val="000000"/>
                <w:sz w:val="28"/>
                <w:szCs w:val="28"/>
                <w:lang w:val="ro-MD" w:eastAsia="ro-RO"/>
              </w:rPr>
              <w:t xml:space="preserve"> general</w:t>
            </w:r>
            <w:r w:rsidR="006108ED">
              <w:rPr>
                <w:rFonts w:asciiTheme="majorBidi" w:hAnsiTheme="majorBidi" w:cstheme="majorBidi"/>
                <w:color w:val="000000"/>
                <w:sz w:val="28"/>
                <w:szCs w:val="28"/>
                <w:lang w:val="ro-MD" w:eastAsia="ro-RO"/>
              </w:rPr>
              <w:t xml:space="preserve"> cu salariile personalului didactic, se propune de a majora clasele de salarizare pentru directori și, respectiv, pentru directori-adjuncți de liceu, instituții de educație timpurie, </w:t>
            </w:r>
            <w:proofErr w:type="spellStart"/>
            <w:r w:rsidR="006108ED">
              <w:rPr>
                <w:rFonts w:asciiTheme="majorBidi" w:hAnsiTheme="majorBidi" w:cstheme="majorBidi"/>
                <w:color w:val="000000"/>
                <w:sz w:val="28"/>
                <w:szCs w:val="28"/>
                <w:lang w:val="ro-MD" w:eastAsia="ro-RO"/>
              </w:rPr>
              <w:t>învățămînt</w:t>
            </w:r>
            <w:proofErr w:type="spellEnd"/>
            <w:r w:rsidR="006108ED">
              <w:rPr>
                <w:rFonts w:asciiTheme="majorBidi" w:hAnsiTheme="majorBidi" w:cstheme="majorBidi"/>
                <w:color w:val="000000"/>
                <w:sz w:val="28"/>
                <w:szCs w:val="28"/>
                <w:lang w:val="ro-MD" w:eastAsia="ro-RO"/>
              </w:rPr>
              <w:t xml:space="preserve"> primar și gimnazial. Concomitent, se egalează clasele de salarizare pentru educatori educație timpurie, învățători și profesori (56).</w:t>
            </w:r>
          </w:p>
          <w:p w:rsidR="006108ED" w:rsidRDefault="006108ED"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Suplimentar, pentru funcțiile de dădacă și asistent al educatorului se propune majorarea claselor cu 2 și, respectiv, 4 clase.</w:t>
            </w:r>
          </w:p>
          <w:p w:rsidR="006108ED" w:rsidRDefault="00651020"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În domeniul culturii </w:t>
            </w:r>
            <w:r w:rsidRPr="00651020">
              <w:rPr>
                <w:rFonts w:asciiTheme="majorBidi" w:hAnsiTheme="majorBidi" w:cstheme="majorBidi"/>
                <w:b/>
                <w:color w:val="000000"/>
                <w:sz w:val="28"/>
                <w:szCs w:val="28"/>
                <w:lang w:val="ro-MD" w:eastAsia="ro-RO"/>
              </w:rPr>
              <w:t>(Anexa nr. 8)</w:t>
            </w:r>
            <w:r>
              <w:rPr>
                <w:rFonts w:asciiTheme="majorBidi" w:hAnsiTheme="majorBidi" w:cstheme="majorBidi"/>
                <w:color w:val="000000"/>
                <w:sz w:val="28"/>
                <w:szCs w:val="28"/>
                <w:lang w:val="ro-MD" w:eastAsia="ro-RO"/>
              </w:rPr>
              <w:t xml:space="preserve"> se propune de a interveni în clasele unor funcții (bibliotecari, muzeografi, etc.), </w:t>
            </w:r>
            <w:r w:rsidR="006D1F0C">
              <w:rPr>
                <w:rFonts w:asciiTheme="majorBidi" w:hAnsiTheme="majorBidi" w:cstheme="majorBidi"/>
                <w:color w:val="000000"/>
                <w:sz w:val="28"/>
                <w:szCs w:val="28"/>
                <w:lang w:val="ro-MD" w:eastAsia="ro-RO"/>
              </w:rPr>
              <w:t xml:space="preserve">salariile cărora </w:t>
            </w:r>
            <w:proofErr w:type="spellStart"/>
            <w:r w:rsidR="006D1F0C">
              <w:rPr>
                <w:rFonts w:asciiTheme="majorBidi" w:hAnsiTheme="majorBidi" w:cstheme="majorBidi"/>
                <w:color w:val="000000"/>
                <w:sz w:val="28"/>
                <w:szCs w:val="28"/>
                <w:lang w:val="ro-MD" w:eastAsia="ro-RO"/>
              </w:rPr>
              <w:t>sînt</w:t>
            </w:r>
            <w:proofErr w:type="spellEnd"/>
            <w:r w:rsidR="006D1F0C">
              <w:rPr>
                <w:rFonts w:asciiTheme="majorBidi" w:hAnsiTheme="majorBidi" w:cstheme="majorBidi"/>
                <w:color w:val="000000"/>
                <w:sz w:val="28"/>
                <w:szCs w:val="28"/>
                <w:lang w:val="ro-MD" w:eastAsia="ro-RO"/>
              </w:rPr>
              <w:t xml:space="preserve"> inferioare nivelului de pregătire necesar pentru exercitarea atribuțiilor. De majorare vor beneficia</w:t>
            </w:r>
            <w:r>
              <w:rPr>
                <w:rFonts w:asciiTheme="majorBidi" w:hAnsiTheme="majorBidi" w:cstheme="majorBidi"/>
                <w:color w:val="000000"/>
                <w:sz w:val="28"/>
                <w:szCs w:val="28"/>
                <w:lang w:val="ro-MD" w:eastAsia="ro-RO"/>
              </w:rPr>
              <w:t xml:space="preserve"> peste 2570 unități</w:t>
            </w:r>
            <w:r w:rsidR="006D1F0C">
              <w:rPr>
                <w:rFonts w:asciiTheme="majorBidi" w:hAnsiTheme="majorBidi" w:cstheme="majorBidi"/>
                <w:color w:val="000000"/>
                <w:sz w:val="28"/>
                <w:szCs w:val="28"/>
                <w:lang w:val="ro-MD" w:eastAsia="ro-RO"/>
              </w:rPr>
              <w:t xml:space="preserve"> de personal din autoritățile publice centrale și locale</w:t>
            </w:r>
            <w:r>
              <w:rPr>
                <w:rFonts w:asciiTheme="majorBidi" w:hAnsiTheme="majorBidi" w:cstheme="majorBidi"/>
                <w:color w:val="000000"/>
                <w:sz w:val="28"/>
                <w:szCs w:val="28"/>
                <w:lang w:val="ro-MD" w:eastAsia="ro-RO"/>
              </w:rPr>
              <w:t xml:space="preserve">. </w:t>
            </w:r>
          </w:p>
          <w:p w:rsidR="003B0271" w:rsidRDefault="003B0271"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Totodată, în lege se introduce dreptul fondatorului de a numi conducători ai instituțiilor de cultură cu normă parțială (pe fracțiune de normă), în caz dacă nu este necesară activitatea pe o normă deplină. Aceasta ar soluționa problema în teritoriu, </w:t>
            </w:r>
            <w:proofErr w:type="spellStart"/>
            <w:r>
              <w:rPr>
                <w:rFonts w:asciiTheme="majorBidi" w:hAnsiTheme="majorBidi" w:cstheme="majorBidi"/>
                <w:color w:val="000000"/>
                <w:sz w:val="28"/>
                <w:szCs w:val="28"/>
                <w:lang w:val="ro-MD" w:eastAsia="ro-RO"/>
              </w:rPr>
              <w:t>cînd</w:t>
            </w:r>
            <w:proofErr w:type="spellEnd"/>
            <w:r>
              <w:rPr>
                <w:rFonts w:asciiTheme="majorBidi" w:hAnsiTheme="majorBidi" w:cstheme="majorBidi"/>
                <w:color w:val="000000"/>
                <w:sz w:val="28"/>
                <w:szCs w:val="28"/>
                <w:lang w:val="ro-MD" w:eastAsia="ro-RO"/>
              </w:rPr>
              <w:t xml:space="preserve"> personalul instituțiilor de cultură nu este încadrat cu funcția de director (șef), motivul fiind activități limitate, necorespunzătoare salariilor stabilite.</w:t>
            </w:r>
          </w:p>
          <w:p w:rsidR="003B0271" w:rsidRDefault="003B0271"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 </w:t>
            </w:r>
            <w:r w:rsidR="00101D9F" w:rsidRPr="002B1808">
              <w:rPr>
                <w:rFonts w:asciiTheme="majorBidi" w:hAnsiTheme="majorBidi" w:cstheme="majorBidi"/>
                <w:b/>
                <w:color w:val="000000"/>
                <w:sz w:val="28"/>
                <w:szCs w:val="28"/>
                <w:lang w:val="ro-MD" w:eastAsia="ro-RO"/>
              </w:rPr>
              <w:t xml:space="preserve">Anexa nr. </w:t>
            </w:r>
            <w:r w:rsidR="00101D9F">
              <w:rPr>
                <w:rFonts w:asciiTheme="majorBidi" w:hAnsiTheme="majorBidi" w:cstheme="majorBidi"/>
                <w:b/>
                <w:color w:val="000000"/>
                <w:sz w:val="28"/>
                <w:szCs w:val="28"/>
                <w:lang w:val="ro-MD" w:eastAsia="ro-RO"/>
              </w:rPr>
              <w:t xml:space="preserve">9 </w:t>
            </w:r>
            <w:r w:rsidR="00101D9F">
              <w:rPr>
                <w:rFonts w:asciiTheme="majorBidi" w:hAnsiTheme="majorBidi" w:cstheme="majorBidi"/>
                <w:color w:val="000000"/>
                <w:sz w:val="28"/>
                <w:szCs w:val="28"/>
                <w:lang w:val="ro-MD" w:eastAsia="ro-RO"/>
              </w:rPr>
              <w:t>a fost</w:t>
            </w:r>
            <w:r w:rsidR="00101D9F">
              <w:rPr>
                <w:rFonts w:asciiTheme="majorBidi" w:hAnsiTheme="majorBidi" w:cstheme="majorBidi"/>
                <w:b/>
                <w:color w:val="000000"/>
                <w:sz w:val="28"/>
                <w:szCs w:val="28"/>
                <w:lang w:val="ro-MD" w:eastAsia="ro-RO"/>
              </w:rPr>
              <w:t xml:space="preserve"> </w:t>
            </w:r>
            <w:r w:rsidR="00101D9F">
              <w:rPr>
                <w:rFonts w:asciiTheme="majorBidi" w:hAnsiTheme="majorBidi" w:cstheme="majorBidi"/>
                <w:color w:val="000000"/>
                <w:sz w:val="28"/>
                <w:szCs w:val="28"/>
                <w:lang w:val="ro-MD" w:eastAsia="ro-RO"/>
              </w:rPr>
              <w:t xml:space="preserve">completată cu pozițiile asimilate provizoriu (G6044, G6045, G6046). Suplimentar, în legătură cu modificarea clasei de salarizare pentru funcția „dădacă” din </w:t>
            </w:r>
            <w:proofErr w:type="spellStart"/>
            <w:r w:rsidR="00101D9F">
              <w:rPr>
                <w:rFonts w:asciiTheme="majorBidi" w:hAnsiTheme="majorBidi" w:cstheme="majorBidi"/>
                <w:color w:val="000000"/>
                <w:sz w:val="28"/>
                <w:szCs w:val="28"/>
                <w:lang w:val="ro-MD" w:eastAsia="ro-RO"/>
              </w:rPr>
              <w:t>învățămînt</w:t>
            </w:r>
            <w:proofErr w:type="spellEnd"/>
            <w:r w:rsidR="00101D9F">
              <w:rPr>
                <w:rFonts w:asciiTheme="majorBidi" w:hAnsiTheme="majorBidi" w:cstheme="majorBidi"/>
                <w:color w:val="000000"/>
                <w:sz w:val="28"/>
                <w:szCs w:val="28"/>
                <w:lang w:val="ro-MD" w:eastAsia="ro-RO"/>
              </w:rPr>
              <w:t>, se propune majorarea respectivă și la pozițiile G6038 Dădacă și G6039 Lucrător social.</w:t>
            </w:r>
          </w:p>
          <w:p w:rsidR="00101D9F" w:rsidRDefault="00101D9F" w:rsidP="00E8666C">
            <w:pPr>
              <w:spacing w:after="120"/>
              <w:ind w:firstLine="567"/>
              <w:rPr>
                <w:rFonts w:asciiTheme="majorBidi" w:hAnsiTheme="majorBidi" w:cstheme="majorBidi"/>
                <w:color w:val="000000"/>
                <w:sz w:val="28"/>
                <w:szCs w:val="28"/>
                <w:lang w:val="ro-MD" w:eastAsia="ro-RO"/>
              </w:rPr>
            </w:pPr>
            <w:r>
              <w:rPr>
                <w:rFonts w:asciiTheme="majorBidi" w:hAnsiTheme="majorBidi" w:cstheme="majorBidi"/>
                <w:color w:val="000000"/>
                <w:sz w:val="28"/>
                <w:szCs w:val="28"/>
                <w:lang w:val="ro-MD" w:eastAsia="ro-RO"/>
              </w:rPr>
              <w:t xml:space="preserve">Personalul medical al Agenției de transplant se egalează </w:t>
            </w:r>
            <w:r w:rsidRPr="00101D9F">
              <w:rPr>
                <w:rFonts w:asciiTheme="majorBidi" w:hAnsiTheme="majorBidi" w:cstheme="majorBidi"/>
                <w:color w:val="000000"/>
                <w:sz w:val="28"/>
                <w:szCs w:val="28"/>
                <w:lang w:val="ro-MD" w:eastAsia="ro-RO"/>
              </w:rPr>
              <w:t xml:space="preserve">cu </w:t>
            </w:r>
            <w:r>
              <w:rPr>
                <w:rFonts w:asciiTheme="majorBidi" w:hAnsiTheme="majorBidi" w:cstheme="majorBidi"/>
                <w:color w:val="000000"/>
                <w:sz w:val="28"/>
                <w:szCs w:val="28"/>
                <w:lang w:val="ro-MD" w:eastAsia="ro-RO"/>
              </w:rPr>
              <w:t xml:space="preserve">personalul </w:t>
            </w:r>
            <w:r w:rsidRPr="00101D9F">
              <w:rPr>
                <w:sz w:val="28"/>
                <w:szCs w:val="28"/>
                <w:lang w:val="ro-MD"/>
              </w:rPr>
              <w:t>Centrului National de Transfuzie a Sângelui</w:t>
            </w:r>
            <w:r>
              <w:rPr>
                <w:sz w:val="28"/>
                <w:szCs w:val="28"/>
                <w:lang w:val="ro-MD"/>
              </w:rPr>
              <w:t xml:space="preserve"> și a</w:t>
            </w:r>
            <w:r w:rsidRPr="00101D9F">
              <w:rPr>
                <w:sz w:val="28"/>
                <w:szCs w:val="28"/>
                <w:lang w:val="ro-MD"/>
              </w:rPr>
              <w:t xml:space="preserve"> Consiliului National pentru Determinarea Dizabilității și Capacității de Muncă</w:t>
            </w:r>
            <w:r>
              <w:rPr>
                <w:rFonts w:asciiTheme="majorBidi" w:hAnsiTheme="majorBidi" w:cstheme="majorBidi"/>
                <w:color w:val="000000"/>
                <w:sz w:val="28"/>
                <w:szCs w:val="28"/>
                <w:lang w:val="ro-MD" w:eastAsia="ro-RO"/>
              </w:rPr>
              <w:t>, fiind prevăzute 3 clase suplimentare de salarizare.</w:t>
            </w:r>
          </w:p>
          <w:p w:rsidR="00101D9F" w:rsidRDefault="00101D9F" w:rsidP="00E8666C">
            <w:pPr>
              <w:spacing w:after="120"/>
              <w:ind w:firstLine="567"/>
              <w:rPr>
                <w:sz w:val="28"/>
                <w:szCs w:val="28"/>
                <w:lang w:val="ro-MD"/>
              </w:rPr>
            </w:pPr>
            <w:r w:rsidRPr="00101D9F">
              <w:rPr>
                <w:rFonts w:asciiTheme="majorBidi" w:hAnsiTheme="majorBidi" w:cstheme="majorBidi"/>
                <w:color w:val="000000"/>
                <w:sz w:val="28"/>
                <w:szCs w:val="28"/>
                <w:lang w:val="ro-MD" w:eastAsia="ro-RO"/>
              </w:rPr>
              <w:t>Anexa se completează cu norma existentă în legislația anterioară privind salarizarea</w:t>
            </w:r>
            <w:r>
              <w:rPr>
                <w:rFonts w:asciiTheme="majorBidi" w:hAnsiTheme="majorBidi" w:cstheme="majorBidi"/>
                <w:color w:val="000000"/>
                <w:sz w:val="28"/>
                <w:szCs w:val="28"/>
                <w:lang w:val="ro-MD" w:eastAsia="ro-RO"/>
              </w:rPr>
              <w:t xml:space="preserve"> </w:t>
            </w:r>
            <w:r w:rsidRPr="00101D9F">
              <w:rPr>
                <w:sz w:val="28"/>
                <w:szCs w:val="28"/>
                <w:lang w:val="ro-MD"/>
              </w:rPr>
              <w:t xml:space="preserve">personalului încadrat în instituțiile medico-sanitare și de asistență socială, amplasate în afara hotarelor Republicii Moldova, </w:t>
            </w:r>
            <w:r>
              <w:rPr>
                <w:sz w:val="28"/>
                <w:szCs w:val="28"/>
                <w:lang w:val="ro-MD"/>
              </w:rPr>
              <w:t xml:space="preserve">care </w:t>
            </w:r>
            <w:r w:rsidRPr="00101D9F">
              <w:rPr>
                <w:sz w:val="28"/>
                <w:szCs w:val="28"/>
                <w:lang w:val="ro-MD"/>
              </w:rPr>
              <w:t>se efectuează în modul și în condițiile de retribuire, stabilite în țările angajatoare pentru categoriile respective de salariați</w:t>
            </w:r>
            <w:r>
              <w:rPr>
                <w:sz w:val="28"/>
                <w:szCs w:val="28"/>
                <w:lang w:val="ro-MD"/>
              </w:rPr>
              <w:t>.</w:t>
            </w:r>
          </w:p>
          <w:p w:rsidR="00101D9F" w:rsidRPr="00101D9F" w:rsidRDefault="00101D9F" w:rsidP="00E8666C">
            <w:pPr>
              <w:spacing w:after="120"/>
              <w:ind w:firstLine="567"/>
              <w:rPr>
                <w:rFonts w:asciiTheme="majorBidi" w:hAnsiTheme="majorBidi" w:cstheme="majorBidi"/>
                <w:color w:val="000000"/>
                <w:sz w:val="28"/>
                <w:szCs w:val="28"/>
                <w:lang w:val="ro-MD" w:eastAsia="ro-RO"/>
              </w:rPr>
            </w:pPr>
            <w:r w:rsidRPr="00101D9F">
              <w:rPr>
                <w:rFonts w:asciiTheme="majorBidi" w:hAnsiTheme="majorBidi" w:cstheme="majorBidi"/>
                <w:color w:val="000000"/>
                <w:sz w:val="28"/>
                <w:szCs w:val="28"/>
                <w:lang w:val="ro-MD" w:eastAsia="ro-RO"/>
              </w:rPr>
              <w:t xml:space="preserve">  </w:t>
            </w:r>
            <w:r w:rsidRPr="002B1808">
              <w:rPr>
                <w:rFonts w:asciiTheme="majorBidi" w:hAnsiTheme="majorBidi" w:cstheme="majorBidi"/>
                <w:b/>
                <w:color w:val="000000"/>
                <w:sz w:val="28"/>
                <w:szCs w:val="28"/>
                <w:lang w:val="ro-MD" w:eastAsia="ro-RO"/>
              </w:rPr>
              <w:t xml:space="preserve">Anexa nr. </w:t>
            </w:r>
            <w:r>
              <w:rPr>
                <w:rFonts w:asciiTheme="majorBidi" w:hAnsiTheme="majorBidi" w:cstheme="majorBidi"/>
                <w:b/>
                <w:color w:val="000000"/>
                <w:sz w:val="28"/>
                <w:szCs w:val="28"/>
                <w:lang w:val="ro-MD" w:eastAsia="ro-RO"/>
              </w:rPr>
              <w:t>10</w:t>
            </w:r>
            <w:r>
              <w:rPr>
                <w:rFonts w:asciiTheme="majorBidi" w:hAnsiTheme="majorBidi" w:cstheme="majorBidi"/>
                <w:color w:val="000000"/>
                <w:sz w:val="28"/>
                <w:szCs w:val="28"/>
                <w:lang w:val="ro-MD" w:eastAsia="ro-RO"/>
              </w:rPr>
              <w:t xml:space="preserve"> a fost completată cu pozițiile asimilate provizoriu (H6190, H6191, H6186, H6187, H6188, H6192). Totodată, se propune majorarea claselor de salarizare pentru pozițiile cu codurile H6123 Bucătar-șef și H6147 Bucătar, cu 2 și 4 clase respectiv. </w:t>
            </w:r>
          </w:p>
          <w:p w:rsidR="00BA72A9" w:rsidRPr="00C540CD" w:rsidRDefault="00BA72A9" w:rsidP="005912E6">
            <w:pPr>
              <w:ind w:firstLine="567"/>
              <w:rPr>
                <w:rFonts w:eastAsia="Calibri"/>
                <w:sz w:val="28"/>
                <w:szCs w:val="28"/>
                <w:lang w:val="ro-MD"/>
              </w:rPr>
            </w:pPr>
          </w:p>
        </w:tc>
      </w:tr>
      <w:tr w:rsidR="00962FD8" w:rsidRPr="00C540CD" w:rsidTr="004F541F">
        <w:tc>
          <w:tcPr>
            <w:tcW w:w="5000" w:type="pct"/>
            <w:shd w:val="clear" w:color="auto" w:fill="D9D9D9"/>
          </w:tcPr>
          <w:p w:rsidR="00962FD8" w:rsidRPr="00C540CD" w:rsidRDefault="00962FD8" w:rsidP="00201CBA">
            <w:pPr>
              <w:pStyle w:val="a3"/>
              <w:numPr>
                <w:ilvl w:val="0"/>
                <w:numId w:val="1"/>
              </w:numPr>
              <w:tabs>
                <w:tab w:val="left" w:pos="884"/>
              </w:tabs>
              <w:spacing w:after="120"/>
              <w:ind w:left="0" w:firstLine="890"/>
              <w:rPr>
                <w:b/>
                <w:sz w:val="28"/>
                <w:szCs w:val="28"/>
                <w:lang w:val="ro-MD"/>
              </w:rPr>
            </w:pPr>
            <w:r w:rsidRPr="00C540CD">
              <w:rPr>
                <w:b/>
                <w:sz w:val="28"/>
                <w:szCs w:val="28"/>
                <w:lang w:val="ro-MD"/>
              </w:rPr>
              <w:lastRenderedPageBreak/>
              <w:t xml:space="preserve">Fundamentarea </w:t>
            </w:r>
            <w:proofErr w:type="spellStart"/>
            <w:r w:rsidRPr="00C540CD">
              <w:rPr>
                <w:b/>
                <w:sz w:val="28"/>
                <w:szCs w:val="28"/>
                <w:lang w:val="ro-MD"/>
              </w:rPr>
              <w:t>economico</w:t>
            </w:r>
            <w:proofErr w:type="spellEnd"/>
            <w:r w:rsidRPr="00C540CD">
              <w:rPr>
                <w:b/>
                <w:sz w:val="28"/>
                <w:szCs w:val="28"/>
                <w:lang w:val="ro-MD"/>
              </w:rPr>
              <w:t>-financiară</w:t>
            </w:r>
          </w:p>
        </w:tc>
      </w:tr>
      <w:tr w:rsidR="00927AB8" w:rsidRPr="00C540CD" w:rsidTr="004F3D57">
        <w:trPr>
          <w:trHeight w:val="550"/>
        </w:trPr>
        <w:tc>
          <w:tcPr>
            <w:tcW w:w="5000" w:type="pct"/>
            <w:hideMark/>
          </w:tcPr>
          <w:p w:rsidR="00927AB8" w:rsidRPr="00C540CD" w:rsidRDefault="00EA3D2D" w:rsidP="00F3756F">
            <w:pPr>
              <w:ind w:firstLine="883"/>
              <w:rPr>
                <w:rFonts w:eastAsiaTheme="minorHAnsi"/>
                <w:sz w:val="28"/>
                <w:szCs w:val="28"/>
                <w:lang w:val="ro-MD"/>
              </w:rPr>
            </w:pPr>
            <w:r w:rsidRPr="00C540CD">
              <w:rPr>
                <w:rFonts w:eastAsiaTheme="minorHAnsi"/>
                <w:sz w:val="28"/>
                <w:szCs w:val="28"/>
                <w:lang w:val="ro-MD"/>
              </w:rPr>
              <w:t xml:space="preserve">Proiectul implică </w:t>
            </w:r>
            <w:r w:rsidR="009A0846">
              <w:rPr>
                <w:rFonts w:eastAsiaTheme="minorHAnsi"/>
                <w:sz w:val="28"/>
                <w:szCs w:val="28"/>
                <w:lang w:val="ro-MD"/>
              </w:rPr>
              <w:t>c</w:t>
            </w:r>
            <w:r w:rsidRPr="00C540CD">
              <w:rPr>
                <w:rFonts w:eastAsiaTheme="minorHAnsi"/>
                <w:sz w:val="28"/>
                <w:szCs w:val="28"/>
                <w:lang w:val="ro-MD"/>
              </w:rPr>
              <w:t>osturi financiare</w:t>
            </w:r>
            <w:r w:rsidR="001F7726">
              <w:rPr>
                <w:rFonts w:eastAsiaTheme="minorHAnsi"/>
                <w:sz w:val="28"/>
                <w:szCs w:val="28"/>
                <w:lang w:val="ro-MD"/>
              </w:rPr>
              <w:t xml:space="preserve"> estimate la 402,2 mil. lei în calcul anual. Cheltuielile respective </w:t>
            </w:r>
            <w:proofErr w:type="spellStart"/>
            <w:r w:rsidR="001F7726">
              <w:rPr>
                <w:rFonts w:eastAsiaTheme="minorHAnsi"/>
                <w:sz w:val="28"/>
                <w:szCs w:val="28"/>
                <w:lang w:val="ro-MD"/>
              </w:rPr>
              <w:t>sînt</w:t>
            </w:r>
            <w:proofErr w:type="spellEnd"/>
            <w:r w:rsidR="001F7726">
              <w:rPr>
                <w:rFonts w:eastAsiaTheme="minorHAnsi"/>
                <w:sz w:val="28"/>
                <w:szCs w:val="28"/>
                <w:lang w:val="ro-MD"/>
              </w:rPr>
              <w:t xml:space="preserve"> prevăzute </w:t>
            </w:r>
            <w:r w:rsidR="009A0846">
              <w:rPr>
                <w:rFonts w:eastAsiaTheme="minorHAnsi"/>
                <w:sz w:val="28"/>
                <w:szCs w:val="28"/>
                <w:lang w:val="ro-MD"/>
              </w:rPr>
              <w:t>în proiectul bugetului de stat pe anul 2020 și pe termen mediu 2021-2022</w:t>
            </w:r>
            <w:r w:rsidRPr="00C540CD">
              <w:rPr>
                <w:rFonts w:eastAsiaTheme="minorHAnsi"/>
                <w:sz w:val="28"/>
                <w:szCs w:val="28"/>
                <w:lang w:val="ro-MD"/>
              </w:rPr>
              <w:t>.</w:t>
            </w:r>
            <w:r w:rsidR="009A0846">
              <w:rPr>
                <w:rFonts w:eastAsiaTheme="minorHAnsi"/>
                <w:sz w:val="28"/>
                <w:szCs w:val="28"/>
                <w:lang w:val="ro-MD"/>
              </w:rPr>
              <w:t xml:space="preserve"> </w:t>
            </w:r>
          </w:p>
        </w:tc>
      </w:tr>
      <w:tr w:rsidR="004224B3" w:rsidRPr="00C540CD" w:rsidTr="00977EF5">
        <w:tc>
          <w:tcPr>
            <w:tcW w:w="5000" w:type="pct"/>
            <w:shd w:val="clear" w:color="auto" w:fill="D9D9D9"/>
          </w:tcPr>
          <w:p w:rsidR="004224B3" w:rsidRPr="00C540CD" w:rsidRDefault="0049332B" w:rsidP="0049332B">
            <w:pPr>
              <w:pStyle w:val="a3"/>
              <w:numPr>
                <w:ilvl w:val="0"/>
                <w:numId w:val="1"/>
              </w:numPr>
              <w:tabs>
                <w:tab w:val="left" w:pos="884"/>
              </w:tabs>
              <w:spacing w:after="120"/>
              <w:ind w:left="0" w:firstLine="890"/>
              <w:rPr>
                <w:b/>
                <w:sz w:val="28"/>
                <w:szCs w:val="28"/>
                <w:lang w:val="ro-MD"/>
              </w:rPr>
            </w:pPr>
            <w:r>
              <w:rPr>
                <w:b/>
                <w:sz w:val="28"/>
                <w:szCs w:val="28"/>
                <w:lang w:val="ro-MD"/>
              </w:rPr>
              <w:lastRenderedPageBreak/>
              <w:t>Modul de încorporare a actului în cadrul normativ în vigoare</w:t>
            </w:r>
          </w:p>
        </w:tc>
      </w:tr>
      <w:tr w:rsidR="004224B3" w:rsidRPr="00C540CD" w:rsidTr="004F3D57">
        <w:trPr>
          <w:trHeight w:val="615"/>
        </w:trPr>
        <w:tc>
          <w:tcPr>
            <w:tcW w:w="5000" w:type="pct"/>
            <w:hideMark/>
          </w:tcPr>
          <w:p w:rsidR="004224B3" w:rsidRPr="00C540CD" w:rsidRDefault="004F3D57" w:rsidP="008E4795">
            <w:pPr>
              <w:ind w:firstLine="883"/>
              <w:rPr>
                <w:rFonts w:eastAsiaTheme="minorHAnsi"/>
                <w:sz w:val="28"/>
                <w:szCs w:val="28"/>
                <w:lang w:val="ro-MD"/>
              </w:rPr>
            </w:pPr>
            <w:r>
              <w:rPr>
                <w:rFonts w:eastAsiaTheme="minorHAnsi"/>
                <w:sz w:val="28"/>
                <w:szCs w:val="28"/>
                <w:lang w:val="ro-MD"/>
              </w:rPr>
              <w:t>Adoptarea proiectului de lege implică ajustarea acte normative</w:t>
            </w:r>
            <w:r w:rsidR="008E4795">
              <w:rPr>
                <w:rFonts w:eastAsiaTheme="minorHAnsi"/>
                <w:sz w:val="28"/>
                <w:szCs w:val="28"/>
                <w:lang w:val="ro-MD"/>
              </w:rPr>
              <w:t xml:space="preserve"> ale Guvernului în vederea implementării modificărilor propuse</w:t>
            </w:r>
            <w:r w:rsidR="004224B3" w:rsidRPr="00C540CD">
              <w:rPr>
                <w:rFonts w:eastAsiaTheme="minorHAnsi"/>
                <w:sz w:val="28"/>
                <w:szCs w:val="28"/>
                <w:lang w:val="ro-MD"/>
              </w:rPr>
              <w:t xml:space="preserve">. </w:t>
            </w:r>
          </w:p>
        </w:tc>
      </w:tr>
      <w:tr w:rsidR="00927AB8" w:rsidRPr="00C540CD" w:rsidTr="004F541F">
        <w:tc>
          <w:tcPr>
            <w:tcW w:w="5000" w:type="pct"/>
            <w:shd w:val="clear" w:color="auto" w:fill="D9D9D9"/>
            <w:hideMark/>
          </w:tcPr>
          <w:p w:rsidR="00927AB8" w:rsidRPr="00C540CD" w:rsidRDefault="00927AB8" w:rsidP="0049332B">
            <w:pPr>
              <w:pStyle w:val="a3"/>
              <w:numPr>
                <w:ilvl w:val="0"/>
                <w:numId w:val="1"/>
              </w:numPr>
              <w:tabs>
                <w:tab w:val="left" w:pos="884"/>
              </w:tabs>
              <w:spacing w:after="120"/>
              <w:ind w:left="0" w:firstLine="890"/>
              <w:rPr>
                <w:b/>
                <w:sz w:val="28"/>
                <w:szCs w:val="28"/>
                <w:lang w:val="ro-MD"/>
              </w:rPr>
            </w:pPr>
            <w:r w:rsidRPr="00C540CD">
              <w:rPr>
                <w:b/>
                <w:sz w:val="28"/>
                <w:szCs w:val="28"/>
                <w:lang w:val="ro-MD"/>
              </w:rPr>
              <w:t>Avizarea și consultarea publică a proiectului</w:t>
            </w:r>
          </w:p>
        </w:tc>
      </w:tr>
      <w:tr w:rsidR="00927AB8" w:rsidRPr="00C540CD" w:rsidTr="004F541F">
        <w:tc>
          <w:tcPr>
            <w:tcW w:w="5000" w:type="pct"/>
            <w:hideMark/>
          </w:tcPr>
          <w:p w:rsidR="00B02B22" w:rsidRDefault="00017232" w:rsidP="00B02B22">
            <w:pPr>
              <w:rPr>
                <w:rFonts w:eastAsiaTheme="minorHAnsi"/>
                <w:sz w:val="28"/>
                <w:szCs w:val="28"/>
                <w:lang w:val="ro-MD"/>
              </w:rPr>
            </w:pPr>
            <w:r w:rsidRPr="00C540CD">
              <w:rPr>
                <w:rFonts w:eastAsiaTheme="minorHAnsi"/>
                <w:sz w:val="28"/>
                <w:szCs w:val="28"/>
                <w:lang w:val="ro-MD"/>
              </w:rPr>
              <w:t xml:space="preserve">În scopul respectării prevederilor Legii nr.239/ 2008 privind transparența în procesul decizional, proiectul </w:t>
            </w:r>
            <w:r w:rsidR="008264C8" w:rsidRPr="00C540CD">
              <w:rPr>
                <w:sz w:val="28"/>
                <w:szCs w:val="28"/>
                <w:lang w:val="ro-MD"/>
              </w:rPr>
              <w:t xml:space="preserve">legii pentru </w:t>
            </w:r>
            <w:r w:rsidR="00247429" w:rsidRPr="00C540CD">
              <w:rPr>
                <w:rFonts w:eastAsia="Batang"/>
                <w:sz w:val="28"/>
                <w:szCs w:val="28"/>
                <w:lang w:val="ro-MD"/>
              </w:rPr>
              <w:t>modificarea unor acte normative va fi</w:t>
            </w:r>
            <w:r w:rsidRPr="00C540CD">
              <w:rPr>
                <w:rFonts w:eastAsiaTheme="minorHAnsi"/>
                <w:sz w:val="28"/>
                <w:szCs w:val="28"/>
                <w:lang w:val="ro-MD"/>
              </w:rPr>
              <w:t xml:space="preserve"> plasat pe pagina web oficială a Ministerului Finanțelor (</w:t>
            </w:r>
            <w:hyperlink r:id="rId7" w:history="1">
              <w:r w:rsidRPr="00C540CD">
                <w:rPr>
                  <w:rFonts w:eastAsiaTheme="minorHAnsi"/>
                  <w:sz w:val="28"/>
                  <w:szCs w:val="28"/>
                  <w:lang w:val="ro-MD"/>
                </w:rPr>
                <w:t>www.mf.gov.md</w:t>
              </w:r>
            </w:hyperlink>
            <w:r w:rsidRPr="00C540CD">
              <w:rPr>
                <w:rFonts w:eastAsiaTheme="minorHAnsi"/>
                <w:sz w:val="28"/>
                <w:szCs w:val="28"/>
                <w:lang w:val="ro-MD"/>
              </w:rPr>
              <w:t>), directoriul „Transparența decizională”, secțiunea „Procesul decizional”.</w:t>
            </w:r>
          </w:p>
          <w:p w:rsidR="007A11D0" w:rsidRPr="00B02B22" w:rsidRDefault="00B02B22" w:rsidP="00B02B22">
            <w:pPr>
              <w:rPr>
                <w:rFonts w:eastAsiaTheme="minorHAnsi"/>
                <w:sz w:val="28"/>
                <w:szCs w:val="28"/>
                <w:lang w:val="ro-MD"/>
              </w:rPr>
            </w:pPr>
            <w:r>
              <w:rPr>
                <w:rFonts w:eastAsiaTheme="minorHAnsi"/>
                <w:sz w:val="28"/>
                <w:szCs w:val="28"/>
                <w:lang w:val="ro-MD"/>
              </w:rPr>
              <w:t>Concomitent, acesta</w:t>
            </w:r>
            <w:r w:rsidR="00017232" w:rsidRPr="00C540CD">
              <w:rPr>
                <w:rFonts w:eastAsiaTheme="minorHAnsi"/>
                <w:sz w:val="28"/>
                <w:szCs w:val="28"/>
                <w:lang w:val="ro-MD"/>
              </w:rPr>
              <w:t xml:space="preserve"> </w:t>
            </w:r>
            <w:r>
              <w:rPr>
                <w:rFonts w:eastAsiaTheme="minorHAnsi"/>
                <w:sz w:val="28"/>
                <w:szCs w:val="28"/>
                <w:lang w:val="ro-MD"/>
              </w:rPr>
              <w:t xml:space="preserve">a fost avizat cu autoritățile interesate, iar obiecțiile și propunerile formulate au fost luate în considerație la definitivarea proiectului. </w:t>
            </w:r>
          </w:p>
          <w:p w:rsidR="00025567" w:rsidRPr="00C540CD" w:rsidRDefault="00025567" w:rsidP="00512A16">
            <w:pPr>
              <w:tabs>
                <w:tab w:val="left" w:pos="884"/>
              </w:tabs>
              <w:spacing w:after="120"/>
              <w:ind w:firstLine="878"/>
              <w:rPr>
                <w:rFonts w:eastAsiaTheme="minorHAnsi"/>
                <w:sz w:val="28"/>
                <w:szCs w:val="28"/>
                <w:lang w:val="ro-MD"/>
              </w:rPr>
            </w:pPr>
          </w:p>
          <w:p w:rsidR="00927AB8" w:rsidRPr="00C540CD" w:rsidRDefault="00927AB8" w:rsidP="00512A16">
            <w:pPr>
              <w:ind w:firstLine="878"/>
              <w:jc w:val="center"/>
              <w:rPr>
                <w:rFonts w:eastAsiaTheme="minorHAnsi"/>
                <w:b/>
                <w:sz w:val="28"/>
                <w:szCs w:val="28"/>
                <w:lang w:val="ro-MD"/>
              </w:rPr>
            </w:pPr>
          </w:p>
          <w:p w:rsidR="00927AB8" w:rsidRPr="00C540CD" w:rsidRDefault="00927AB8" w:rsidP="00E10D1F">
            <w:pPr>
              <w:ind w:firstLine="0"/>
              <w:jc w:val="center"/>
              <w:rPr>
                <w:rFonts w:eastAsiaTheme="minorHAnsi"/>
                <w:sz w:val="28"/>
                <w:szCs w:val="28"/>
                <w:lang w:val="ro-MD"/>
              </w:rPr>
            </w:pPr>
            <w:bookmarkStart w:id="0" w:name="_GoBack"/>
            <w:bookmarkEnd w:id="0"/>
          </w:p>
        </w:tc>
      </w:tr>
    </w:tbl>
    <w:p w:rsidR="00B02B22" w:rsidRDefault="00916518" w:rsidP="00B02B22">
      <w:pPr>
        <w:ind w:firstLine="709"/>
        <w:rPr>
          <w:sz w:val="28"/>
          <w:szCs w:val="28"/>
          <w:lang w:val="ro-MD"/>
        </w:rPr>
      </w:pPr>
      <w:r w:rsidRPr="00C540CD">
        <w:rPr>
          <w:sz w:val="28"/>
          <w:szCs w:val="28"/>
          <w:lang w:val="ro-MD"/>
        </w:rPr>
        <w:t xml:space="preserve">                                                                                                                  </w:t>
      </w:r>
      <w:r w:rsidR="00B02B22">
        <w:rPr>
          <w:sz w:val="28"/>
          <w:szCs w:val="28"/>
          <w:lang w:val="ro-MD"/>
        </w:rPr>
        <w:t xml:space="preserve">    </w:t>
      </w:r>
    </w:p>
    <w:p w:rsidR="00B02B22" w:rsidRPr="00952201" w:rsidRDefault="00B02B22" w:rsidP="00B02B22">
      <w:pPr>
        <w:ind w:firstLine="0"/>
        <w:rPr>
          <w:b/>
          <w:sz w:val="32"/>
          <w:lang w:val="ro-MD"/>
        </w:rPr>
      </w:pPr>
      <w:r>
        <w:rPr>
          <w:b/>
          <w:sz w:val="32"/>
          <w:lang w:val="ro-MD"/>
        </w:rPr>
        <w:t xml:space="preserve">         </w:t>
      </w:r>
      <w:r w:rsidRPr="00952201">
        <w:rPr>
          <w:b/>
          <w:sz w:val="32"/>
          <w:lang w:val="ro-MD"/>
        </w:rPr>
        <w:t>Viceprim-ministru,</w:t>
      </w:r>
    </w:p>
    <w:p w:rsidR="00B02B22" w:rsidRPr="00952201" w:rsidRDefault="00B02B22" w:rsidP="00B02B22">
      <w:pPr>
        <w:ind w:firstLine="0"/>
        <w:rPr>
          <w:b/>
          <w:sz w:val="32"/>
          <w:lang w:val="ro-MD"/>
        </w:rPr>
      </w:pPr>
      <w:r>
        <w:rPr>
          <w:b/>
          <w:sz w:val="32"/>
          <w:lang w:val="ro-MD"/>
        </w:rPr>
        <w:t xml:space="preserve">         </w:t>
      </w:r>
      <w:r w:rsidRPr="00952201">
        <w:rPr>
          <w:b/>
          <w:sz w:val="32"/>
          <w:lang w:val="ro-MD"/>
        </w:rPr>
        <w:t xml:space="preserve">Ministru al Finanțelor                  </w:t>
      </w:r>
      <w:r>
        <w:rPr>
          <w:b/>
          <w:sz w:val="32"/>
          <w:lang w:val="ro-MD"/>
        </w:rPr>
        <w:t xml:space="preserve">    </w:t>
      </w:r>
      <w:r w:rsidRPr="00952201">
        <w:rPr>
          <w:b/>
          <w:sz w:val="32"/>
          <w:lang w:val="ro-MD"/>
        </w:rPr>
        <w:t xml:space="preserve">                   </w:t>
      </w:r>
      <w:r>
        <w:rPr>
          <w:b/>
          <w:sz w:val="32"/>
          <w:lang w:val="ro-MD"/>
        </w:rPr>
        <w:t xml:space="preserve">  </w:t>
      </w:r>
      <w:r w:rsidRPr="00952201">
        <w:rPr>
          <w:b/>
          <w:sz w:val="32"/>
          <w:lang w:val="ro-MD"/>
        </w:rPr>
        <w:t>Serghei PUȘCUȚA</w:t>
      </w:r>
    </w:p>
    <w:p w:rsidR="005A1CE1" w:rsidRPr="00C540CD" w:rsidRDefault="005A1CE1" w:rsidP="007A11D0">
      <w:pPr>
        <w:ind w:firstLine="0"/>
        <w:rPr>
          <w:sz w:val="28"/>
          <w:szCs w:val="28"/>
          <w:lang w:val="ro-MD"/>
        </w:rPr>
      </w:pPr>
    </w:p>
    <w:p w:rsidR="00F309CB" w:rsidRPr="00C540CD" w:rsidRDefault="00F309CB" w:rsidP="005A1CE1">
      <w:pPr>
        <w:jc w:val="right"/>
        <w:rPr>
          <w:sz w:val="28"/>
          <w:szCs w:val="28"/>
          <w:lang w:val="ro-MD"/>
        </w:rPr>
      </w:pPr>
    </w:p>
    <w:sectPr w:rsidR="00F309CB" w:rsidRPr="00C540CD" w:rsidSect="00512A16">
      <w:footerReference w:type="default" r:id="rId8"/>
      <w:pgSz w:w="12240" w:h="15840"/>
      <w:pgMar w:top="993" w:right="1467" w:bottom="1843" w:left="144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586" w:rsidRDefault="004A6586" w:rsidP="00205018">
      <w:r>
        <w:separator/>
      </w:r>
    </w:p>
  </w:endnote>
  <w:endnote w:type="continuationSeparator" w:id="0">
    <w:p w:rsidR="004A6586" w:rsidRDefault="004A6586" w:rsidP="0020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156751"/>
      <w:docPartObj>
        <w:docPartGallery w:val="Page Numbers (Bottom of Page)"/>
        <w:docPartUnique/>
      </w:docPartObj>
    </w:sdtPr>
    <w:sdtEndPr>
      <w:rPr>
        <w:noProof/>
      </w:rPr>
    </w:sdtEndPr>
    <w:sdtContent>
      <w:p w:rsidR="00205018" w:rsidRDefault="005A1CE1" w:rsidP="005A1CE1">
        <w:pPr>
          <w:pStyle w:val="ab"/>
          <w:tabs>
            <w:tab w:val="clear" w:pos="9360"/>
            <w:tab w:val="right" w:pos="9333"/>
          </w:tabs>
          <w:jc w:val="right"/>
        </w:pPr>
        <w:r>
          <w:t xml:space="preserve">     </w:t>
        </w:r>
        <w:r w:rsidR="00205018">
          <w:fldChar w:fldCharType="begin"/>
        </w:r>
        <w:r w:rsidR="00205018">
          <w:instrText xml:space="preserve"> PAGE   \* MERGEFORMAT </w:instrText>
        </w:r>
        <w:r w:rsidR="00205018">
          <w:fldChar w:fldCharType="separate"/>
        </w:r>
        <w:r w:rsidR="00B02B22">
          <w:rPr>
            <w:noProof/>
          </w:rPr>
          <w:t>5</w:t>
        </w:r>
        <w:r w:rsidR="00205018">
          <w:rPr>
            <w:noProof/>
          </w:rPr>
          <w:fldChar w:fldCharType="end"/>
        </w:r>
      </w:p>
    </w:sdtContent>
  </w:sdt>
  <w:p w:rsidR="00205018" w:rsidRDefault="002050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586" w:rsidRDefault="004A6586" w:rsidP="00205018">
      <w:r>
        <w:separator/>
      </w:r>
    </w:p>
  </w:footnote>
  <w:footnote w:type="continuationSeparator" w:id="0">
    <w:p w:rsidR="004A6586" w:rsidRDefault="004A6586" w:rsidP="00205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4465"/>
    <w:multiLevelType w:val="hybridMultilevel"/>
    <w:tmpl w:val="337ED4F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F7AB1"/>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5A104C1"/>
    <w:multiLevelType w:val="hybridMultilevel"/>
    <w:tmpl w:val="40D6C65C"/>
    <w:lvl w:ilvl="0" w:tplc="3B524AD0">
      <w:start w:val="1"/>
      <w:numFmt w:val="bullet"/>
      <w:lvlText w:val="-"/>
      <w:lvlJc w:val="left"/>
      <w:pPr>
        <w:tabs>
          <w:tab w:val="num" w:pos="720"/>
        </w:tabs>
        <w:ind w:left="720" w:hanging="360"/>
      </w:pPr>
      <w:rPr>
        <w:rFonts w:ascii="Times New Roman" w:hAnsi="Times New Roman" w:hint="default"/>
      </w:rPr>
    </w:lvl>
    <w:lvl w:ilvl="1" w:tplc="66D80346" w:tentative="1">
      <w:start w:val="1"/>
      <w:numFmt w:val="bullet"/>
      <w:lvlText w:val="-"/>
      <w:lvlJc w:val="left"/>
      <w:pPr>
        <w:tabs>
          <w:tab w:val="num" w:pos="1440"/>
        </w:tabs>
        <w:ind w:left="1440" w:hanging="360"/>
      </w:pPr>
      <w:rPr>
        <w:rFonts w:ascii="Times New Roman" w:hAnsi="Times New Roman" w:hint="default"/>
      </w:rPr>
    </w:lvl>
    <w:lvl w:ilvl="2" w:tplc="E9A2AB82" w:tentative="1">
      <w:start w:val="1"/>
      <w:numFmt w:val="bullet"/>
      <w:lvlText w:val="-"/>
      <w:lvlJc w:val="left"/>
      <w:pPr>
        <w:tabs>
          <w:tab w:val="num" w:pos="2160"/>
        </w:tabs>
        <w:ind w:left="2160" w:hanging="360"/>
      </w:pPr>
      <w:rPr>
        <w:rFonts w:ascii="Times New Roman" w:hAnsi="Times New Roman" w:hint="default"/>
      </w:rPr>
    </w:lvl>
    <w:lvl w:ilvl="3" w:tplc="2CDA2846" w:tentative="1">
      <w:start w:val="1"/>
      <w:numFmt w:val="bullet"/>
      <w:lvlText w:val="-"/>
      <w:lvlJc w:val="left"/>
      <w:pPr>
        <w:tabs>
          <w:tab w:val="num" w:pos="2880"/>
        </w:tabs>
        <w:ind w:left="2880" w:hanging="360"/>
      </w:pPr>
      <w:rPr>
        <w:rFonts w:ascii="Times New Roman" w:hAnsi="Times New Roman" w:hint="default"/>
      </w:rPr>
    </w:lvl>
    <w:lvl w:ilvl="4" w:tplc="4BEC0BC4" w:tentative="1">
      <w:start w:val="1"/>
      <w:numFmt w:val="bullet"/>
      <w:lvlText w:val="-"/>
      <w:lvlJc w:val="left"/>
      <w:pPr>
        <w:tabs>
          <w:tab w:val="num" w:pos="3600"/>
        </w:tabs>
        <w:ind w:left="3600" w:hanging="360"/>
      </w:pPr>
      <w:rPr>
        <w:rFonts w:ascii="Times New Roman" w:hAnsi="Times New Roman" w:hint="default"/>
      </w:rPr>
    </w:lvl>
    <w:lvl w:ilvl="5" w:tplc="A32ECAA8" w:tentative="1">
      <w:start w:val="1"/>
      <w:numFmt w:val="bullet"/>
      <w:lvlText w:val="-"/>
      <w:lvlJc w:val="left"/>
      <w:pPr>
        <w:tabs>
          <w:tab w:val="num" w:pos="4320"/>
        </w:tabs>
        <w:ind w:left="4320" w:hanging="360"/>
      </w:pPr>
      <w:rPr>
        <w:rFonts w:ascii="Times New Roman" w:hAnsi="Times New Roman" w:hint="default"/>
      </w:rPr>
    </w:lvl>
    <w:lvl w:ilvl="6" w:tplc="2CA40F9E" w:tentative="1">
      <w:start w:val="1"/>
      <w:numFmt w:val="bullet"/>
      <w:lvlText w:val="-"/>
      <w:lvlJc w:val="left"/>
      <w:pPr>
        <w:tabs>
          <w:tab w:val="num" w:pos="5040"/>
        </w:tabs>
        <w:ind w:left="5040" w:hanging="360"/>
      </w:pPr>
      <w:rPr>
        <w:rFonts w:ascii="Times New Roman" w:hAnsi="Times New Roman" w:hint="default"/>
      </w:rPr>
    </w:lvl>
    <w:lvl w:ilvl="7" w:tplc="8F16A696" w:tentative="1">
      <w:start w:val="1"/>
      <w:numFmt w:val="bullet"/>
      <w:lvlText w:val="-"/>
      <w:lvlJc w:val="left"/>
      <w:pPr>
        <w:tabs>
          <w:tab w:val="num" w:pos="5760"/>
        </w:tabs>
        <w:ind w:left="5760" w:hanging="360"/>
      </w:pPr>
      <w:rPr>
        <w:rFonts w:ascii="Times New Roman" w:hAnsi="Times New Roman" w:hint="default"/>
      </w:rPr>
    </w:lvl>
    <w:lvl w:ilvl="8" w:tplc="6756CD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433AFC"/>
    <w:multiLevelType w:val="hybridMultilevel"/>
    <w:tmpl w:val="1CFE8B8E"/>
    <w:lvl w:ilvl="0" w:tplc="E9F4CDAC">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3956E21C">
      <w:start w:val="1"/>
      <w:numFmt w:val="lowerLetter"/>
      <w:lvlText w:val="(%3)"/>
      <w:lvlJc w:val="left"/>
      <w:pPr>
        <w:ind w:left="1980" w:hanging="360"/>
      </w:pPr>
      <w:rPr>
        <w:rFonts w:eastAsiaTheme="minorEastAsia" w:hint="default"/>
        <w:color w:val="auto"/>
        <w:sz w:val="24"/>
      </w:rPr>
    </w:lvl>
    <w:lvl w:ilvl="3" w:tplc="5BE4C36A">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AC05B9"/>
    <w:multiLevelType w:val="hybridMultilevel"/>
    <w:tmpl w:val="E4D68902"/>
    <w:lvl w:ilvl="0" w:tplc="863418A8">
      <w:start w:val="1"/>
      <w:numFmt w:val="decimal"/>
      <w:lvlText w:val="(%1)"/>
      <w:lvlJc w:val="left"/>
      <w:pPr>
        <w:ind w:left="360" w:hanging="360"/>
      </w:pPr>
      <w:rPr>
        <w:rFonts w:ascii="Times New Roman" w:hAnsi="Times New Roman" w:cs="Times New Roman" w:hint="default"/>
        <w:sz w:val="26"/>
        <w:szCs w:val="26"/>
      </w:rPr>
    </w:lvl>
    <w:lvl w:ilvl="1" w:tplc="04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35A4029D"/>
    <w:multiLevelType w:val="hybridMultilevel"/>
    <w:tmpl w:val="C7A81208"/>
    <w:lvl w:ilvl="0" w:tplc="FFFFFFFF">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40077E4D"/>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528D3322"/>
    <w:multiLevelType w:val="hybridMultilevel"/>
    <w:tmpl w:val="591CFDEC"/>
    <w:lvl w:ilvl="0" w:tplc="D9923BF6">
      <w:start w:val="1"/>
      <w:numFmt w:val="lowerRoman"/>
      <w:lvlText w:val="%1."/>
      <w:lvlJc w:val="right"/>
      <w:pPr>
        <w:ind w:left="720" w:hanging="360"/>
      </w:pPr>
      <w:rPr>
        <w:b/>
        <w:i w:val="0"/>
        <w:color w:val="000000" w:themeColor="text1"/>
      </w:rPr>
    </w:lvl>
    <w:lvl w:ilvl="1" w:tplc="04090019">
      <w:start w:val="1"/>
      <w:numFmt w:val="lowerLetter"/>
      <w:lvlText w:val="%2."/>
      <w:lvlJc w:val="left"/>
      <w:pPr>
        <w:tabs>
          <w:tab w:val="num" w:pos="1440"/>
        </w:tabs>
        <w:ind w:left="1440" w:hanging="360"/>
      </w:pPr>
    </w:lvl>
    <w:lvl w:ilvl="2" w:tplc="06B8225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3160DA"/>
    <w:multiLevelType w:val="hybridMultilevel"/>
    <w:tmpl w:val="EBC6D2E6"/>
    <w:lvl w:ilvl="0" w:tplc="E4402CBC">
      <w:start w:val="1"/>
      <w:numFmt w:val="decimal"/>
      <w:lvlText w:val="(%1)"/>
      <w:lvlJc w:val="left"/>
      <w:pPr>
        <w:ind w:left="360" w:hanging="360"/>
      </w:pPr>
      <w:rPr>
        <w:rFonts w:asciiTheme="minorHAnsi" w:hAnsiTheme="minorHAnsi" w:hint="default"/>
        <w:sz w:val="22"/>
      </w:rPr>
    </w:lvl>
    <w:lvl w:ilvl="1" w:tplc="FFFFFFFF">
      <w:start w:val="1"/>
      <w:numFmt w:val="lowerLetter"/>
      <w:lvlText w:val="(%2)"/>
      <w:lvlJc w:val="left"/>
      <w:pPr>
        <w:ind w:left="1080" w:hanging="360"/>
      </w:pPr>
      <w:rPr>
        <w:rFonts w:hint="default"/>
      </w:rPr>
    </w:lvl>
    <w:lvl w:ilvl="2" w:tplc="9A7CF9B2">
      <w:start w:val="1"/>
      <w:numFmt w:val="bullet"/>
      <w:lvlText w:val="-"/>
      <w:lvlJc w:val="left"/>
      <w:pPr>
        <w:ind w:left="1980" w:hanging="360"/>
      </w:pPr>
      <w:rPr>
        <w:rFonts w:ascii="Calibri" w:eastAsiaTheme="minorEastAsia" w:hAnsi="Calibri" w:cstheme="minorBidi" w:hint="default"/>
      </w:rPr>
    </w:lvl>
    <w:lvl w:ilvl="3" w:tplc="FFFFFFFF">
      <w:start w:val="1"/>
      <w:numFmt w:val="decimal"/>
      <w:lvlText w:val="(%4)"/>
      <w:lvlJc w:val="left"/>
      <w:pPr>
        <w:ind w:left="2520" w:hanging="360"/>
      </w:pPr>
      <w:rPr>
        <w:rFonts w:hint="default"/>
        <w:color w:val="auto"/>
        <w:sz w:val="24"/>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833DA5"/>
    <w:multiLevelType w:val="hybridMultilevel"/>
    <w:tmpl w:val="2FC63046"/>
    <w:lvl w:ilvl="0" w:tplc="B35A1822">
      <w:start w:val="1"/>
      <w:numFmt w:val="lowerLetter"/>
      <w:lvlText w:val="%1)"/>
      <w:lvlJc w:val="left"/>
      <w:pPr>
        <w:tabs>
          <w:tab w:val="num" w:pos="2880"/>
        </w:tabs>
        <w:ind w:left="2880" w:hanging="360"/>
      </w:pPr>
      <w:rPr>
        <w:rFonts w:hint="default"/>
      </w:rPr>
    </w:lvl>
    <w:lvl w:ilvl="1" w:tplc="6A0CA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430DE3"/>
    <w:multiLevelType w:val="hybridMultilevel"/>
    <w:tmpl w:val="4CC69C26"/>
    <w:lvl w:ilvl="0" w:tplc="DAD257BA">
      <w:start w:val="1"/>
      <w:numFmt w:val="decimal"/>
      <w:lvlText w:val="(%1)"/>
      <w:lvlJc w:val="left"/>
      <w:pPr>
        <w:ind w:left="360" w:hanging="360"/>
      </w:pPr>
      <w:rPr>
        <w:rFonts w:ascii="Times New Roman" w:hAnsi="Times New Roman" w:cs="Times New Roman" w:hint="default"/>
        <w:sz w:val="24"/>
        <w:szCs w:val="24"/>
      </w:rPr>
    </w:lvl>
    <w:lvl w:ilvl="1" w:tplc="0418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3E1414"/>
    <w:multiLevelType w:val="hybridMultilevel"/>
    <w:tmpl w:val="09FEB168"/>
    <w:lvl w:ilvl="0" w:tplc="20F6CE98">
      <w:start w:val="1"/>
      <w:numFmt w:val="bullet"/>
      <w:lvlText w:val="–"/>
      <w:lvlJc w:val="left"/>
      <w:pPr>
        <w:ind w:left="1074" w:hanging="360"/>
      </w:pPr>
      <w:rPr>
        <w:rFonts w:ascii="Calibri" w:eastAsiaTheme="minorEastAsia" w:hAnsi="Calibri" w:cstheme="minorBid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7"/>
  </w:num>
  <w:num w:numId="5">
    <w:abstractNumId w:val="8"/>
  </w:num>
  <w:num w:numId="6">
    <w:abstractNumId w:val="12"/>
  </w:num>
  <w:num w:numId="7">
    <w:abstractNumId w:val="3"/>
  </w:num>
  <w:num w:numId="8">
    <w:abstractNumId w:val="11"/>
  </w:num>
  <w:num w:numId="9">
    <w:abstractNumId w:val="4"/>
  </w:num>
  <w:num w:numId="10">
    <w:abstractNumId w:val="9"/>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B8"/>
    <w:rsid w:val="0000585B"/>
    <w:rsid w:val="00017232"/>
    <w:rsid w:val="00025567"/>
    <w:rsid w:val="000315A4"/>
    <w:rsid w:val="00041DD8"/>
    <w:rsid w:val="00065A7F"/>
    <w:rsid w:val="0007697F"/>
    <w:rsid w:val="000835C8"/>
    <w:rsid w:val="000B2883"/>
    <w:rsid w:val="000C239E"/>
    <w:rsid w:val="000F2916"/>
    <w:rsid w:val="00101D9F"/>
    <w:rsid w:val="0010760B"/>
    <w:rsid w:val="00112C2B"/>
    <w:rsid w:val="00120263"/>
    <w:rsid w:val="00125B2D"/>
    <w:rsid w:val="00143923"/>
    <w:rsid w:val="00173C48"/>
    <w:rsid w:val="00194165"/>
    <w:rsid w:val="00196FFE"/>
    <w:rsid w:val="001C3867"/>
    <w:rsid w:val="001C6CB8"/>
    <w:rsid w:val="001F7726"/>
    <w:rsid w:val="00200223"/>
    <w:rsid w:val="00201CBA"/>
    <w:rsid w:val="00205018"/>
    <w:rsid w:val="00205E52"/>
    <w:rsid w:val="00210DB5"/>
    <w:rsid w:val="00217AF2"/>
    <w:rsid w:val="00247429"/>
    <w:rsid w:val="00250630"/>
    <w:rsid w:val="002A4136"/>
    <w:rsid w:val="002A7769"/>
    <w:rsid w:val="002B1808"/>
    <w:rsid w:val="002B196B"/>
    <w:rsid w:val="002B1A58"/>
    <w:rsid w:val="002E27DE"/>
    <w:rsid w:val="002F1889"/>
    <w:rsid w:val="00306B85"/>
    <w:rsid w:val="0032630E"/>
    <w:rsid w:val="00330DB5"/>
    <w:rsid w:val="0033418B"/>
    <w:rsid w:val="00344A6D"/>
    <w:rsid w:val="003B0271"/>
    <w:rsid w:val="003C3FB1"/>
    <w:rsid w:val="003D7359"/>
    <w:rsid w:val="003E5FA5"/>
    <w:rsid w:val="003F2085"/>
    <w:rsid w:val="0040035F"/>
    <w:rsid w:val="004057FA"/>
    <w:rsid w:val="004224B3"/>
    <w:rsid w:val="004308A2"/>
    <w:rsid w:val="00441F7F"/>
    <w:rsid w:val="00462444"/>
    <w:rsid w:val="0048560C"/>
    <w:rsid w:val="00490D25"/>
    <w:rsid w:val="0049332B"/>
    <w:rsid w:val="00495A78"/>
    <w:rsid w:val="004A3DA8"/>
    <w:rsid w:val="004A6586"/>
    <w:rsid w:val="004D69B1"/>
    <w:rsid w:val="004F3D57"/>
    <w:rsid w:val="004F541F"/>
    <w:rsid w:val="00512A16"/>
    <w:rsid w:val="005136A0"/>
    <w:rsid w:val="0052287B"/>
    <w:rsid w:val="00526B31"/>
    <w:rsid w:val="00545BE1"/>
    <w:rsid w:val="00556DC3"/>
    <w:rsid w:val="005709A1"/>
    <w:rsid w:val="005912E6"/>
    <w:rsid w:val="00595DED"/>
    <w:rsid w:val="005A1CE1"/>
    <w:rsid w:val="005A1E8A"/>
    <w:rsid w:val="005A58E9"/>
    <w:rsid w:val="005B61D5"/>
    <w:rsid w:val="005D38F7"/>
    <w:rsid w:val="00606FD1"/>
    <w:rsid w:val="006108ED"/>
    <w:rsid w:val="00625ED0"/>
    <w:rsid w:val="00651020"/>
    <w:rsid w:val="00672C8B"/>
    <w:rsid w:val="006944E5"/>
    <w:rsid w:val="00697079"/>
    <w:rsid w:val="006B40C4"/>
    <w:rsid w:val="006B7B8F"/>
    <w:rsid w:val="006C3BAB"/>
    <w:rsid w:val="006C5593"/>
    <w:rsid w:val="006C7C3A"/>
    <w:rsid w:val="006D1F0C"/>
    <w:rsid w:val="006D6E51"/>
    <w:rsid w:val="006E164B"/>
    <w:rsid w:val="006E6820"/>
    <w:rsid w:val="006F519E"/>
    <w:rsid w:val="00711875"/>
    <w:rsid w:val="0071190C"/>
    <w:rsid w:val="00742CBD"/>
    <w:rsid w:val="007571FE"/>
    <w:rsid w:val="007604C4"/>
    <w:rsid w:val="007709DD"/>
    <w:rsid w:val="00774C01"/>
    <w:rsid w:val="007A11D0"/>
    <w:rsid w:val="007B3E18"/>
    <w:rsid w:val="007B54E0"/>
    <w:rsid w:val="007B5EC1"/>
    <w:rsid w:val="007C04C2"/>
    <w:rsid w:val="007D6A81"/>
    <w:rsid w:val="007E75A0"/>
    <w:rsid w:val="008264C8"/>
    <w:rsid w:val="008415BE"/>
    <w:rsid w:val="00844DAA"/>
    <w:rsid w:val="00881BAC"/>
    <w:rsid w:val="00882B71"/>
    <w:rsid w:val="008859F1"/>
    <w:rsid w:val="008929FD"/>
    <w:rsid w:val="008B3AF0"/>
    <w:rsid w:val="008C54A0"/>
    <w:rsid w:val="008E04C4"/>
    <w:rsid w:val="008E33B8"/>
    <w:rsid w:val="008E4795"/>
    <w:rsid w:val="00916518"/>
    <w:rsid w:val="00927AB8"/>
    <w:rsid w:val="00935825"/>
    <w:rsid w:val="00936FB6"/>
    <w:rsid w:val="009452E9"/>
    <w:rsid w:val="00962FD8"/>
    <w:rsid w:val="009733BA"/>
    <w:rsid w:val="009746ED"/>
    <w:rsid w:val="00976789"/>
    <w:rsid w:val="00981B6B"/>
    <w:rsid w:val="009A0846"/>
    <w:rsid w:val="009C0C59"/>
    <w:rsid w:val="009F006F"/>
    <w:rsid w:val="00A17E29"/>
    <w:rsid w:val="00A47D69"/>
    <w:rsid w:val="00A568E9"/>
    <w:rsid w:val="00A6430C"/>
    <w:rsid w:val="00A944B5"/>
    <w:rsid w:val="00A94B0B"/>
    <w:rsid w:val="00AE0F9B"/>
    <w:rsid w:val="00B02B22"/>
    <w:rsid w:val="00B17567"/>
    <w:rsid w:val="00BA72A9"/>
    <w:rsid w:val="00BA7501"/>
    <w:rsid w:val="00BC18A7"/>
    <w:rsid w:val="00BC20BE"/>
    <w:rsid w:val="00BF3B43"/>
    <w:rsid w:val="00C203E2"/>
    <w:rsid w:val="00C275FF"/>
    <w:rsid w:val="00C540CD"/>
    <w:rsid w:val="00C57416"/>
    <w:rsid w:val="00C657A3"/>
    <w:rsid w:val="00C6675C"/>
    <w:rsid w:val="00D7129D"/>
    <w:rsid w:val="00D736E5"/>
    <w:rsid w:val="00D812E4"/>
    <w:rsid w:val="00D8413D"/>
    <w:rsid w:val="00D9078F"/>
    <w:rsid w:val="00D96A58"/>
    <w:rsid w:val="00DA5FC0"/>
    <w:rsid w:val="00DC1CD5"/>
    <w:rsid w:val="00DC3CE6"/>
    <w:rsid w:val="00DE247F"/>
    <w:rsid w:val="00DE7E5C"/>
    <w:rsid w:val="00E10D1F"/>
    <w:rsid w:val="00E21C74"/>
    <w:rsid w:val="00E3777E"/>
    <w:rsid w:val="00E711DC"/>
    <w:rsid w:val="00E76E6B"/>
    <w:rsid w:val="00E8666C"/>
    <w:rsid w:val="00EA3D2D"/>
    <w:rsid w:val="00EB5A0E"/>
    <w:rsid w:val="00F10D53"/>
    <w:rsid w:val="00F309CB"/>
    <w:rsid w:val="00F3756F"/>
    <w:rsid w:val="00F408E6"/>
    <w:rsid w:val="00F67323"/>
    <w:rsid w:val="00F676F6"/>
    <w:rsid w:val="00FB5852"/>
    <w:rsid w:val="00FE2A61"/>
    <w:rsid w:val="00FF08AC"/>
    <w:rsid w:val="00FF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F1AAA"/>
  <w15:chartTrackingRefBased/>
  <w15:docId w15:val="{90B7C641-14FF-4413-BACC-A137B1EF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AB8"/>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27AB8"/>
    <w:pPr>
      <w:ind w:left="720"/>
      <w:contextualSpacing/>
    </w:pPr>
  </w:style>
  <w:style w:type="paragraph" w:styleId="a5">
    <w:name w:val="No Spacing"/>
    <w:uiPriority w:val="1"/>
    <w:qFormat/>
    <w:rsid w:val="00927AB8"/>
    <w:pPr>
      <w:spacing w:after="0" w:line="240" w:lineRule="auto"/>
    </w:pPr>
    <w:rPr>
      <w:lang w:val="ro-RO"/>
    </w:rPr>
  </w:style>
  <w:style w:type="character" w:styleId="a6">
    <w:name w:val="Hyperlink"/>
    <w:basedOn w:val="a0"/>
    <w:uiPriority w:val="99"/>
    <w:unhideWhenUsed/>
    <w:rsid w:val="00927AB8"/>
    <w:rPr>
      <w:color w:val="0000FF"/>
      <w:u w:val="single"/>
    </w:rPr>
  </w:style>
  <w:style w:type="paragraph" w:customStyle="1" w:styleId="Default">
    <w:name w:val="Default"/>
    <w:rsid w:val="001C386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8B3AF0"/>
    <w:rPr>
      <w:rFonts w:ascii="Segoe UI" w:hAnsi="Segoe UI" w:cs="Segoe UI"/>
      <w:sz w:val="18"/>
      <w:szCs w:val="18"/>
    </w:rPr>
  </w:style>
  <w:style w:type="character" w:customStyle="1" w:styleId="a8">
    <w:name w:val="Текст выноски Знак"/>
    <w:basedOn w:val="a0"/>
    <w:link w:val="a7"/>
    <w:uiPriority w:val="99"/>
    <w:semiHidden/>
    <w:rsid w:val="008B3AF0"/>
    <w:rPr>
      <w:rFonts w:ascii="Segoe UI" w:eastAsia="Times New Roman" w:hAnsi="Segoe UI" w:cs="Segoe UI"/>
      <w:sz w:val="18"/>
      <w:szCs w:val="18"/>
    </w:rPr>
  </w:style>
  <w:style w:type="paragraph" w:styleId="a9">
    <w:name w:val="header"/>
    <w:basedOn w:val="a"/>
    <w:link w:val="aa"/>
    <w:uiPriority w:val="99"/>
    <w:unhideWhenUsed/>
    <w:rsid w:val="00205018"/>
    <w:pPr>
      <w:tabs>
        <w:tab w:val="center" w:pos="4680"/>
        <w:tab w:val="right" w:pos="9360"/>
      </w:tabs>
    </w:pPr>
  </w:style>
  <w:style w:type="character" w:customStyle="1" w:styleId="aa">
    <w:name w:val="Верхний колонтитул Знак"/>
    <w:basedOn w:val="a0"/>
    <w:link w:val="a9"/>
    <w:uiPriority w:val="99"/>
    <w:rsid w:val="00205018"/>
    <w:rPr>
      <w:rFonts w:ascii="Times New Roman" w:eastAsia="Times New Roman" w:hAnsi="Times New Roman" w:cs="Times New Roman"/>
      <w:sz w:val="20"/>
      <w:szCs w:val="20"/>
    </w:rPr>
  </w:style>
  <w:style w:type="paragraph" w:styleId="ab">
    <w:name w:val="footer"/>
    <w:basedOn w:val="a"/>
    <w:link w:val="ac"/>
    <w:uiPriority w:val="99"/>
    <w:unhideWhenUsed/>
    <w:rsid w:val="00205018"/>
    <w:pPr>
      <w:tabs>
        <w:tab w:val="center" w:pos="4680"/>
        <w:tab w:val="right" w:pos="9360"/>
      </w:tabs>
    </w:pPr>
  </w:style>
  <w:style w:type="character" w:customStyle="1" w:styleId="ac">
    <w:name w:val="Нижний колонтитул Знак"/>
    <w:basedOn w:val="a0"/>
    <w:link w:val="ab"/>
    <w:uiPriority w:val="99"/>
    <w:rsid w:val="00205018"/>
    <w:rPr>
      <w:rFonts w:ascii="Times New Roman" w:eastAsia="Times New Roman" w:hAnsi="Times New Roman" w:cs="Times New Roman"/>
      <w:sz w:val="20"/>
      <w:szCs w:val="20"/>
    </w:rPr>
  </w:style>
  <w:style w:type="paragraph" w:styleId="ad">
    <w:name w:val="Normal (Web)"/>
    <w:basedOn w:val="a"/>
    <w:uiPriority w:val="99"/>
    <w:unhideWhenUsed/>
    <w:rsid w:val="003F2085"/>
    <w:pPr>
      <w:spacing w:before="100" w:beforeAutospacing="1" w:after="100" w:afterAutospacing="1"/>
      <w:ind w:firstLine="0"/>
      <w:jc w:val="left"/>
    </w:pPr>
    <w:rPr>
      <w:sz w:val="24"/>
      <w:szCs w:val="24"/>
    </w:rPr>
  </w:style>
  <w:style w:type="paragraph" w:styleId="ae">
    <w:name w:val="footnote text"/>
    <w:basedOn w:val="a"/>
    <w:link w:val="af"/>
    <w:uiPriority w:val="99"/>
    <w:unhideWhenUsed/>
    <w:rsid w:val="005A58E9"/>
    <w:pPr>
      <w:spacing w:after="80"/>
      <w:ind w:firstLine="0"/>
      <w:jc w:val="left"/>
    </w:pPr>
    <w:rPr>
      <w:rFonts w:asciiTheme="minorHAnsi" w:eastAsiaTheme="minorEastAsia" w:hAnsiTheme="minorHAnsi" w:cstheme="minorBidi"/>
      <w:sz w:val="22"/>
      <w:szCs w:val="22"/>
    </w:rPr>
  </w:style>
  <w:style w:type="character" w:customStyle="1" w:styleId="af">
    <w:name w:val="Текст сноски Знак"/>
    <w:basedOn w:val="a0"/>
    <w:link w:val="ae"/>
    <w:uiPriority w:val="99"/>
    <w:rsid w:val="005A58E9"/>
    <w:rPr>
      <w:rFonts w:eastAsiaTheme="minorEastAsia"/>
    </w:rPr>
  </w:style>
  <w:style w:type="character" w:styleId="af0">
    <w:name w:val="footnote reference"/>
    <w:basedOn w:val="a0"/>
    <w:uiPriority w:val="99"/>
    <w:unhideWhenUsed/>
    <w:rsid w:val="005A58E9"/>
    <w:rPr>
      <w:vertAlign w:val="superscript"/>
    </w:rPr>
  </w:style>
  <w:style w:type="character" w:customStyle="1" w:styleId="a4">
    <w:name w:val="Абзац списка Знак"/>
    <w:basedOn w:val="a0"/>
    <w:link w:val="a3"/>
    <w:uiPriority w:val="34"/>
    <w:locked/>
    <w:rsid w:val="00201CBA"/>
    <w:rPr>
      <w:rFonts w:ascii="Times New Roman" w:eastAsia="Times New Roman" w:hAnsi="Times New Roman" w:cs="Times New Roman"/>
      <w:sz w:val="20"/>
      <w:szCs w:val="20"/>
    </w:rPr>
  </w:style>
  <w:style w:type="paragraph" w:customStyle="1" w:styleId="cb">
    <w:name w:val="cb"/>
    <w:basedOn w:val="a"/>
    <w:rsid w:val="00205E52"/>
    <w:pPr>
      <w:spacing w:before="100" w:beforeAutospacing="1" w:after="100" w:afterAutospacing="1"/>
      <w:ind w:firstLine="0"/>
      <w:jc w:val="left"/>
    </w:pPr>
    <w:rPr>
      <w:sz w:val="24"/>
      <w:szCs w:val="24"/>
    </w:rPr>
  </w:style>
  <w:style w:type="paragraph" w:customStyle="1" w:styleId="tt">
    <w:name w:val="tt"/>
    <w:basedOn w:val="a"/>
    <w:rsid w:val="00205E52"/>
    <w:pPr>
      <w:spacing w:before="100" w:beforeAutospacing="1" w:after="100" w:afterAutospacing="1"/>
      <w:ind w:firstLine="0"/>
      <w:jc w:val="left"/>
    </w:pPr>
    <w:rPr>
      <w:sz w:val="24"/>
      <w:szCs w:val="24"/>
    </w:rPr>
  </w:style>
  <w:style w:type="paragraph" w:customStyle="1" w:styleId="md">
    <w:name w:val="md"/>
    <w:basedOn w:val="a"/>
    <w:rsid w:val="007E75A0"/>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9218">
      <w:bodyDiv w:val="1"/>
      <w:marLeft w:val="0"/>
      <w:marRight w:val="0"/>
      <w:marTop w:val="0"/>
      <w:marBottom w:val="0"/>
      <w:divBdr>
        <w:top w:val="none" w:sz="0" w:space="0" w:color="auto"/>
        <w:left w:val="none" w:sz="0" w:space="0" w:color="auto"/>
        <w:bottom w:val="none" w:sz="0" w:space="0" w:color="auto"/>
        <w:right w:val="none" w:sz="0" w:space="0" w:color="auto"/>
      </w:divBdr>
    </w:div>
    <w:div w:id="567225175">
      <w:bodyDiv w:val="1"/>
      <w:marLeft w:val="0"/>
      <w:marRight w:val="0"/>
      <w:marTop w:val="0"/>
      <w:marBottom w:val="0"/>
      <w:divBdr>
        <w:top w:val="none" w:sz="0" w:space="0" w:color="auto"/>
        <w:left w:val="none" w:sz="0" w:space="0" w:color="auto"/>
        <w:bottom w:val="none" w:sz="0" w:space="0" w:color="auto"/>
        <w:right w:val="none" w:sz="0" w:space="0" w:color="auto"/>
      </w:divBdr>
    </w:div>
    <w:div w:id="624506564">
      <w:bodyDiv w:val="1"/>
      <w:marLeft w:val="0"/>
      <w:marRight w:val="0"/>
      <w:marTop w:val="0"/>
      <w:marBottom w:val="0"/>
      <w:divBdr>
        <w:top w:val="none" w:sz="0" w:space="0" w:color="auto"/>
        <w:left w:val="none" w:sz="0" w:space="0" w:color="auto"/>
        <w:bottom w:val="none" w:sz="0" w:space="0" w:color="auto"/>
        <w:right w:val="none" w:sz="0" w:space="0" w:color="auto"/>
      </w:divBdr>
    </w:div>
    <w:div w:id="941455380">
      <w:bodyDiv w:val="1"/>
      <w:marLeft w:val="0"/>
      <w:marRight w:val="0"/>
      <w:marTop w:val="0"/>
      <w:marBottom w:val="0"/>
      <w:divBdr>
        <w:top w:val="none" w:sz="0" w:space="0" w:color="auto"/>
        <w:left w:val="none" w:sz="0" w:space="0" w:color="auto"/>
        <w:bottom w:val="none" w:sz="0" w:space="0" w:color="auto"/>
        <w:right w:val="none" w:sz="0" w:space="0" w:color="auto"/>
      </w:divBdr>
    </w:div>
    <w:div w:id="1037970022">
      <w:bodyDiv w:val="1"/>
      <w:marLeft w:val="0"/>
      <w:marRight w:val="0"/>
      <w:marTop w:val="0"/>
      <w:marBottom w:val="0"/>
      <w:divBdr>
        <w:top w:val="none" w:sz="0" w:space="0" w:color="auto"/>
        <w:left w:val="none" w:sz="0" w:space="0" w:color="auto"/>
        <w:bottom w:val="none" w:sz="0" w:space="0" w:color="auto"/>
        <w:right w:val="none" w:sz="0" w:space="0" w:color="auto"/>
      </w:divBdr>
    </w:div>
    <w:div w:id="1162891097">
      <w:bodyDiv w:val="1"/>
      <w:marLeft w:val="0"/>
      <w:marRight w:val="0"/>
      <w:marTop w:val="0"/>
      <w:marBottom w:val="0"/>
      <w:divBdr>
        <w:top w:val="none" w:sz="0" w:space="0" w:color="auto"/>
        <w:left w:val="none" w:sz="0" w:space="0" w:color="auto"/>
        <w:bottom w:val="none" w:sz="0" w:space="0" w:color="auto"/>
        <w:right w:val="none" w:sz="0" w:space="0" w:color="auto"/>
      </w:divBdr>
    </w:div>
    <w:div w:id="1230455290">
      <w:bodyDiv w:val="1"/>
      <w:marLeft w:val="0"/>
      <w:marRight w:val="0"/>
      <w:marTop w:val="0"/>
      <w:marBottom w:val="0"/>
      <w:divBdr>
        <w:top w:val="none" w:sz="0" w:space="0" w:color="auto"/>
        <w:left w:val="none" w:sz="0" w:space="0" w:color="auto"/>
        <w:bottom w:val="none" w:sz="0" w:space="0" w:color="auto"/>
        <w:right w:val="none" w:sz="0" w:space="0" w:color="auto"/>
      </w:divBdr>
    </w:div>
    <w:div w:id="1254431293">
      <w:bodyDiv w:val="1"/>
      <w:marLeft w:val="0"/>
      <w:marRight w:val="0"/>
      <w:marTop w:val="0"/>
      <w:marBottom w:val="0"/>
      <w:divBdr>
        <w:top w:val="none" w:sz="0" w:space="0" w:color="auto"/>
        <w:left w:val="none" w:sz="0" w:space="0" w:color="auto"/>
        <w:bottom w:val="none" w:sz="0" w:space="0" w:color="auto"/>
        <w:right w:val="none" w:sz="0" w:space="0" w:color="auto"/>
      </w:divBdr>
    </w:div>
    <w:div w:id="1535312728">
      <w:bodyDiv w:val="1"/>
      <w:marLeft w:val="0"/>
      <w:marRight w:val="0"/>
      <w:marTop w:val="0"/>
      <w:marBottom w:val="0"/>
      <w:divBdr>
        <w:top w:val="none" w:sz="0" w:space="0" w:color="auto"/>
        <w:left w:val="none" w:sz="0" w:space="0" w:color="auto"/>
        <w:bottom w:val="none" w:sz="0" w:space="0" w:color="auto"/>
        <w:right w:val="none" w:sz="0" w:space="0" w:color="auto"/>
      </w:divBdr>
      <w:divsChild>
        <w:div w:id="930161883">
          <w:marLeft w:val="360"/>
          <w:marRight w:val="0"/>
          <w:marTop w:val="200"/>
          <w:marBottom w:val="0"/>
          <w:divBdr>
            <w:top w:val="none" w:sz="0" w:space="0" w:color="auto"/>
            <w:left w:val="none" w:sz="0" w:space="0" w:color="auto"/>
            <w:bottom w:val="none" w:sz="0" w:space="0" w:color="auto"/>
            <w:right w:val="none" w:sz="0" w:space="0" w:color="auto"/>
          </w:divBdr>
        </w:div>
        <w:div w:id="1978797108">
          <w:marLeft w:val="360"/>
          <w:marRight w:val="0"/>
          <w:marTop w:val="200"/>
          <w:marBottom w:val="0"/>
          <w:divBdr>
            <w:top w:val="none" w:sz="0" w:space="0" w:color="auto"/>
            <w:left w:val="none" w:sz="0" w:space="0" w:color="auto"/>
            <w:bottom w:val="none" w:sz="0" w:space="0" w:color="auto"/>
            <w:right w:val="none" w:sz="0" w:space="0" w:color="auto"/>
          </w:divBdr>
        </w:div>
        <w:div w:id="2098360893">
          <w:marLeft w:val="360"/>
          <w:marRight w:val="0"/>
          <w:marTop w:val="200"/>
          <w:marBottom w:val="0"/>
          <w:divBdr>
            <w:top w:val="none" w:sz="0" w:space="0" w:color="auto"/>
            <w:left w:val="none" w:sz="0" w:space="0" w:color="auto"/>
            <w:bottom w:val="none" w:sz="0" w:space="0" w:color="auto"/>
            <w:right w:val="none" w:sz="0" w:space="0" w:color="auto"/>
          </w:divBdr>
        </w:div>
        <w:div w:id="1584872294">
          <w:marLeft w:val="360"/>
          <w:marRight w:val="0"/>
          <w:marTop w:val="200"/>
          <w:marBottom w:val="0"/>
          <w:divBdr>
            <w:top w:val="none" w:sz="0" w:space="0" w:color="auto"/>
            <w:left w:val="none" w:sz="0" w:space="0" w:color="auto"/>
            <w:bottom w:val="none" w:sz="0" w:space="0" w:color="auto"/>
            <w:right w:val="none" w:sz="0" w:space="0" w:color="auto"/>
          </w:divBdr>
        </w:div>
      </w:divsChild>
    </w:div>
    <w:div w:id="1555971606">
      <w:bodyDiv w:val="1"/>
      <w:marLeft w:val="0"/>
      <w:marRight w:val="0"/>
      <w:marTop w:val="0"/>
      <w:marBottom w:val="0"/>
      <w:divBdr>
        <w:top w:val="none" w:sz="0" w:space="0" w:color="auto"/>
        <w:left w:val="none" w:sz="0" w:space="0" w:color="auto"/>
        <w:bottom w:val="none" w:sz="0" w:space="0" w:color="auto"/>
        <w:right w:val="none" w:sz="0" w:space="0" w:color="auto"/>
      </w:divBdr>
    </w:div>
    <w:div w:id="18128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f.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1735</Words>
  <Characters>9893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Dubovicenco</dc:creator>
  <cp:keywords/>
  <dc:description/>
  <cp:lastModifiedBy>Gherta Alina</cp:lastModifiedBy>
  <cp:revision>37</cp:revision>
  <cp:lastPrinted>2019-11-04T07:25:00Z</cp:lastPrinted>
  <dcterms:created xsi:type="dcterms:W3CDTF">2019-10-31T08:25:00Z</dcterms:created>
  <dcterms:modified xsi:type="dcterms:W3CDTF">2019-11-25T09:42:00Z</dcterms:modified>
</cp:coreProperties>
</file>