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C55BB" w14:textId="77777777" w:rsidR="008F5A27" w:rsidRPr="00D30401" w:rsidRDefault="008F5A27" w:rsidP="008F5A27">
      <w:pPr>
        <w:tabs>
          <w:tab w:val="left" w:pos="884"/>
          <w:tab w:val="left" w:pos="1196"/>
        </w:tabs>
        <w:jc w:val="center"/>
        <w:rPr>
          <w:b/>
          <w:sz w:val="28"/>
          <w:szCs w:val="28"/>
        </w:rPr>
      </w:pPr>
      <w:bookmarkStart w:id="0" w:name="_GoBack"/>
      <w:bookmarkEnd w:id="0"/>
      <w:r w:rsidRPr="00D30401">
        <w:rPr>
          <w:b/>
          <w:sz w:val="28"/>
          <w:szCs w:val="28"/>
        </w:rPr>
        <w:t>SINTEZA</w:t>
      </w:r>
    </w:p>
    <w:p w14:paraId="7D1B7085" w14:textId="34809D09" w:rsidR="002F207F" w:rsidRPr="00D30401" w:rsidRDefault="008F5A27" w:rsidP="00E35B3F">
      <w:pPr>
        <w:tabs>
          <w:tab w:val="left" w:pos="884"/>
          <w:tab w:val="left" w:pos="1196"/>
        </w:tabs>
        <w:jc w:val="center"/>
        <w:rPr>
          <w:b/>
          <w:sz w:val="28"/>
          <w:szCs w:val="28"/>
        </w:rPr>
      </w:pPr>
      <w:r w:rsidRPr="00D30401">
        <w:rPr>
          <w:b/>
          <w:sz w:val="28"/>
          <w:szCs w:val="28"/>
        </w:rPr>
        <w:t>obiecţiilor şi propunerilor (recomandărilor)</w:t>
      </w:r>
    </w:p>
    <w:p w14:paraId="06113375" w14:textId="61040B8E" w:rsidR="002F207F" w:rsidRPr="00D30401" w:rsidRDefault="002F207F" w:rsidP="002F207F">
      <w:pPr>
        <w:jc w:val="center"/>
        <w:rPr>
          <w:rFonts w:eastAsia="Calibri"/>
          <w:b/>
          <w:bCs/>
          <w:color w:val="000000"/>
          <w:sz w:val="28"/>
          <w:szCs w:val="28"/>
        </w:rPr>
      </w:pPr>
      <w:r w:rsidRPr="00D30401">
        <w:rPr>
          <w:rFonts w:eastAsia="Calibri"/>
          <w:b/>
          <w:color w:val="000000"/>
          <w:sz w:val="28"/>
          <w:szCs w:val="28"/>
        </w:rPr>
        <w:t xml:space="preserve">la proiectul hotărîrii de Guvern pentru modificarea </w:t>
      </w:r>
      <w:r w:rsidRPr="00D30401">
        <w:rPr>
          <w:rFonts w:eastAsia="Calibri"/>
          <w:b/>
          <w:bCs/>
          <w:color w:val="000000"/>
          <w:sz w:val="28"/>
          <w:szCs w:val="28"/>
        </w:rPr>
        <w:t>Hotărîrii Guvernului nr. 1167/2008 pentru aprobarea Regulamentului cu privire la modul de stabilire şi plată a ajutorului social</w:t>
      </w:r>
    </w:p>
    <w:p w14:paraId="3731429C" w14:textId="77777777" w:rsidR="008F5A27" w:rsidRPr="00D30401" w:rsidRDefault="008F5A27" w:rsidP="008F5A27">
      <w:pPr>
        <w:tabs>
          <w:tab w:val="left" w:pos="884"/>
          <w:tab w:val="left" w:pos="1196"/>
        </w:tabs>
        <w:rPr>
          <w:b/>
        </w:rPr>
      </w:pPr>
    </w:p>
    <w:tbl>
      <w:tblPr>
        <w:tblW w:w="14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5"/>
        <w:gridCol w:w="8010"/>
        <w:gridCol w:w="4239"/>
      </w:tblGrid>
      <w:tr w:rsidR="008F5A27" w:rsidRPr="00D30401" w14:paraId="6E768B2E" w14:textId="77777777" w:rsidTr="007866D3">
        <w:tc>
          <w:tcPr>
            <w:tcW w:w="2065" w:type="dxa"/>
            <w:shd w:val="clear" w:color="auto" w:fill="FFFFFF"/>
          </w:tcPr>
          <w:p w14:paraId="77D52273" w14:textId="77777777" w:rsidR="008F5A27" w:rsidRPr="00514863" w:rsidRDefault="008F5A27" w:rsidP="0098680F">
            <w:pPr>
              <w:tabs>
                <w:tab w:val="left" w:pos="884"/>
                <w:tab w:val="left" w:pos="1196"/>
              </w:tabs>
              <w:ind w:right="-15"/>
              <w:jc w:val="center"/>
              <w:rPr>
                <w:b/>
                <w:sz w:val="28"/>
                <w:szCs w:val="28"/>
                <w:lang w:val="fr-FR"/>
              </w:rPr>
            </w:pPr>
            <w:r w:rsidRPr="00514863">
              <w:rPr>
                <w:b/>
                <w:sz w:val="28"/>
                <w:szCs w:val="28"/>
                <w:lang w:val="fr-FR"/>
              </w:rPr>
              <w:t xml:space="preserve">Participantul </w:t>
            </w:r>
          </w:p>
          <w:p w14:paraId="4697966E" w14:textId="77777777" w:rsidR="008F5A27" w:rsidRPr="00514863" w:rsidRDefault="008F5A27" w:rsidP="0098680F">
            <w:pPr>
              <w:tabs>
                <w:tab w:val="left" w:pos="884"/>
                <w:tab w:val="left" w:pos="1196"/>
              </w:tabs>
              <w:ind w:right="-15"/>
              <w:jc w:val="center"/>
              <w:rPr>
                <w:b/>
                <w:sz w:val="28"/>
                <w:szCs w:val="28"/>
                <w:lang w:val="fr-FR"/>
              </w:rPr>
            </w:pPr>
            <w:r w:rsidRPr="00514863">
              <w:rPr>
                <w:b/>
                <w:sz w:val="28"/>
                <w:szCs w:val="28"/>
                <w:lang w:val="fr-FR"/>
              </w:rPr>
              <w:t xml:space="preserve">la avizare (expertizare)/ consultare publică </w:t>
            </w:r>
          </w:p>
        </w:tc>
        <w:tc>
          <w:tcPr>
            <w:tcW w:w="8010" w:type="dxa"/>
            <w:shd w:val="clear" w:color="auto" w:fill="FFFFFF"/>
          </w:tcPr>
          <w:p w14:paraId="4072CF28" w14:textId="77777777" w:rsidR="008F5A27" w:rsidRPr="00D30401" w:rsidRDefault="008F5A27" w:rsidP="0098680F">
            <w:pPr>
              <w:tabs>
                <w:tab w:val="left" w:pos="884"/>
                <w:tab w:val="left" w:pos="1196"/>
              </w:tabs>
              <w:jc w:val="center"/>
              <w:rPr>
                <w:b/>
                <w:sz w:val="28"/>
                <w:szCs w:val="28"/>
              </w:rPr>
            </w:pPr>
            <w:r w:rsidRPr="00D30401">
              <w:rPr>
                <w:b/>
                <w:sz w:val="28"/>
                <w:szCs w:val="28"/>
              </w:rPr>
              <w:t>Conţinutul obiecţiei/</w:t>
            </w:r>
          </w:p>
          <w:p w14:paraId="0F81F92A" w14:textId="77777777" w:rsidR="008F5A27" w:rsidRPr="00D30401" w:rsidRDefault="008F5A27" w:rsidP="0098680F">
            <w:pPr>
              <w:tabs>
                <w:tab w:val="left" w:pos="884"/>
                <w:tab w:val="left" w:pos="1196"/>
              </w:tabs>
              <w:jc w:val="center"/>
              <w:rPr>
                <w:b/>
                <w:sz w:val="28"/>
                <w:szCs w:val="28"/>
              </w:rPr>
            </w:pPr>
            <w:r w:rsidRPr="00D30401">
              <w:rPr>
                <w:b/>
                <w:sz w:val="28"/>
                <w:szCs w:val="28"/>
              </w:rPr>
              <w:t>propunerii (recomandării)</w:t>
            </w:r>
          </w:p>
        </w:tc>
        <w:tc>
          <w:tcPr>
            <w:tcW w:w="4239" w:type="dxa"/>
            <w:shd w:val="clear" w:color="auto" w:fill="FFFFFF"/>
          </w:tcPr>
          <w:p w14:paraId="08408C9D" w14:textId="77777777" w:rsidR="008F5A27" w:rsidRPr="00D30401" w:rsidRDefault="008F5A27" w:rsidP="0098680F">
            <w:pPr>
              <w:tabs>
                <w:tab w:val="left" w:pos="884"/>
                <w:tab w:val="left" w:pos="1196"/>
              </w:tabs>
              <w:jc w:val="center"/>
              <w:rPr>
                <w:b/>
                <w:sz w:val="28"/>
                <w:szCs w:val="28"/>
              </w:rPr>
            </w:pPr>
            <w:r w:rsidRPr="00D30401">
              <w:rPr>
                <w:b/>
                <w:sz w:val="28"/>
                <w:szCs w:val="28"/>
              </w:rPr>
              <w:t xml:space="preserve">Argumentarea </w:t>
            </w:r>
          </w:p>
          <w:p w14:paraId="2F5F1A09" w14:textId="77777777" w:rsidR="008F5A27" w:rsidRPr="00D30401" w:rsidRDefault="008F5A27" w:rsidP="0098680F">
            <w:pPr>
              <w:tabs>
                <w:tab w:val="left" w:pos="884"/>
                <w:tab w:val="left" w:pos="1196"/>
              </w:tabs>
              <w:jc w:val="center"/>
              <w:rPr>
                <w:b/>
                <w:sz w:val="28"/>
                <w:szCs w:val="28"/>
              </w:rPr>
            </w:pPr>
            <w:r w:rsidRPr="00D30401">
              <w:rPr>
                <w:b/>
                <w:sz w:val="28"/>
                <w:szCs w:val="28"/>
              </w:rPr>
              <w:t>autorului proiectului</w:t>
            </w:r>
          </w:p>
        </w:tc>
      </w:tr>
      <w:tr w:rsidR="008F5A27" w:rsidRPr="00D30401" w14:paraId="67BC48E2" w14:textId="77777777" w:rsidTr="007866D3">
        <w:trPr>
          <w:trHeight w:val="323"/>
        </w:trPr>
        <w:tc>
          <w:tcPr>
            <w:tcW w:w="2065" w:type="dxa"/>
            <w:vMerge w:val="restart"/>
          </w:tcPr>
          <w:p w14:paraId="54C66197" w14:textId="2948238B" w:rsidR="008F5A27" w:rsidRPr="00CD1BC9" w:rsidRDefault="006B4852" w:rsidP="0098680F">
            <w:pPr>
              <w:tabs>
                <w:tab w:val="left" w:pos="884"/>
                <w:tab w:val="left" w:pos="1196"/>
              </w:tabs>
              <w:rPr>
                <w:b/>
              </w:rPr>
            </w:pPr>
            <w:r w:rsidRPr="00CD1BC9">
              <w:rPr>
                <w:b/>
              </w:rPr>
              <w:t>Ministerul Justiției</w:t>
            </w:r>
          </w:p>
        </w:tc>
        <w:tc>
          <w:tcPr>
            <w:tcW w:w="8010" w:type="dxa"/>
          </w:tcPr>
          <w:p w14:paraId="599ABDB0" w14:textId="77777777" w:rsidR="008F5A27" w:rsidRPr="00CD1BC9" w:rsidRDefault="008F5A27" w:rsidP="0098680F">
            <w:pPr>
              <w:tabs>
                <w:tab w:val="left" w:pos="884"/>
                <w:tab w:val="left" w:pos="1196"/>
              </w:tabs>
              <w:rPr>
                <w:b/>
              </w:rPr>
            </w:pPr>
            <w:r w:rsidRPr="00CD1BC9">
              <w:rPr>
                <w:b/>
              </w:rPr>
              <w:t>I. Obiecţiile</w:t>
            </w:r>
          </w:p>
        </w:tc>
        <w:tc>
          <w:tcPr>
            <w:tcW w:w="4239" w:type="dxa"/>
          </w:tcPr>
          <w:p w14:paraId="206BEEFE" w14:textId="77777777" w:rsidR="008F5A27" w:rsidRPr="00D30401" w:rsidRDefault="008F5A27" w:rsidP="0098680F">
            <w:pPr>
              <w:pStyle w:val="a6"/>
              <w:tabs>
                <w:tab w:val="left" w:pos="-14"/>
              </w:tabs>
              <w:ind w:left="-14"/>
              <w:rPr>
                <w:highlight w:val="yellow"/>
              </w:rPr>
            </w:pPr>
          </w:p>
        </w:tc>
      </w:tr>
      <w:tr w:rsidR="00C24B7E" w:rsidRPr="00514863" w14:paraId="097FFC56" w14:textId="77777777" w:rsidTr="00D323B0">
        <w:trPr>
          <w:trHeight w:val="4374"/>
        </w:trPr>
        <w:tc>
          <w:tcPr>
            <w:tcW w:w="2065" w:type="dxa"/>
            <w:vMerge/>
          </w:tcPr>
          <w:p w14:paraId="3D44F24C" w14:textId="77777777" w:rsidR="00C24B7E" w:rsidRPr="00D30401" w:rsidRDefault="00C24B7E" w:rsidP="0098680F">
            <w:pPr>
              <w:tabs>
                <w:tab w:val="left" w:pos="884"/>
                <w:tab w:val="left" w:pos="1196"/>
              </w:tabs>
            </w:pPr>
          </w:p>
        </w:tc>
        <w:tc>
          <w:tcPr>
            <w:tcW w:w="8010" w:type="dxa"/>
          </w:tcPr>
          <w:p w14:paraId="1AA2E4A0" w14:textId="77777777" w:rsidR="00CD1BC9" w:rsidRPr="00514863" w:rsidRDefault="00CD1BC9" w:rsidP="00E26D63">
            <w:pPr>
              <w:jc w:val="both"/>
              <w:rPr>
                <w:lang w:val="fr-FR" w:eastAsia="en-US"/>
              </w:rPr>
            </w:pPr>
            <w:r w:rsidRPr="00514863">
              <w:rPr>
                <w:lang w:val="fr-FR" w:eastAsia="en-US"/>
              </w:rPr>
              <w:t xml:space="preserve">Sub aspectul intenţiei de reglementare, potrivit notei informative, prezentul proiect de act normativ a fost elaborat în scopul eficientizării procedurii de solicitare a ajutorului social şi susţinerea unui număr mai mare de familii defavorizate prin Programul de ajutor social.   </w:t>
            </w:r>
          </w:p>
          <w:p w14:paraId="329CC8E0" w14:textId="77777777" w:rsidR="001520D8" w:rsidRPr="00514863" w:rsidRDefault="00CD1BC9" w:rsidP="00E26D63">
            <w:pPr>
              <w:jc w:val="both"/>
              <w:rPr>
                <w:lang w:val="fr-FR" w:eastAsia="en-US"/>
              </w:rPr>
            </w:pPr>
            <w:r w:rsidRPr="00514863">
              <w:rPr>
                <w:lang w:val="fr-FR" w:eastAsia="en-US"/>
              </w:rPr>
              <w:t xml:space="preserve">Raţionamentele expuse de iniţiator în notă reflectă motivul emiterii actului normativ şi cerinţele care au impus intervenţia normativă.            </w:t>
            </w:r>
          </w:p>
          <w:p w14:paraId="146F5D90" w14:textId="77777777" w:rsidR="001520D8" w:rsidRPr="00514863" w:rsidRDefault="00CD1BC9" w:rsidP="00E26D63">
            <w:pPr>
              <w:jc w:val="both"/>
              <w:rPr>
                <w:lang w:val="fr-FR" w:eastAsia="en-US"/>
              </w:rPr>
            </w:pPr>
            <w:r w:rsidRPr="00514863">
              <w:rPr>
                <w:lang w:val="fr-FR" w:eastAsia="en-US"/>
              </w:rPr>
              <w:t>Observaţii de ordin conceptual nu avem de formulat.</w:t>
            </w:r>
          </w:p>
          <w:p w14:paraId="6D71A3EE" w14:textId="77777777" w:rsidR="001520D8" w:rsidRPr="00514863" w:rsidRDefault="00CD1BC9" w:rsidP="00E26D63">
            <w:pPr>
              <w:jc w:val="both"/>
              <w:rPr>
                <w:lang w:val="fr-FR" w:eastAsia="en-US"/>
              </w:rPr>
            </w:pPr>
            <w:r w:rsidRPr="00514863">
              <w:rPr>
                <w:lang w:val="fr-FR" w:eastAsia="en-US"/>
              </w:rPr>
              <w:t xml:space="preserve">Totodată, menţionăm că, în cazul în care structurile teritoriale de asistenţă socială au acces la informaţiile incluse în Registrul de stat al populaţiei, recomandăm examinarea posibilităţii excluderii cerinţei de a solicita de la  persoanele specificate în regulamentul respectiv prezentarea unor acte de stare civilă. </w:t>
            </w:r>
          </w:p>
          <w:p w14:paraId="0F94FB08" w14:textId="77777777" w:rsidR="0012643B" w:rsidRPr="00514863" w:rsidRDefault="00CD1BC9" w:rsidP="00E26D63">
            <w:pPr>
              <w:jc w:val="both"/>
              <w:rPr>
                <w:lang w:val="fr-FR" w:eastAsia="en-US"/>
              </w:rPr>
            </w:pPr>
            <w:r w:rsidRPr="00514863">
              <w:rPr>
                <w:lang w:val="fr-FR" w:eastAsia="en-US"/>
              </w:rPr>
              <w:t xml:space="preserve">Pe plan redacţional în raport cu normele de tehnică legislativă şi a cerinţelor de calitate a actului normativ expunem următoarele observaţii şi recomandări. </w:t>
            </w:r>
          </w:p>
          <w:p w14:paraId="7D4685C3" w14:textId="77777777" w:rsidR="0012643B" w:rsidRPr="00514863" w:rsidRDefault="00CD1BC9" w:rsidP="00E26D63">
            <w:pPr>
              <w:jc w:val="both"/>
              <w:rPr>
                <w:lang w:val="fr-FR" w:eastAsia="en-US"/>
              </w:rPr>
            </w:pPr>
            <w:r w:rsidRPr="00514863">
              <w:rPr>
                <w:lang w:val="fr-FR" w:eastAsia="en-US"/>
              </w:rPr>
              <w:t xml:space="preserve">La pct. 1: </w:t>
            </w:r>
          </w:p>
          <w:p w14:paraId="64C6C130" w14:textId="77777777" w:rsidR="0012643B" w:rsidRPr="00514863" w:rsidRDefault="00CD1BC9" w:rsidP="00E26D63">
            <w:pPr>
              <w:jc w:val="both"/>
              <w:rPr>
                <w:lang w:val="fr-FR" w:eastAsia="en-US"/>
              </w:rPr>
            </w:pPr>
            <w:r w:rsidRPr="00514863">
              <w:rPr>
                <w:lang w:val="fr-FR" w:eastAsia="en-US"/>
              </w:rPr>
              <w:t>La sbp. 1) remarcăm că, dacă un număr este format din două sau mai multe cifre, pentru identificarea acestuia în actele normative de modificare se foloseşte cuvîntul „cifrele”, şi nu „cifra”.</w:t>
            </w:r>
          </w:p>
          <w:p w14:paraId="305E1B0D" w14:textId="77777777" w:rsidR="0012643B" w:rsidRPr="00514863" w:rsidRDefault="00CD1BC9" w:rsidP="00E26D63">
            <w:pPr>
              <w:jc w:val="both"/>
              <w:rPr>
                <w:lang w:val="fr-FR" w:eastAsia="en-US"/>
              </w:rPr>
            </w:pPr>
            <w:r w:rsidRPr="00514863">
              <w:rPr>
                <w:lang w:val="fr-FR" w:eastAsia="en-US"/>
              </w:rPr>
              <w:t xml:space="preserve">La sbp. 2) menţionăm că, deoarece se modifică concomitent atît Hotărîrea Guvernului privind aprobarea Regulamentului, cât şi Regulamentul respectiv, la sbp. 2)  se va utiliza următoarea formulă: </w:t>
            </w:r>
          </w:p>
          <w:p w14:paraId="2ABEE500" w14:textId="77777777" w:rsidR="0012643B" w:rsidRPr="00514863" w:rsidRDefault="00CD1BC9" w:rsidP="00E26D63">
            <w:pPr>
              <w:jc w:val="both"/>
              <w:rPr>
                <w:lang w:val="fr-FR" w:eastAsia="en-US"/>
              </w:rPr>
            </w:pPr>
            <w:r w:rsidRPr="00514863">
              <w:rPr>
                <w:lang w:val="fr-FR" w:eastAsia="en-US"/>
              </w:rPr>
              <w:t>„2) în Regulament:”</w:t>
            </w:r>
          </w:p>
          <w:p w14:paraId="40FE68F9" w14:textId="77777777" w:rsidR="0012643B" w:rsidRPr="00514863" w:rsidRDefault="00CD1BC9" w:rsidP="00E26D63">
            <w:pPr>
              <w:jc w:val="both"/>
              <w:rPr>
                <w:lang w:val="fr-FR" w:eastAsia="en-US"/>
              </w:rPr>
            </w:pPr>
            <w:r w:rsidRPr="00514863">
              <w:rPr>
                <w:lang w:val="fr-FR" w:eastAsia="en-US"/>
              </w:rPr>
              <w:t xml:space="preserve">La pct. 2 </w:t>
            </w:r>
            <w:r w:rsidR="0012643B" w:rsidRPr="00514863">
              <w:rPr>
                <w:lang w:val="fr-FR" w:eastAsia="en-US"/>
              </w:rPr>
              <w:t>atenționăm</w:t>
            </w:r>
            <w:r w:rsidRPr="00514863">
              <w:rPr>
                <w:lang w:val="fr-FR" w:eastAsia="en-US"/>
              </w:rPr>
              <w:t xml:space="preserve"> că,  stabilirea datei de 1 noiembrie 2019 pentru aplicarea noilor prevederi va genera situaţia când data aplicării noilor reglementări precede data intrării în vigoare a actului normativ respectiv, fapt ce contravine principiului neretroactivităţii legii şi este inadmisibil. Totodată, menţionăm că, punerea în aplicare a unor noi norme ține de subiecții care implementează norma </w:t>
            </w:r>
            <w:r w:rsidRPr="00514863">
              <w:rPr>
                <w:lang w:val="fr-FR" w:eastAsia="en-US"/>
              </w:rPr>
              <w:lastRenderedPageBreak/>
              <w:t>juridică, iar intrarea în</w:t>
            </w:r>
            <w:r w:rsidRPr="00514863">
              <w:rPr>
                <w:lang w:val="fr-FR"/>
              </w:rPr>
              <w:t xml:space="preserve"> </w:t>
            </w:r>
            <w:r w:rsidRPr="00514863">
              <w:rPr>
                <w:lang w:val="fr-FR" w:eastAsia="en-US"/>
              </w:rPr>
              <w:t>vigoare a actului normativ se referă la momentul din care norma juridică produce efecte juridice.</w:t>
            </w:r>
          </w:p>
          <w:p w14:paraId="410B68F5" w14:textId="77777777" w:rsidR="0012643B" w:rsidRPr="00514863" w:rsidRDefault="00CD1BC9" w:rsidP="00E26D63">
            <w:pPr>
              <w:jc w:val="both"/>
              <w:rPr>
                <w:lang w:val="fr-FR" w:eastAsia="en-US"/>
              </w:rPr>
            </w:pPr>
            <w:r w:rsidRPr="00514863">
              <w:rPr>
                <w:lang w:val="fr-FR" w:eastAsia="en-US"/>
              </w:rPr>
              <w:t xml:space="preserve">Într-o altă ordine de idei menţionăm ca fiind nejustificat de a pune în aplicare  începînd cu 1 noiembrie 2019 a prevederilor pct. 29 din Regulament şi a Anexei nr. 1. Or, în conformitate cu pct. 32 din Regulamentul supus amendării, ajutorul social sau, după caz, ajutorul pentru perioada rece a anului se acordă, </w:t>
            </w:r>
            <w:r w:rsidRPr="00514863">
              <w:rPr>
                <w:i/>
                <w:iCs/>
                <w:u w:val="single"/>
                <w:lang w:val="fr-FR" w:eastAsia="en-US"/>
              </w:rPr>
              <w:t>începînd cu luna în care cererea de acordare a acestora a fost înregistrată la structura teritorială de asistenţă socială</w:t>
            </w:r>
            <w:r w:rsidRPr="00514863">
              <w:rPr>
                <w:lang w:val="fr-FR" w:eastAsia="en-US"/>
              </w:rPr>
              <w:t xml:space="preserve">. Astfel, cererea pentru acordarea ajutorului social în redacţia propusă de autorul proiectului (Anexa nr. 1 la Regulament), va fi adusă la cunoştinţa persoanelor prin publicarea acesteia pe pagina web oficială a autorităţii publice urmare a intrării în vigoare a noilor reglementări după publicarea acestora în Monitorul Oficial al Republicii Moldova. Complementar menţionăm că, calcularea scorului punctajului indicatorilor de bunăstare prin majorarea acestuia cu 2,82 puncte poate avea loc doar din momentul intrării în vigoare a noilor prevederi. </w:t>
            </w:r>
          </w:p>
          <w:p w14:paraId="6BFA5ACC" w14:textId="77777777" w:rsidR="00266FA8" w:rsidRPr="00514863" w:rsidRDefault="00CD1BC9" w:rsidP="00E26D63">
            <w:pPr>
              <w:jc w:val="both"/>
              <w:rPr>
                <w:lang w:val="en-US" w:eastAsia="en-US"/>
              </w:rPr>
            </w:pPr>
            <w:r w:rsidRPr="00514863">
              <w:rPr>
                <w:lang w:val="en-US" w:eastAsia="en-US"/>
              </w:rPr>
              <w:t xml:space="preserve">În context </w:t>
            </w:r>
            <w:r w:rsidR="0012643B" w:rsidRPr="00514863">
              <w:rPr>
                <w:lang w:val="en-US" w:eastAsia="en-US"/>
              </w:rPr>
              <w:t>menționăm</w:t>
            </w:r>
            <w:r w:rsidRPr="00514863">
              <w:rPr>
                <w:lang w:val="en-US" w:eastAsia="en-US"/>
              </w:rPr>
              <w:t xml:space="preserve"> că,  în conformitate cu prevederile art. 56 alin. (1) din </w:t>
            </w:r>
            <w:r w:rsidRPr="00514863">
              <w:rPr>
                <w:i/>
                <w:iCs/>
                <w:lang w:val="en-US" w:eastAsia="en-US"/>
              </w:rPr>
              <w:t>Legea cu privire la actele normative nr. 100/2017</w:t>
            </w:r>
            <w:r w:rsidRPr="00514863">
              <w:rPr>
                <w:lang w:val="en-US" w:eastAsia="en-US"/>
              </w:rPr>
              <w:t xml:space="preserve">, actele normative intră în vigoare peste o lună de la data publicării în Monitorul Oficial al Republicii Moldova sau la data indicată în textul actului normativ, </w:t>
            </w:r>
            <w:r w:rsidRPr="00514863">
              <w:rPr>
                <w:i/>
                <w:iCs/>
                <w:u w:val="single"/>
                <w:lang w:val="en-US" w:eastAsia="en-US"/>
              </w:rPr>
              <w:t>care nu poate fi anterioară datei publicării</w:t>
            </w:r>
            <w:r w:rsidRPr="00514863">
              <w:rPr>
                <w:lang w:val="en-US" w:eastAsia="en-US"/>
              </w:rPr>
              <w:t xml:space="preserve">. În cazul în care se </w:t>
            </w:r>
            <w:r w:rsidR="0012643B" w:rsidRPr="00514863">
              <w:rPr>
                <w:lang w:val="en-US" w:eastAsia="en-US"/>
              </w:rPr>
              <w:t>urmărește</w:t>
            </w:r>
            <w:r w:rsidRPr="00514863">
              <w:rPr>
                <w:lang w:val="en-US" w:eastAsia="en-US"/>
              </w:rPr>
              <w:t xml:space="preserve"> reducerea perioadei de intrare în vigoare a noilor prevederi,  proiectul actului normativ în cauză trebuie să respecte regulile instituite de </w:t>
            </w:r>
            <w:r w:rsidRPr="00514863">
              <w:rPr>
                <w:i/>
                <w:iCs/>
                <w:lang w:val="en-US" w:eastAsia="en-US"/>
              </w:rPr>
              <w:t>Legea nr. 100/2017</w:t>
            </w:r>
            <w:r w:rsidRPr="00514863">
              <w:rPr>
                <w:lang w:val="en-US" w:eastAsia="en-US"/>
              </w:rPr>
              <w:t>, și anume cele stipulate la art. 56 alin. (3), în temeiul cărora „Intrarea în vigoare a actelor normative poate fi stabilită pentru o altă dată doar în cazul în care se urmărește protecția drepturilor şi libertăților fundamentale ale omului, realizarea angajamentelor internaționale ale Republicii Moldova, conformarea cadrului normativ hotărârilor Curții Constituționale, eliminarea unor lacune din legislație sau contradicții între actele normative ori dacă există alte circumstanțe obiective.”.</w:t>
            </w:r>
          </w:p>
          <w:p w14:paraId="44AFF6C9" w14:textId="7E3FADC5" w:rsidR="00C24B7E" w:rsidRPr="00514863" w:rsidRDefault="00CD1BC9" w:rsidP="00E26D63">
            <w:pPr>
              <w:jc w:val="both"/>
              <w:rPr>
                <w:b/>
                <w:bCs/>
                <w:highlight w:val="yellow"/>
                <w:lang w:val="en-US" w:eastAsia="en-US"/>
              </w:rPr>
            </w:pPr>
            <w:r w:rsidRPr="00514863">
              <w:rPr>
                <w:lang w:val="en-US" w:eastAsia="en-US"/>
              </w:rPr>
              <w:t>Prin urmare, dispozițiile privind aplicabilitatea noilor prevederi (pct. 2 din proiect) necesită a fi reconsiderate, pentru a nu denatura concepția legiuitorului privind intrarea în vigoare a actului normativ, statuată în  art. 56 a Legii nr. 100/2017.</w:t>
            </w:r>
          </w:p>
        </w:tc>
        <w:tc>
          <w:tcPr>
            <w:tcW w:w="4239" w:type="dxa"/>
          </w:tcPr>
          <w:p w14:paraId="51D33C07" w14:textId="2FB2C57D" w:rsidR="00253BA7" w:rsidRPr="00514863" w:rsidRDefault="00253BA7" w:rsidP="003B533B">
            <w:pPr>
              <w:tabs>
                <w:tab w:val="left" w:pos="270"/>
              </w:tabs>
              <w:jc w:val="both"/>
              <w:rPr>
                <w:bCs/>
                <w:color w:val="000000"/>
                <w:lang w:val="en-US"/>
              </w:rPr>
            </w:pPr>
          </w:p>
          <w:p w14:paraId="784F2A4B" w14:textId="10166FF1" w:rsidR="00253BA7" w:rsidRPr="00514863" w:rsidRDefault="00253BA7" w:rsidP="003B533B">
            <w:pPr>
              <w:tabs>
                <w:tab w:val="left" w:pos="270"/>
              </w:tabs>
              <w:jc w:val="both"/>
              <w:rPr>
                <w:bCs/>
                <w:color w:val="000000"/>
                <w:lang w:val="en-US"/>
              </w:rPr>
            </w:pPr>
          </w:p>
          <w:p w14:paraId="47D12B38" w14:textId="3E73E5CD" w:rsidR="00253BA7" w:rsidRPr="00514863" w:rsidRDefault="00253BA7" w:rsidP="003B533B">
            <w:pPr>
              <w:tabs>
                <w:tab w:val="left" w:pos="270"/>
              </w:tabs>
              <w:jc w:val="both"/>
              <w:rPr>
                <w:bCs/>
                <w:color w:val="000000"/>
                <w:lang w:val="en-US"/>
              </w:rPr>
            </w:pPr>
          </w:p>
          <w:p w14:paraId="7F43B6DF" w14:textId="63CB7B33" w:rsidR="00253BA7" w:rsidRPr="00514863" w:rsidRDefault="00253BA7" w:rsidP="003B533B">
            <w:pPr>
              <w:tabs>
                <w:tab w:val="left" w:pos="270"/>
              </w:tabs>
              <w:jc w:val="both"/>
              <w:rPr>
                <w:bCs/>
                <w:color w:val="000000"/>
                <w:lang w:val="en-US"/>
              </w:rPr>
            </w:pPr>
          </w:p>
          <w:p w14:paraId="10424CD7" w14:textId="5A8A8A81" w:rsidR="00253BA7" w:rsidRPr="00514863" w:rsidRDefault="00253BA7" w:rsidP="003B533B">
            <w:pPr>
              <w:tabs>
                <w:tab w:val="left" w:pos="270"/>
              </w:tabs>
              <w:jc w:val="both"/>
              <w:rPr>
                <w:bCs/>
                <w:color w:val="000000"/>
                <w:lang w:val="en-US"/>
              </w:rPr>
            </w:pPr>
          </w:p>
          <w:p w14:paraId="0FF04BC3" w14:textId="1097239A" w:rsidR="00253BA7" w:rsidRPr="00514863" w:rsidRDefault="00253BA7" w:rsidP="003B533B">
            <w:pPr>
              <w:tabs>
                <w:tab w:val="left" w:pos="270"/>
              </w:tabs>
              <w:jc w:val="both"/>
              <w:rPr>
                <w:bCs/>
                <w:color w:val="000000"/>
                <w:lang w:val="en-US"/>
              </w:rPr>
            </w:pPr>
          </w:p>
          <w:p w14:paraId="113D816C" w14:textId="7F9AC1BB" w:rsidR="00253BA7" w:rsidRPr="00514863" w:rsidRDefault="00253BA7" w:rsidP="003B533B">
            <w:pPr>
              <w:tabs>
                <w:tab w:val="left" w:pos="270"/>
              </w:tabs>
              <w:jc w:val="both"/>
              <w:rPr>
                <w:bCs/>
                <w:color w:val="000000"/>
                <w:lang w:val="en-US"/>
              </w:rPr>
            </w:pPr>
          </w:p>
          <w:p w14:paraId="6F07174B" w14:textId="7E159BE4" w:rsidR="00253BA7" w:rsidRPr="00514863" w:rsidRDefault="00253BA7" w:rsidP="003B533B">
            <w:pPr>
              <w:tabs>
                <w:tab w:val="left" w:pos="270"/>
              </w:tabs>
              <w:jc w:val="both"/>
              <w:rPr>
                <w:bCs/>
                <w:color w:val="000000"/>
                <w:lang w:val="en-US"/>
              </w:rPr>
            </w:pPr>
          </w:p>
          <w:p w14:paraId="1E0A7F94" w14:textId="13CD0D16" w:rsidR="00253BA7" w:rsidRPr="00514863" w:rsidRDefault="00253BA7" w:rsidP="003B533B">
            <w:pPr>
              <w:tabs>
                <w:tab w:val="left" w:pos="270"/>
              </w:tabs>
              <w:jc w:val="both"/>
              <w:rPr>
                <w:bCs/>
                <w:color w:val="000000"/>
                <w:lang w:val="en-US"/>
              </w:rPr>
            </w:pPr>
          </w:p>
          <w:p w14:paraId="3C7BC0EF" w14:textId="72A576A6" w:rsidR="00253BA7" w:rsidRPr="00514863" w:rsidRDefault="00253BA7" w:rsidP="003B533B">
            <w:pPr>
              <w:tabs>
                <w:tab w:val="left" w:pos="270"/>
              </w:tabs>
              <w:jc w:val="both"/>
              <w:rPr>
                <w:bCs/>
                <w:color w:val="000000"/>
                <w:lang w:val="en-US"/>
              </w:rPr>
            </w:pPr>
          </w:p>
          <w:p w14:paraId="50C5B8BD" w14:textId="4C4CFD02" w:rsidR="00253BA7" w:rsidRPr="00514863" w:rsidRDefault="00253BA7" w:rsidP="003B533B">
            <w:pPr>
              <w:tabs>
                <w:tab w:val="left" w:pos="270"/>
              </w:tabs>
              <w:jc w:val="both"/>
              <w:rPr>
                <w:bCs/>
                <w:color w:val="000000"/>
                <w:lang w:val="en-US"/>
              </w:rPr>
            </w:pPr>
          </w:p>
          <w:p w14:paraId="4093011B" w14:textId="5B760F77" w:rsidR="00253BA7" w:rsidRPr="00514863" w:rsidRDefault="00253BA7" w:rsidP="003B533B">
            <w:pPr>
              <w:tabs>
                <w:tab w:val="left" w:pos="270"/>
              </w:tabs>
              <w:jc w:val="both"/>
              <w:rPr>
                <w:bCs/>
                <w:color w:val="000000"/>
                <w:lang w:val="en-US"/>
              </w:rPr>
            </w:pPr>
          </w:p>
          <w:p w14:paraId="5B3C1E06" w14:textId="77777777" w:rsidR="00821F48" w:rsidRPr="00514863" w:rsidRDefault="00821F48" w:rsidP="003B533B">
            <w:pPr>
              <w:tabs>
                <w:tab w:val="left" w:pos="270"/>
              </w:tabs>
              <w:jc w:val="both"/>
              <w:rPr>
                <w:bCs/>
                <w:color w:val="000000"/>
                <w:lang w:val="en-US"/>
              </w:rPr>
            </w:pPr>
          </w:p>
          <w:p w14:paraId="6AE2FDD2" w14:textId="21305A4D" w:rsidR="00253BA7" w:rsidRPr="00514863" w:rsidRDefault="00253BA7" w:rsidP="003B533B">
            <w:pPr>
              <w:tabs>
                <w:tab w:val="left" w:pos="270"/>
              </w:tabs>
              <w:jc w:val="both"/>
              <w:rPr>
                <w:bCs/>
                <w:color w:val="000000"/>
                <w:lang w:val="en-US"/>
              </w:rPr>
            </w:pPr>
          </w:p>
          <w:p w14:paraId="7568492B" w14:textId="77777777" w:rsidR="00253BA7" w:rsidRPr="00514863" w:rsidRDefault="00253BA7" w:rsidP="00253BA7">
            <w:pPr>
              <w:tabs>
                <w:tab w:val="left" w:pos="270"/>
              </w:tabs>
              <w:jc w:val="both"/>
              <w:rPr>
                <w:bCs/>
                <w:color w:val="000000"/>
                <w:lang w:val="fr-FR"/>
              </w:rPr>
            </w:pPr>
            <w:r w:rsidRPr="00514863">
              <w:rPr>
                <w:bCs/>
                <w:color w:val="000000"/>
                <w:lang w:val="fr-FR"/>
              </w:rPr>
              <w:t>Se acceptă.</w:t>
            </w:r>
          </w:p>
          <w:p w14:paraId="5704FCEF" w14:textId="59E9C35D" w:rsidR="00253BA7" w:rsidRPr="00514863" w:rsidRDefault="00253BA7" w:rsidP="003B533B">
            <w:pPr>
              <w:tabs>
                <w:tab w:val="left" w:pos="270"/>
              </w:tabs>
              <w:jc w:val="both"/>
              <w:rPr>
                <w:bCs/>
                <w:color w:val="000000"/>
                <w:lang w:val="fr-FR"/>
              </w:rPr>
            </w:pPr>
          </w:p>
          <w:p w14:paraId="77F8AC29" w14:textId="19F197E2" w:rsidR="00253BA7" w:rsidRPr="00514863" w:rsidRDefault="00253BA7" w:rsidP="003B533B">
            <w:pPr>
              <w:tabs>
                <w:tab w:val="left" w:pos="270"/>
              </w:tabs>
              <w:jc w:val="both"/>
              <w:rPr>
                <w:bCs/>
                <w:color w:val="000000"/>
                <w:lang w:val="fr-FR"/>
              </w:rPr>
            </w:pPr>
          </w:p>
          <w:p w14:paraId="645C7DA9" w14:textId="4B4D9DF3" w:rsidR="00253BA7" w:rsidRPr="00514863" w:rsidRDefault="00253BA7" w:rsidP="003B533B">
            <w:pPr>
              <w:tabs>
                <w:tab w:val="left" w:pos="270"/>
              </w:tabs>
              <w:jc w:val="both"/>
              <w:rPr>
                <w:bCs/>
                <w:color w:val="000000"/>
                <w:lang w:val="fr-FR"/>
              </w:rPr>
            </w:pPr>
          </w:p>
          <w:p w14:paraId="7BB16025" w14:textId="5EC268B8" w:rsidR="00253BA7" w:rsidRPr="00514863" w:rsidRDefault="00253BA7" w:rsidP="003B533B">
            <w:pPr>
              <w:tabs>
                <w:tab w:val="left" w:pos="270"/>
              </w:tabs>
              <w:jc w:val="both"/>
              <w:rPr>
                <w:bCs/>
                <w:color w:val="000000"/>
                <w:lang w:val="fr-FR"/>
              </w:rPr>
            </w:pPr>
          </w:p>
          <w:p w14:paraId="63384FA8" w14:textId="0254C0B1" w:rsidR="00253BA7" w:rsidRPr="00514863" w:rsidRDefault="00253BA7" w:rsidP="003B533B">
            <w:pPr>
              <w:tabs>
                <w:tab w:val="left" w:pos="270"/>
              </w:tabs>
              <w:jc w:val="both"/>
              <w:rPr>
                <w:bCs/>
                <w:color w:val="000000"/>
                <w:lang w:val="fr-FR"/>
              </w:rPr>
            </w:pPr>
          </w:p>
          <w:p w14:paraId="087105EB" w14:textId="72FCC403" w:rsidR="00253BA7" w:rsidRPr="00514863" w:rsidRDefault="00253BA7" w:rsidP="003B533B">
            <w:pPr>
              <w:tabs>
                <w:tab w:val="left" w:pos="270"/>
              </w:tabs>
              <w:jc w:val="both"/>
              <w:rPr>
                <w:bCs/>
                <w:color w:val="000000"/>
                <w:lang w:val="fr-FR"/>
              </w:rPr>
            </w:pPr>
          </w:p>
          <w:p w14:paraId="65F8AE66" w14:textId="104771C6" w:rsidR="00253BA7" w:rsidRPr="00514863" w:rsidRDefault="00253BA7" w:rsidP="003B533B">
            <w:pPr>
              <w:tabs>
                <w:tab w:val="left" w:pos="270"/>
              </w:tabs>
              <w:jc w:val="both"/>
              <w:rPr>
                <w:bCs/>
                <w:color w:val="000000"/>
                <w:lang w:val="fr-FR"/>
              </w:rPr>
            </w:pPr>
          </w:p>
          <w:p w14:paraId="1FE46FEE" w14:textId="19A6BD61" w:rsidR="00253BA7" w:rsidRPr="00514863" w:rsidRDefault="00253BA7" w:rsidP="003B533B">
            <w:pPr>
              <w:tabs>
                <w:tab w:val="left" w:pos="270"/>
              </w:tabs>
              <w:jc w:val="both"/>
              <w:rPr>
                <w:bCs/>
                <w:color w:val="000000"/>
                <w:lang w:val="fr-FR"/>
              </w:rPr>
            </w:pPr>
          </w:p>
          <w:p w14:paraId="2CBBE365" w14:textId="3F0F5329" w:rsidR="00253BA7" w:rsidRPr="00514863" w:rsidRDefault="00253BA7" w:rsidP="003B533B">
            <w:pPr>
              <w:tabs>
                <w:tab w:val="left" w:pos="270"/>
              </w:tabs>
              <w:jc w:val="both"/>
              <w:rPr>
                <w:bCs/>
                <w:color w:val="000000"/>
                <w:lang w:val="fr-FR"/>
              </w:rPr>
            </w:pPr>
          </w:p>
          <w:p w14:paraId="49F631F2" w14:textId="04E6F9E4" w:rsidR="00253BA7" w:rsidRPr="00514863" w:rsidRDefault="00253BA7" w:rsidP="003B533B">
            <w:pPr>
              <w:tabs>
                <w:tab w:val="left" w:pos="270"/>
              </w:tabs>
              <w:jc w:val="both"/>
              <w:rPr>
                <w:bCs/>
                <w:color w:val="000000"/>
                <w:lang w:val="fr-FR"/>
              </w:rPr>
            </w:pPr>
          </w:p>
          <w:p w14:paraId="2C0D65AA" w14:textId="1901E953" w:rsidR="00253BA7" w:rsidRPr="00514863" w:rsidRDefault="00253BA7" w:rsidP="003B533B">
            <w:pPr>
              <w:tabs>
                <w:tab w:val="left" w:pos="270"/>
              </w:tabs>
              <w:jc w:val="both"/>
              <w:rPr>
                <w:bCs/>
                <w:color w:val="000000"/>
                <w:lang w:val="fr-FR"/>
              </w:rPr>
            </w:pPr>
          </w:p>
          <w:p w14:paraId="7960E253" w14:textId="14D78DCE" w:rsidR="00253BA7" w:rsidRPr="00514863" w:rsidRDefault="00253BA7" w:rsidP="003B533B">
            <w:pPr>
              <w:tabs>
                <w:tab w:val="left" w:pos="270"/>
              </w:tabs>
              <w:jc w:val="both"/>
              <w:rPr>
                <w:bCs/>
                <w:color w:val="000000"/>
                <w:lang w:val="fr-FR"/>
              </w:rPr>
            </w:pPr>
          </w:p>
          <w:p w14:paraId="2C67D0DC" w14:textId="25C4442B" w:rsidR="00253BA7" w:rsidRPr="00514863" w:rsidRDefault="00253BA7" w:rsidP="003B533B">
            <w:pPr>
              <w:tabs>
                <w:tab w:val="left" w:pos="270"/>
              </w:tabs>
              <w:jc w:val="both"/>
              <w:rPr>
                <w:bCs/>
                <w:color w:val="000000"/>
                <w:lang w:val="fr-FR"/>
              </w:rPr>
            </w:pPr>
          </w:p>
          <w:p w14:paraId="205CBC78" w14:textId="20B704E3" w:rsidR="00253BA7" w:rsidRPr="00514863" w:rsidRDefault="00253BA7" w:rsidP="003B533B">
            <w:pPr>
              <w:tabs>
                <w:tab w:val="left" w:pos="270"/>
              </w:tabs>
              <w:jc w:val="both"/>
              <w:rPr>
                <w:bCs/>
                <w:color w:val="000000"/>
                <w:lang w:val="fr-FR"/>
              </w:rPr>
            </w:pPr>
          </w:p>
          <w:p w14:paraId="0544D455" w14:textId="77777777" w:rsidR="00821F48" w:rsidRPr="00514863" w:rsidRDefault="00821F48" w:rsidP="003B533B">
            <w:pPr>
              <w:tabs>
                <w:tab w:val="left" w:pos="270"/>
              </w:tabs>
              <w:jc w:val="both"/>
              <w:rPr>
                <w:bCs/>
                <w:color w:val="000000"/>
                <w:lang w:val="fr-FR"/>
              </w:rPr>
            </w:pPr>
            <w:r w:rsidRPr="00514863">
              <w:rPr>
                <w:bCs/>
                <w:color w:val="000000"/>
                <w:lang w:val="fr-FR"/>
              </w:rPr>
              <w:t>Se acceptă parțial.</w:t>
            </w:r>
          </w:p>
          <w:p w14:paraId="28434245" w14:textId="31D19194" w:rsidR="00253BA7" w:rsidRPr="00514863" w:rsidRDefault="00821F48" w:rsidP="003B533B">
            <w:pPr>
              <w:tabs>
                <w:tab w:val="left" w:pos="270"/>
              </w:tabs>
              <w:jc w:val="both"/>
              <w:rPr>
                <w:bCs/>
                <w:color w:val="000000"/>
                <w:lang w:val="fr-FR"/>
              </w:rPr>
            </w:pPr>
            <w:r w:rsidRPr="00514863">
              <w:rPr>
                <w:bCs/>
                <w:color w:val="000000"/>
                <w:lang w:val="fr-FR"/>
              </w:rPr>
              <w:t>Proiectul a fost revizuit reieșind din prioritățile stabilite de Guvern.</w:t>
            </w:r>
          </w:p>
          <w:p w14:paraId="172233E6" w14:textId="53EF624B" w:rsidR="00821F48" w:rsidRPr="00514863" w:rsidRDefault="00821F48" w:rsidP="00253BA7">
            <w:pPr>
              <w:tabs>
                <w:tab w:val="left" w:pos="884"/>
                <w:tab w:val="left" w:pos="1196"/>
              </w:tabs>
              <w:jc w:val="both"/>
              <w:rPr>
                <w:lang w:val="fr-FR"/>
              </w:rPr>
            </w:pPr>
            <w:r w:rsidRPr="00514863">
              <w:rPr>
                <w:lang w:val="fr-FR"/>
              </w:rPr>
              <w:t>Pornind de la faptul că, prestația de ajutor pentru perioada rece a anului se achită pentru lunile noiembrie-martie, iar cheltuielile la serviciile comunale sporesc anume în această perioadă, este imperios necesar de a susține familiile defavorizate începînd cu prima lună a sezonului rece.</w:t>
            </w:r>
          </w:p>
          <w:p w14:paraId="3CBDD0AC" w14:textId="5B27DEDE" w:rsidR="00821F48" w:rsidRPr="00821F48" w:rsidRDefault="00821F48" w:rsidP="00821F48">
            <w:pPr>
              <w:jc w:val="both"/>
              <w:rPr>
                <w:color w:val="000000" w:themeColor="text1"/>
                <w:lang w:val="ro-RO"/>
              </w:rPr>
            </w:pPr>
            <w:r w:rsidRPr="00514863">
              <w:rPr>
                <w:lang w:val="fr-FR"/>
              </w:rPr>
              <w:t xml:space="preserve">Mai mult ca atît, </w:t>
            </w:r>
            <w:r>
              <w:rPr>
                <w:color w:val="000000" w:themeColor="text1"/>
                <w:lang w:val="ro-RO"/>
              </w:rPr>
              <w:t>c</w:t>
            </w:r>
            <w:r w:rsidRPr="00821F48">
              <w:rPr>
                <w:color w:val="000000" w:themeColor="text1"/>
                <w:lang w:val="ro-RO"/>
              </w:rPr>
              <w:t>heltuielile pentru plata prestației majorate pentru luna noiembrie anul curent, se încadrează în limita mijloacelor financiare aprobate pentru Programul de ajutor social în anul 2019.</w:t>
            </w:r>
          </w:p>
          <w:p w14:paraId="175E2332" w14:textId="3BE0DE52" w:rsidR="00253BA7" w:rsidRPr="00514863" w:rsidRDefault="00253BA7" w:rsidP="003B533B">
            <w:pPr>
              <w:tabs>
                <w:tab w:val="left" w:pos="270"/>
              </w:tabs>
              <w:jc w:val="both"/>
              <w:rPr>
                <w:bCs/>
                <w:color w:val="000000"/>
                <w:lang w:val="fr-FR"/>
              </w:rPr>
            </w:pPr>
          </w:p>
          <w:p w14:paraId="3C57D38E" w14:textId="77777777" w:rsidR="00253BA7" w:rsidRPr="00514863" w:rsidRDefault="00253BA7" w:rsidP="003B533B">
            <w:pPr>
              <w:tabs>
                <w:tab w:val="left" w:pos="270"/>
              </w:tabs>
              <w:jc w:val="both"/>
              <w:rPr>
                <w:bCs/>
                <w:color w:val="000000"/>
                <w:lang w:val="fr-FR"/>
              </w:rPr>
            </w:pPr>
          </w:p>
          <w:p w14:paraId="14E42FF3" w14:textId="11104A02" w:rsidR="00C24B7E" w:rsidRPr="00514863" w:rsidRDefault="00C24B7E" w:rsidP="003B533B">
            <w:pPr>
              <w:tabs>
                <w:tab w:val="left" w:pos="270"/>
              </w:tabs>
              <w:jc w:val="both"/>
              <w:rPr>
                <w:bCs/>
                <w:color w:val="000000"/>
                <w:lang w:val="fr-FR"/>
              </w:rPr>
            </w:pPr>
          </w:p>
          <w:p w14:paraId="38F3E234" w14:textId="7F39B68F" w:rsidR="00C24B7E" w:rsidRPr="00514863" w:rsidRDefault="00C24B7E" w:rsidP="003B533B">
            <w:pPr>
              <w:tabs>
                <w:tab w:val="left" w:pos="270"/>
              </w:tabs>
              <w:jc w:val="both"/>
              <w:rPr>
                <w:bCs/>
                <w:color w:val="000000"/>
                <w:lang w:val="fr-FR"/>
              </w:rPr>
            </w:pPr>
          </w:p>
          <w:p w14:paraId="641D8BB3" w14:textId="5C8546B0" w:rsidR="00C24B7E" w:rsidRPr="00514863" w:rsidRDefault="00C24B7E" w:rsidP="003B533B">
            <w:pPr>
              <w:tabs>
                <w:tab w:val="left" w:pos="270"/>
              </w:tabs>
              <w:jc w:val="both"/>
              <w:rPr>
                <w:bCs/>
                <w:color w:val="000000"/>
                <w:lang w:val="fr-FR"/>
              </w:rPr>
            </w:pPr>
          </w:p>
          <w:p w14:paraId="5BBEAF9A" w14:textId="3D637EE9" w:rsidR="00C24B7E" w:rsidRPr="00514863" w:rsidRDefault="00C24B7E" w:rsidP="003B533B">
            <w:pPr>
              <w:tabs>
                <w:tab w:val="left" w:pos="270"/>
              </w:tabs>
              <w:jc w:val="both"/>
              <w:rPr>
                <w:bCs/>
                <w:color w:val="000000"/>
                <w:lang w:val="fr-FR"/>
              </w:rPr>
            </w:pPr>
          </w:p>
          <w:p w14:paraId="04F2F276" w14:textId="774C4991" w:rsidR="00C24B7E" w:rsidRPr="00514863" w:rsidRDefault="00C24B7E" w:rsidP="003B533B">
            <w:pPr>
              <w:tabs>
                <w:tab w:val="left" w:pos="270"/>
              </w:tabs>
              <w:jc w:val="both"/>
              <w:rPr>
                <w:bCs/>
                <w:color w:val="000000"/>
                <w:lang w:val="fr-FR"/>
              </w:rPr>
            </w:pPr>
          </w:p>
          <w:p w14:paraId="59F0E4A2" w14:textId="5958C892" w:rsidR="00C24B7E" w:rsidRPr="00514863" w:rsidRDefault="00C24B7E" w:rsidP="003B533B">
            <w:pPr>
              <w:tabs>
                <w:tab w:val="left" w:pos="270"/>
              </w:tabs>
              <w:jc w:val="both"/>
              <w:rPr>
                <w:color w:val="000000"/>
                <w:highlight w:val="yellow"/>
                <w:lang w:val="fr-FR"/>
              </w:rPr>
            </w:pPr>
          </w:p>
        </w:tc>
      </w:tr>
      <w:tr w:rsidR="00D323B0" w:rsidRPr="00514863" w14:paraId="2434E5B7" w14:textId="77777777" w:rsidTr="00D323B0">
        <w:trPr>
          <w:trHeight w:val="269"/>
        </w:trPr>
        <w:tc>
          <w:tcPr>
            <w:tcW w:w="2065" w:type="dxa"/>
            <w:vMerge w:val="restart"/>
          </w:tcPr>
          <w:p w14:paraId="6B0AE96C" w14:textId="5787B219" w:rsidR="00D323B0" w:rsidRPr="00D30401" w:rsidRDefault="00D323B0" w:rsidP="0098680F">
            <w:pPr>
              <w:tabs>
                <w:tab w:val="left" w:pos="884"/>
                <w:tab w:val="left" w:pos="1196"/>
              </w:tabs>
            </w:pPr>
            <w:r w:rsidRPr="00D30401">
              <w:rPr>
                <w:b/>
              </w:rPr>
              <w:lastRenderedPageBreak/>
              <w:t>Ministerul Finanțelor</w:t>
            </w:r>
          </w:p>
        </w:tc>
        <w:tc>
          <w:tcPr>
            <w:tcW w:w="8010" w:type="dxa"/>
          </w:tcPr>
          <w:p w14:paraId="1CA9BF16" w14:textId="1D998D0D" w:rsidR="00D323B0" w:rsidRPr="00D30401" w:rsidRDefault="00D323B0" w:rsidP="00E26D63">
            <w:pPr>
              <w:jc w:val="both"/>
              <w:rPr>
                <w:b/>
                <w:lang w:eastAsia="en-US"/>
              </w:rPr>
            </w:pPr>
            <w:r w:rsidRPr="00D30401">
              <w:rPr>
                <w:b/>
                <w:lang w:eastAsia="en-US"/>
              </w:rPr>
              <w:t>I. Obiecțiile:</w:t>
            </w:r>
          </w:p>
        </w:tc>
        <w:tc>
          <w:tcPr>
            <w:tcW w:w="4239" w:type="dxa"/>
            <w:vMerge w:val="restart"/>
          </w:tcPr>
          <w:p w14:paraId="525F6F1D" w14:textId="77777777" w:rsidR="00171ADD" w:rsidRPr="00514863" w:rsidRDefault="00E80945" w:rsidP="003B533B">
            <w:pPr>
              <w:tabs>
                <w:tab w:val="left" w:pos="270"/>
              </w:tabs>
              <w:jc w:val="both"/>
              <w:rPr>
                <w:color w:val="000000"/>
                <w:lang w:val="fr-FR"/>
              </w:rPr>
            </w:pPr>
            <w:r w:rsidRPr="00514863">
              <w:rPr>
                <w:color w:val="000000"/>
                <w:lang w:val="fr-FR"/>
              </w:rPr>
              <w:t>Se acceptă.</w:t>
            </w:r>
          </w:p>
          <w:p w14:paraId="3714635E" w14:textId="6B40110C" w:rsidR="00E80945" w:rsidRPr="00514863" w:rsidRDefault="00E80945" w:rsidP="003B533B">
            <w:pPr>
              <w:tabs>
                <w:tab w:val="left" w:pos="270"/>
              </w:tabs>
              <w:jc w:val="both"/>
              <w:rPr>
                <w:color w:val="000000"/>
                <w:lang w:val="fr-FR"/>
              </w:rPr>
            </w:pPr>
            <w:r w:rsidRPr="00514863">
              <w:rPr>
                <w:color w:val="000000"/>
                <w:lang w:val="fr-FR"/>
              </w:rPr>
              <w:t xml:space="preserve">Nota informativă a fost modificată. </w:t>
            </w:r>
          </w:p>
        </w:tc>
      </w:tr>
      <w:tr w:rsidR="00D323B0" w:rsidRPr="00514863" w14:paraId="48DC92DE" w14:textId="77777777" w:rsidTr="0055247D">
        <w:trPr>
          <w:trHeight w:val="841"/>
        </w:trPr>
        <w:tc>
          <w:tcPr>
            <w:tcW w:w="2065" w:type="dxa"/>
            <w:vMerge/>
          </w:tcPr>
          <w:p w14:paraId="70D478CB" w14:textId="77777777" w:rsidR="00D323B0" w:rsidRPr="00514863" w:rsidRDefault="00D323B0" w:rsidP="0098680F">
            <w:pPr>
              <w:tabs>
                <w:tab w:val="left" w:pos="884"/>
                <w:tab w:val="left" w:pos="1196"/>
              </w:tabs>
              <w:rPr>
                <w:lang w:val="fr-FR"/>
              </w:rPr>
            </w:pPr>
          </w:p>
        </w:tc>
        <w:tc>
          <w:tcPr>
            <w:tcW w:w="8010" w:type="dxa"/>
          </w:tcPr>
          <w:p w14:paraId="2FF78311" w14:textId="39EA942F" w:rsidR="0055247D" w:rsidRPr="00514863" w:rsidRDefault="0055247D" w:rsidP="0055247D">
            <w:pPr>
              <w:ind w:right="57"/>
              <w:jc w:val="both"/>
              <w:rPr>
                <w:lang w:val="fr-FR"/>
              </w:rPr>
            </w:pPr>
            <w:r w:rsidRPr="00514863">
              <w:rPr>
                <w:lang w:val="fr-FR"/>
              </w:rPr>
              <w:t>Ministerul Finanțelor a examinat proiectul de hotărîre pentru modificarea Hotărîrii Guvernului nr. 1167/2008 pentru aprobarea Regulamentului cu privire la modul de stabilire şi plată a ajutorului social (număr unic 647/MSMPS/2019) și, în limita competențelor funcționale comunică susținerea acestuia.</w:t>
            </w:r>
          </w:p>
          <w:p w14:paraId="54429012" w14:textId="77777777" w:rsidR="0055247D" w:rsidRPr="00514863" w:rsidRDefault="0055247D" w:rsidP="0055247D">
            <w:pPr>
              <w:ind w:right="57"/>
              <w:jc w:val="both"/>
              <w:rPr>
                <w:lang w:val="fr-FR"/>
              </w:rPr>
            </w:pPr>
          </w:p>
          <w:p w14:paraId="3165BA7D" w14:textId="11FA8EBC" w:rsidR="002F207F" w:rsidRPr="00514863" w:rsidRDefault="002F207F" w:rsidP="0055247D">
            <w:pPr>
              <w:ind w:right="57"/>
              <w:jc w:val="both"/>
              <w:rPr>
                <w:lang w:val="fr-FR"/>
              </w:rPr>
            </w:pPr>
            <w:r w:rsidRPr="00514863">
              <w:rPr>
                <w:lang w:val="fr-FR"/>
              </w:rPr>
              <w:t xml:space="preserve">Totodată, nota informativă nu corespunde prevederilor Legii nr. 100/2017 cu privire la actele normative, și anume lipsește fundamentarea economică integral </w:t>
            </w:r>
            <w:r w:rsidRPr="00514863">
              <w:rPr>
                <w:lang w:val="fr-FR"/>
              </w:rPr>
              <w:lastRenderedPageBreak/>
              <w:t xml:space="preserve">a măsurilor propuse și costul privind necesarul de mijloace financiare suplimentare în cazul aplicării prevederilor proiectului hotărîrii începînd cu 1 noiembrie 2019. </w:t>
            </w:r>
          </w:p>
          <w:p w14:paraId="4C5D90C3" w14:textId="77777777" w:rsidR="002F207F" w:rsidRPr="00514863" w:rsidRDefault="002F207F" w:rsidP="0055247D">
            <w:pPr>
              <w:ind w:right="57"/>
              <w:jc w:val="both"/>
              <w:rPr>
                <w:lang w:val="fr-FR"/>
              </w:rPr>
            </w:pPr>
            <w:r w:rsidRPr="00514863">
              <w:rPr>
                <w:lang w:val="fr-FR"/>
              </w:rPr>
              <w:t>Conform unor calcule estimative efectuate de Ministerul Finanțelor, reieșind din executarea pe 10 luni, pentru realizarea proiectului hotărîrii în cauză va fi necesar, în anul 2019, alocări de mijloace financiare suplimentare din bugetul de stat prin transferuri către bugetul asigurărilor sociale de stat de circa 8 mil.lei.</w:t>
            </w:r>
          </w:p>
          <w:p w14:paraId="222AE7A1" w14:textId="3C876082" w:rsidR="00D323B0" w:rsidRPr="00514863" w:rsidRDefault="002F207F" w:rsidP="0055247D">
            <w:pPr>
              <w:ind w:right="57"/>
              <w:jc w:val="both"/>
              <w:rPr>
                <w:lang w:val="fr-FR" w:eastAsia="en-US"/>
              </w:rPr>
            </w:pPr>
            <w:r w:rsidRPr="00514863">
              <w:rPr>
                <w:lang w:val="fr-FR"/>
              </w:rPr>
              <w:t>Ținînd cont de cele menționate, solicităm definitivarea calculelor și prezentarea propunerilor privind redistribuirea/ modificarea transferurilor din bugetul de stat către bugetul asigurărilor sociale de stat.</w:t>
            </w:r>
          </w:p>
        </w:tc>
        <w:tc>
          <w:tcPr>
            <w:tcW w:w="4239" w:type="dxa"/>
            <w:vMerge/>
          </w:tcPr>
          <w:p w14:paraId="6304C3E8" w14:textId="77777777" w:rsidR="00D323B0" w:rsidRPr="00514863" w:rsidRDefault="00D323B0" w:rsidP="003B533B">
            <w:pPr>
              <w:tabs>
                <w:tab w:val="left" w:pos="270"/>
              </w:tabs>
              <w:jc w:val="both"/>
              <w:rPr>
                <w:color w:val="000000"/>
                <w:lang w:val="fr-FR"/>
              </w:rPr>
            </w:pPr>
          </w:p>
        </w:tc>
      </w:tr>
      <w:tr w:rsidR="0055247D" w:rsidRPr="00514863" w14:paraId="35450422" w14:textId="77777777" w:rsidTr="0055247D">
        <w:trPr>
          <w:trHeight w:val="841"/>
        </w:trPr>
        <w:tc>
          <w:tcPr>
            <w:tcW w:w="2065" w:type="dxa"/>
          </w:tcPr>
          <w:p w14:paraId="0D9948B1" w14:textId="7E4E096A" w:rsidR="0055247D" w:rsidRPr="00D30401" w:rsidRDefault="0055247D" w:rsidP="0055247D">
            <w:pPr>
              <w:tabs>
                <w:tab w:val="left" w:pos="884"/>
                <w:tab w:val="left" w:pos="1196"/>
              </w:tabs>
            </w:pPr>
            <w:r w:rsidRPr="00D30401">
              <w:rPr>
                <w:b/>
              </w:rPr>
              <w:lastRenderedPageBreak/>
              <w:t>Avocatul Poporului</w:t>
            </w:r>
          </w:p>
        </w:tc>
        <w:tc>
          <w:tcPr>
            <w:tcW w:w="8010" w:type="dxa"/>
          </w:tcPr>
          <w:p w14:paraId="12CC15BB" w14:textId="77777777" w:rsidR="0055247D" w:rsidRPr="00514863" w:rsidRDefault="0055247D" w:rsidP="0055247D">
            <w:pPr>
              <w:pStyle w:val="Bodytext20"/>
              <w:shd w:val="clear" w:color="auto" w:fill="auto"/>
              <w:spacing w:line="240" w:lineRule="auto"/>
              <w:ind w:firstLine="0"/>
              <w:rPr>
                <w:color w:val="000000"/>
                <w:sz w:val="24"/>
                <w:szCs w:val="24"/>
                <w:lang w:val="fr-FR" w:eastAsia="ro-RO" w:bidi="ro-RO"/>
              </w:rPr>
            </w:pPr>
            <w:r w:rsidRPr="00514863">
              <w:rPr>
                <w:color w:val="000000"/>
                <w:sz w:val="24"/>
                <w:szCs w:val="24"/>
                <w:lang w:val="fr-FR" w:eastAsia="ro-RO" w:bidi="ro-RO"/>
              </w:rPr>
              <w:t>Potrivit notei informative proiectul vizat are drept scop eficientizarea procedurii de solicitare a ajutorului social şi susţinerea unui număr mai mare de familii defavorizate prin Programul de ajutor social.</w:t>
            </w:r>
          </w:p>
          <w:p w14:paraId="3A6A61E7" w14:textId="77777777" w:rsidR="0055247D" w:rsidRPr="00D30401" w:rsidRDefault="0055247D" w:rsidP="0055247D">
            <w:pPr>
              <w:pStyle w:val="Bodytext20"/>
              <w:shd w:val="clear" w:color="auto" w:fill="auto"/>
              <w:spacing w:line="240" w:lineRule="auto"/>
              <w:ind w:firstLine="0"/>
              <w:rPr>
                <w:color w:val="000000"/>
                <w:sz w:val="24"/>
                <w:szCs w:val="24"/>
                <w:lang w:eastAsia="ro-RO" w:bidi="ro-RO"/>
              </w:rPr>
            </w:pPr>
            <w:r w:rsidRPr="00514863">
              <w:rPr>
                <w:color w:val="000000"/>
                <w:sz w:val="24"/>
                <w:szCs w:val="24"/>
                <w:lang w:val="fr-FR" w:eastAsia="ro-RO" w:bidi="ro-RO"/>
              </w:rPr>
              <w:t xml:space="preserve">Proiectul menţionat este binevenit, dar atenţionez asupra faptului că obiectele durabile specificate la pct. 57 din proiectul Anexei nr. l, nu reprezintă o sursă de întreţinere şi respectiv nu atestă bunăstarea familiei, în special în situaţia cînd sunt deteriorate şi neutilizabile. </w:t>
            </w:r>
            <w:r w:rsidRPr="00D30401">
              <w:rPr>
                <w:color w:val="000000"/>
                <w:sz w:val="24"/>
                <w:szCs w:val="24"/>
                <w:lang w:eastAsia="ro-RO" w:bidi="ro-RO"/>
              </w:rPr>
              <w:t>Din aceste considerente recomand reevaluarea necesităţii includerii acestora în punctajul indicatorilor, care influenţează scorul total al familiei.</w:t>
            </w:r>
          </w:p>
          <w:p w14:paraId="4C8658DC" w14:textId="1E3AB2E3" w:rsidR="0055247D" w:rsidRPr="00D30401" w:rsidRDefault="0055247D" w:rsidP="0055247D">
            <w:pPr>
              <w:ind w:right="57"/>
              <w:jc w:val="both"/>
            </w:pPr>
            <w:r w:rsidRPr="00D30401">
              <w:rPr>
                <w:color w:val="000000"/>
                <w:lang w:eastAsia="ro-RO" w:bidi="ro-RO"/>
              </w:rPr>
              <w:t>În concluzie, Avocatul Poporului salută promovarea acestui proiect cu luarea în considerare a sugestiilor expuse supra.</w:t>
            </w:r>
          </w:p>
        </w:tc>
        <w:tc>
          <w:tcPr>
            <w:tcW w:w="4239" w:type="dxa"/>
          </w:tcPr>
          <w:p w14:paraId="1D5C746D" w14:textId="17193EDF" w:rsidR="0055247D" w:rsidRDefault="008A1D53" w:rsidP="0055247D">
            <w:pPr>
              <w:tabs>
                <w:tab w:val="left" w:pos="270"/>
              </w:tabs>
              <w:jc w:val="both"/>
              <w:rPr>
                <w:color w:val="000000"/>
              </w:rPr>
            </w:pPr>
            <w:r>
              <w:rPr>
                <w:color w:val="000000"/>
              </w:rPr>
              <w:t>S</w:t>
            </w:r>
            <w:r w:rsidR="00D30401" w:rsidRPr="00D30401">
              <w:rPr>
                <w:color w:val="000000"/>
              </w:rPr>
              <w:t>e acceptă</w:t>
            </w:r>
            <w:r>
              <w:rPr>
                <w:color w:val="000000"/>
              </w:rPr>
              <w:t xml:space="preserve"> parțial</w:t>
            </w:r>
            <w:r w:rsidR="00D30401" w:rsidRPr="00D30401">
              <w:rPr>
                <w:color w:val="000000"/>
              </w:rPr>
              <w:t>.</w:t>
            </w:r>
          </w:p>
          <w:p w14:paraId="02BDD272" w14:textId="2E7507F7" w:rsidR="008A1D53" w:rsidRDefault="008A1D53" w:rsidP="008A1D53">
            <w:pPr>
              <w:tabs>
                <w:tab w:val="left" w:pos="270"/>
              </w:tabs>
              <w:jc w:val="both"/>
              <w:rPr>
                <w:color w:val="000000"/>
              </w:rPr>
            </w:pPr>
            <w:r>
              <w:rPr>
                <w:color w:val="000000"/>
              </w:rPr>
              <w:t xml:space="preserve">Proiectul prevede expunerea </w:t>
            </w:r>
            <w:r w:rsidRPr="008A1D53">
              <w:rPr>
                <w:color w:val="000000"/>
              </w:rPr>
              <w:t>cerer</w:t>
            </w:r>
            <w:r>
              <w:rPr>
                <w:color w:val="000000"/>
              </w:rPr>
              <w:t xml:space="preserve">ii </w:t>
            </w:r>
            <w:r w:rsidRPr="008A1D53">
              <w:rPr>
                <w:color w:val="000000"/>
              </w:rPr>
              <w:t>pentru acordarea ajutorului social în redacție nouă</w:t>
            </w:r>
            <w:r>
              <w:rPr>
                <w:color w:val="000000"/>
              </w:rPr>
              <w:t xml:space="preserve"> și nu a indicatorilor de bunăstare.</w:t>
            </w:r>
          </w:p>
          <w:p w14:paraId="590BD05A" w14:textId="39B1B1A9" w:rsidR="00D30401" w:rsidRPr="00514863" w:rsidRDefault="008A1D53" w:rsidP="008A1D53">
            <w:pPr>
              <w:tabs>
                <w:tab w:val="left" w:pos="270"/>
              </w:tabs>
              <w:jc w:val="both"/>
              <w:rPr>
                <w:color w:val="000000"/>
                <w:lang w:val="fr-FR"/>
              </w:rPr>
            </w:pPr>
            <w:r w:rsidRPr="00514863">
              <w:rPr>
                <w:color w:val="000000"/>
                <w:lang w:val="fr-FR"/>
              </w:rPr>
              <w:t xml:space="preserve">Reevaluarea indicatorilor de bunăstare vor constitui obiectul de reglementare al altui proiect de act normativ. </w:t>
            </w:r>
          </w:p>
        </w:tc>
      </w:tr>
      <w:tr w:rsidR="0055247D" w:rsidRPr="00514863" w14:paraId="20222130" w14:textId="77777777" w:rsidTr="007866D3">
        <w:trPr>
          <w:trHeight w:val="197"/>
        </w:trPr>
        <w:tc>
          <w:tcPr>
            <w:tcW w:w="2065" w:type="dxa"/>
            <w:vMerge w:val="restart"/>
          </w:tcPr>
          <w:p w14:paraId="08312A4C" w14:textId="2874E2E4" w:rsidR="0055247D" w:rsidRPr="00CD1BC9" w:rsidRDefault="0055247D" w:rsidP="0055247D">
            <w:pPr>
              <w:tabs>
                <w:tab w:val="left" w:pos="884"/>
                <w:tab w:val="left" w:pos="1196"/>
              </w:tabs>
              <w:rPr>
                <w:b/>
              </w:rPr>
            </w:pPr>
            <w:r w:rsidRPr="00CD1BC9">
              <w:rPr>
                <w:b/>
              </w:rPr>
              <w:t>Centrul Național Anticorupție</w:t>
            </w:r>
          </w:p>
        </w:tc>
        <w:tc>
          <w:tcPr>
            <w:tcW w:w="8010" w:type="dxa"/>
          </w:tcPr>
          <w:p w14:paraId="61306406" w14:textId="4CCBA277" w:rsidR="0055247D" w:rsidRPr="00CD1BC9" w:rsidRDefault="0055247D" w:rsidP="0055247D">
            <w:pPr>
              <w:pStyle w:val="Bodytext20"/>
              <w:shd w:val="clear" w:color="auto" w:fill="auto"/>
              <w:tabs>
                <w:tab w:val="left" w:pos="430"/>
              </w:tabs>
              <w:spacing w:line="240" w:lineRule="auto"/>
              <w:ind w:firstLine="0"/>
              <w:rPr>
                <w:b/>
                <w:sz w:val="24"/>
                <w:szCs w:val="24"/>
              </w:rPr>
            </w:pPr>
            <w:r w:rsidRPr="00CD1BC9">
              <w:rPr>
                <w:b/>
                <w:sz w:val="24"/>
                <w:szCs w:val="24"/>
              </w:rPr>
              <w:t>I. Obiecțiile</w:t>
            </w:r>
          </w:p>
        </w:tc>
        <w:tc>
          <w:tcPr>
            <w:tcW w:w="4239" w:type="dxa"/>
            <w:vMerge w:val="restart"/>
          </w:tcPr>
          <w:p w14:paraId="71CB37CB" w14:textId="77777777" w:rsidR="0055247D" w:rsidRPr="00514863" w:rsidRDefault="0055247D" w:rsidP="0055247D">
            <w:pPr>
              <w:pStyle w:val="a6"/>
              <w:tabs>
                <w:tab w:val="left" w:pos="-14"/>
              </w:tabs>
              <w:ind w:left="-14"/>
              <w:rPr>
                <w:lang w:val="fr-FR"/>
              </w:rPr>
            </w:pPr>
          </w:p>
          <w:p w14:paraId="79326EDF" w14:textId="008D054C" w:rsidR="0055247D" w:rsidRPr="00514863" w:rsidRDefault="00E16B70" w:rsidP="0055247D">
            <w:pPr>
              <w:pStyle w:val="a6"/>
              <w:tabs>
                <w:tab w:val="left" w:pos="-14"/>
              </w:tabs>
              <w:ind w:left="-14"/>
              <w:jc w:val="both"/>
              <w:rPr>
                <w:lang w:val="fr-FR"/>
              </w:rPr>
            </w:pPr>
            <w:r w:rsidRPr="00514863">
              <w:rPr>
                <w:lang w:val="fr-FR"/>
              </w:rPr>
              <w:t>Se acceptă.</w:t>
            </w:r>
          </w:p>
          <w:p w14:paraId="3D10E05E" w14:textId="08F068DA" w:rsidR="00E16B70" w:rsidRPr="00514863" w:rsidRDefault="00E16B70" w:rsidP="0055247D">
            <w:pPr>
              <w:pStyle w:val="a6"/>
              <w:tabs>
                <w:tab w:val="left" w:pos="-14"/>
              </w:tabs>
              <w:ind w:left="-14"/>
              <w:jc w:val="both"/>
              <w:rPr>
                <w:lang w:val="fr-FR"/>
              </w:rPr>
            </w:pPr>
            <w:r w:rsidRPr="00514863">
              <w:rPr>
                <w:lang w:val="fr-FR"/>
              </w:rPr>
              <w:t>Avizele au fost anexate.</w:t>
            </w:r>
          </w:p>
          <w:p w14:paraId="5537C600" w14:textId="77777777" w:rsidR="0055247D" w:rsidRPr="00514863" w:rsidRDefault="0055247D" w:rsidP="0055247D">
            <w:pPr>
              <w:pStyle w:val="a6"/>
              <w:tabs>
                <w:tab w:val="left" w:pos="-14"/>
              </w:tabs>
              <w:ind w:left="-14"/>
              <w:jc w:val="both"/>
              <w:rPr>
                <w:lang w:val="fr-FR"/>
              </w:rPr>
            </w:pPr>
          </w:p>
          <w:p w14:paraId="2A61CE1C" w14:textId="77777777" w:rsidR="0055247D" w:rsidRPr="00514863" w:rsidRDefault="0055247D" w:rsidP="0055247D">
            <w:pPr>
              <w:pStyle w:val="a6"/>
              <w:tabs>
                <w:tab w:val="left" w:pos="-14"/>
              </w:tabs>
              <w:ind w:left="-14"/>
              <w:jc w:val="both"/>
              <w:rPr>
                <w:lang w:val="fr-FR"/>
              </w:rPr>
            </w:pPr>
          </w:p>
          <w:p w14:paraId="2526C76E" w14:textId="77777777" w:rsidR="0055247D" w:rsidRPr="00514863" w:rsidRDefault="0055247D" w:rsidP="0055247D">
            <w:pPr>
              <w:pStyle w:val="a6"/>
              <w:tabs>
                <w:tab w:val="left" w:pos="-14"/>
              </w:tabs>
              <w:ind w:left="-14"/>
              <w:jc w:val="both"/>
              <w:rPr>
                <w:lang w:val="fr-FR"/>
              </w:rPr>
            </w:pPr>
          </w:p>
          <w:p w14:paraId="10200014" w14:textId="77777777" w:rsidR="0055247D" w:rsidRPr="00514863" w:rsidRDefault="0055247D" w:rsidP="0055247D">
            <w:pPr>
              <w:pStyle w:val="a6"/>
              <w:tabs>
                <w:tab w:val="left" w:pos="-14"/>
              </w:tabs>
              <w:ind w:left="-14"/>
              <w:jc w:val="both"/>
              <w:rPr>
                <w:lang w:val="fr-FR"/>
              </w:rPr>
            </w:pPr>
          </w:p>
          <w:p w14:paraId="0C29E30E" w14:textId="77777777" w:rsidR="0055247D" w:rsidRPr="00514863" w:rsidRDefault="0055247D" w:rsidP="0055247D">
            <w:pPr>
              <w:pStyle w:val="a6"/>
              <w:tabs>
                <w:tab w:val="left" w:pos="-14"/>
              </w:tabs>
              <w:ind w:left="-14"/>
              <w:jc w:val="both"/>
              <w:rPr>
                <w:lang w:val="fr-FR"/>
              </w:rPr>
            </w:pPr>
          </w:p>
          <w:p w14:paraId="187A1FC9" w14:textId="4FBC7BD3" w:rsidR="0055247D" w:rsidRPr="00514863" w:rsidRDefault="0055247D" w:rsidP="0055247D">
            <w:pPr>
              <w:pStyle w:val="a6"/>
              <w:tabs>
                <w:tab w:val="left" w:pos="-14"/>
              </w:tabs>
              <w:ind w:left="-14"/>
              <w:jc w:val="both"/>
              <w:rPr>
                <w:lang w:val="fr-FR"/>
              </w:rPr>
            </w:pPr>
          </w:p>
        </w:tc>
      </w:tr>
      <w:tr w:rsidR="0055247D" w:rsidRPr="00766FE2" w14:paraId="3258A735" w14:textId="77777777" w:rsidTr="007866D3">
        <w:trPr>
          <w:trHeight w:val="606"/>
        </w:trPr>
        <w:tc>
          <w:tcPr>
            <w:tcW w:w="2065" w:type="dxa"/>
            <w:vMerge/>
          </w:tcPr>
          <w:p w14:paraId="585FE6A2" w14:textId="77777777" w:rsidR="0055247D" w:rsidRPr="00514863" w:rsidRDefault="0055247D" w:rsidP="0055247D">
            <w:pPr>
              <w:tabs>
                <w:tab w:val="left" w:pos="884"/>
                <w:tab w:val="left" w:pos="1196"/>
              </w:tabs>
              <w:rPr>
                <w:b/>
                <w:lang w:val="fr-FR"/>
              </w:rPr>
            </w:pPr>
          </w:p>
        </w:tc>
        <w:tc>
          <w:tcPr>
            <w:tcW w:w="8010" w:type="dxa"/>
          </w:tcPr>
          <w:p w14:paraId="71387653" w14:textId="77777777" w:rsidR="00CD1BC9" w:rsidRPr="00514863" w:rsidRDefault="00CD1BC9" w:rsidP="00CD1BC9">
            <w:pPr>
              <w:widowControl w:val="0"/>
              <w:shd w:val="clear" w:color="auto" w:fill="FFFFFF"/>
              <w:tabs>
                <w:tab w:val="left" w:pos="430"/>
              </w:tabs>
              <w:jc w:val="both"/>
              <w:rPr>
                <w:bCs/>
                <w:lang w:val="fr-FR" w:eastAsia="en-US"/>
              </w:rPr>
            </w:pPr>
            <w:r w:rsidRPr="00514863">
              <w:rPr>
                <w:bCs/>
                <w:lang w:val="fr-FR" w:eastAsia="en-US"/>
              </w:rPr>
              <w:t>Proiectul nu conține avizele instituțiilor implicate în procesul de avizare și sinteza recomandărilor recepționate în cadrul consultării publice, fapt ce presupune că redacția proiectului poate suferi ulterior modificări și completări.</w:t>
            </w:r>
          </w:p>
          <w:p w14:paraId="1E204C7C" w14:textId="19FE7C2D" w:rsidR="00CD1BC9" w:rsidRPr="00CD1BC9" w:rsidRDefault="00CD1BC9" w:rsidP="00CD1BC9">
            <w:pPr>
              <w:widowControl w:val="0"/>
              <w:shd w:val="clear" w:color="auto" w:fill="FFFFFF"/>
              <w:tabs>
                <w:tab w:val="left" w:pos="430"/>
              </w:tabs>
              <w:jc w:val="both"/>
              <w:rPr>
                <w:bCs/>
                <w:lang w:eastAsia="en-US"/>
              </w:rPr>
            </w:pPr>
            <w:r w:rsidRPr="00514863">
              <w:rPr>
                <w:bCs/>
                <w:lang w:val="fr-FR" w:eastAsia="en-US"/>
              </w:rPr>
              <w:t xml:space="preserve">În vederea excluderii neconcordanțelor între constatările expertizei anticorupție și prevederile proiectului definitivat, comunicăm că expertiza sus-citată se va efectua conform Legii integrității nr. 82/2017. </w:t>
            </w:r>
            <w:r w:rsidRPr="00CD1BC9">
              <w:rPr>
                <w:bCs/>
                <w:lang w:eastAsia="en-US"/>
              </w:rPr>
              <w:t>Potrivit art. 28, alin. (4) din Legea menționată „</w:t>
            </w:r>
            <w:r w:rsidRPr="00CD1BC9">
              <w:rPr>
                <w:bCs/>
                <w:i/>
                <w:iCs/>
                <w:lang w:eastAsia="en-US"/>
              </w:rPr>
              <w:t>Expertiza anticorupție, cu excepțiile stabilite la alin. (2) și (3), se efectuează de către Centrul Național Anticorupție doar asupra proiectului definitivat în baza propunerilor și obiecțiilor expuse în procesul de avizare și/sau de consultare a părților interesate. În cazul proiectelor inițiate de Guvern, acestea se consideră definitivate înainte de a fi transmise spre expertiza juridică, iar în cazul inițiativelor altor categorii de autori – după înregistrarea proiectelor în Parlament</w:t>
            </w:r>
            <w:r w:rsidRPr="00CD1BC9">
              <w:rPr>
                <w:bCs/>
                <w:lang w:eastAsia="en-US"/>
              </w:rPr>
              <w:t>.”.</w:t>
            </w:r>
          </w:p>
          <w:p w14:paraId="3EC77F03" w14:textId="5822EE1D" w:rsidR="0055247D" w:rsidRPr="00D30401" w:rsidRDefault="00CD1BC9" w:rsidP="00CD1BC9">
            <w:pPr>
              <w:ind w:right="57"/>
              <w:jc w:val="both"/>
              <w:rPr>
                <w:highlight w:val="yellow"/>
              </w:rPr>
            </w:pPr>
            <w:r w:rsidRPr="00CD1BC9">
              <w:rPr>
                <w:bCs/>
              </w:rPr>
              <w:t>Reieșind din cele expuse, solicităm respectuos prezentarea proiectului definitivat pentru efectuarea expertizei anticorupție.</w:t>
            </w:r>
          </w:p>
        </w:tc>
        <w:tc>
          <w:tcPr>
            <w:tcW w:w="4239" w:type="dxa"/>
            <w:vMerge/>
          </w:tcPr>
          <w:p w14:paraId="517937A5" w14:textId="77DD38C5" w:rsidR="0055247D" w:rsidRPr="00D30401" w:rsidRDefault="0055247D" w:rsidP="0055247D">
            <w:pPr>
              <w:pStyle w:val="a6"/>
              <w:tabs>
                <w:tab w:val="left" w:pos="-14"/>
              </w:tabs>
              <w:ind w:left="-14"/>
              <w:jc w:val="both"/>
            </w:pPr>
          </w:p>
        </w:tc>
      </w:tr>
      <w:tr w:rsidR="0055247D" w:rsidRPr="00514863" w14:paraId="4F5AADC3" w14:textId="77777777" w:rsidTr="007866D3">
        <w:trPr>
          <w:trHeight w:val="350"/>
        </w:trPr>
        <w:tc>
          <w:tcPr>
            <w:tcW w:w="2065" w:type="dxa"/>
          </w:tcPr>
          <w:p w14:paraId="08BD076F" w14:textId="71CCC98E" w:rsidR="0055247D" w:rsidRPr="00514863" w:rsidRDefault="0055247D" w:rsidP="0055247D">
            <w:pPr>
              <w:tabs>
                <w:tab w:val="left" w:pos="884"/>
                <w:tab w:val="left" w:pos="1196"/>
              </w:tabs>
              <w:rPr>
                <w:b/>
                <w:lang w:val="en-US"/>
              </w:rPr>
            </w:pPr>
            <w:r w:rsidRPr="00514863">
              <w:rPr>
                <w:b/>
                <w:lang w:val="en-US"/>
              </w:rPr>
              <w:t xml:space="preserve">Confederația Națională a Patronatelor din </w:t>
            </w:r>
            <w:r w:rsidRPr="00514863">
              <w:rPr>
                <w:b/>
                <w:lang w:val="en-US"/>
              </w:rPr>
              <w:lastRenderedPageBreak/>
              <w:t>Republica Moldova</w:t>
            </w:r>
          </w:p>
        </w:tc>
        <w:tc>
          <w:tcPr>
            <w:tcW w:w="8010" w:type="dxa"/>
          </w:tcPr>
          <w:p w14:paraId="56D2F09C" w14:textId="28746549" w:rsidR="0055247D" w:rsidRPr="00D30401" w:rsidRDefault="0055247D" w:rsidP="0055247D">
            <w:pPr>
              <w:pStyle w:val="Bodytext20"/>
              <w:shd w:val="clear" w:color="auto" w:fill="auto"/>
              <w:spacing w:line="240" w:lineRule="auto"/>
              <w:ind w:firstLine="0"/>
              <w:rPr>
                <w:color w:val="000000"/>
                <w:sz w:val="24"/>
                <w:szCs w:val="24"/>
                <w:lang w:eastAsia="ro-RO" w:bidi="ro-RO"/>
              </w:rPr>
            </w:pPr>
            <w:r w:rsidRPr="00D30401">
              <w:rPr>
                <w:color w:val="000000"/>
                <w:sz w:val="24"/>
                <w:szCs w:val="24"/>
                <w:lang w:eastAsia="ro-RO" w:bidi="ro-RO"/>
              </w:rPr>
              <w:lastRenderedPageBreak/>
              <w:t>Aviz fără propuneri și obiecții.</w:t>
            </w:r>
          </w:p>
        </w:tc>
        <w:tc>
          <w:tcPr>
            <w:tcW w:w="4239" w:type="dxa"/>
          </w:tcPr>
          <w:p w14:paraId="75656EDB" w14:textId="77777777" w:rsidR="0055247D" w:rsidRPr="00514863" w:rsidRDefault="0055247D" w:rsidP="0055247D">
            <w:pPr>
              <w:tabs>
                <w:tab w:val="left" w:pos="1276"/>
              </w:tabs>
              <w:rPr>
                <w:lang w:val="en-US"/>
              </w:rPr>
            </w:pPr>
          </w:p>
        </w:tc>
      </w:tr>
      <w:tr w:rsidR="0055247D" w:rsidRPr="00766FE2" w14:paraId="72ABADC2" w14:textId="77777777" w:rsidTr="007866D3">
        <w:trPr>
          <w:trHeight w:val="350"/>
        </w:trPr>
        <w:tc>
          <w:tcPr>
            <w:tcW w:w="2065" w:type="dxa"/>
          </w:tcPr>
          <w:p w14:paraId="26076800" w14:textId="64EFCB25" w:rsidR="0055247D" w:rsidRPr="00D30401" w:rsidRDefault="0055247D" w:rsidP="0055247D">
            <w:pPr>
              <w:tabs>
                <w:tab w:val="left" w:pos="884"/>
                <w:tab w:val="left" w:pos="1196"/>
              </w:tabs>
              <w:rPr>
                <w:b/>
              </w:rPr>
            </w:pPr>
            <w:r w:rsidRPr="00D30401">
              <w:rPr>
                <w:b/>
              </w:rPr>
              <w:lastRenderedPageBreak/>
              <w:t>Confederația Națională a Sindicatelor din Moldova</w:t>
            </w:r>
          </w:p>
        </w:tc>
        <w:tc>
          <w:tcPr>
            <w:tcW w:w="8010" w:type="dxa"/>
          </w:tcPr>
          <w:p w14:paraId="788E7236" w14:textId="5F843067" w:rsidR="0055247D" w:rsidRPr="00D30401" w:rsidRDefault="0055247D" w:rsidP="0055247D">
            <w:pPr>
              <w:pStyle w:val="Bodytext20"/>
              <w:shd w:val="clear" w:color="auto" w:fill="auto"/>
              <w:spacing w:line="240" w:lineRule="auto"/>
              <w:ind w:firstLine="0"/>
              <w:rPr>
                <w:color w:val="000000"/>
                <w:sz w:val="24"/>
                <w:szCs w:val="24"/>
                <w:lang w:eastAsia="ro-RO" w:bidi="ro-RO"/>
              </w:rPr>
            </w:pPr>
            <w:r w:rsidRPr="00D30401">
              <w:rPr>
                <w:color w:val="000000"/>
                <w:sz w:val="24"/>
                <w:szCs w:val="24"/>
                <w:lang w:eastAsia="ro-RO" w:bidi="ro-RO"/>
              </w:rPr>
              <w:t>Aviz fără propuneri și obiecții.</w:t>
            </w:r>
          </w:p>
        </w:tc>
        <w:tc>
          <w:tcPr>
            <w:tcW w:w="4239" w:type="dxa"/>
          </w:tcPr>
          <w:p w14:paraId="0BC07DED" w14:textId="77777777" w:rsidR="0055247D" w:rsidRPr="00D30401" w:rsidRDefault="0055247D" w:rsidP="0055247D">
            <w:pPr>
              <w:pStyle w:val="a6"/>
              <w:tabs>
                <w:tab w:val="left" w:pos="-14"/>
              </w:tabs>
              <w:ind w:left="-14"/>
            </w:pPr>
          </w:p>
        </w:tc>
      </w:tr>
      <w:tr w:rsidR="0055247D" w:rsidRPr="00766FE2" w14:paraId="2A46617B" w14:textId="77777777" w:rsidTr="007866D3">
        <w:trPr>
          <w:trHeight w:val="350"/>
        </w:trPr>
        <w:tc>
          <w:tcPr>
            <w:tcW w:w="2065" w:type="dxa"/>
          </w:tcPr>
          <w:p w14:paraId="29477502" w14:textId="6D3C898C" w:rsidR="0055247D" w:rsidRPr="00D30401" w:rsidRDefault="0055247D" w:rsidP="0055247D">
            <w:pPr>
              <w:tabs>
                <w:tab w:val="left" w:pos="884"/>
                <w:tab w:val="left" w:pos="1196"/>
              </w:tabs>
              <w:rPr>
                <w:b/>
              </w:rPr>
            </w:pPr>
            <w:r w:rsidRPr="00D30401">
              <w:rPr>
                <w:b/>
              </w:rPr>
              <w:t>Agenția Națională Asistență Socială</w:t>
            </w:r>
          </w:p>
        </w:tc>
        <w:tc>
          <w:tcPr>
            <w:tcW w:w="8010" w:type="dxa"/>
          </w:tcPr>
          <w:p w14:paraId="356093DC" w14:textId="1104C144" w:rsidR="0055247D" w:rsidRPr="00D30401" w:rsidRDefault="0055247D" w:rsidP="0055247D">
            <w:pPr>
              <w:pStyle w:val="Bodytext20"/>
              <w:shd w:val="clear" w:color="auto" w:fill="auto"/>
              <w:spacing w:line="240" w:lineRule="auto"/>
              <w:ind w:firstLine="0"/>
              <w:rPr>
                <w:color w:val="000000"/>
                <w:sz w:val="24"/>
                <w:szCs w:val="24"/>
                <w:lang w:eastAsia="ro-RO" w:bidi="ro-RO"/>
              </w:rPr>
            </w:pPr>
            <w:r w:rsidRPr="00D30401">
              <w:rPr>
                <w:color w:val="000000"/>
                <w:sz w:val="24"/>
                <w:szCs w:val="24"/>
                <w:lang w:eastAsia="ro-RO" w:bidi="ro-RO"/>
              </w:rPr>
              <w:t>Aviz fără propuneri și obiecții.</w:t>
            </w:r>
          </w:p>
        </w:tc>
        <w:tc>
          <w:tcPr>
            <w:tcW w:w="4239" w:type="dxa"/>
          </w:tcPr>
          <w:p w14:paraId="5515395C" w14:textId="77777777" w:rsidR="0055247D" w:rsidRPr="00D30401" w:rsidRDefault="0055247D" w:rsidP="0055247D">
            <w:pPr>
              <w:pStyle w:val="a6"/>
              <w:tabs>
                <w:tab w:val="left" w:pos="-14"/>
              </w:tabs>
              <w:ind w:left="-14"/>
            </w:pPr>
          </w:p>
        </w:tc>
      </w:tr>
      <w:tr w:rsidR="0055247D" w:rsidRPr="00766FE2" w14:paraId="586ED2C0" w14:textId="77777777" w:rsidTr="007866D3">
        <w:trPr>
          <w:trHeight w:val="350"/>
        </w:trPr>
        <w:tc>
          <w:tcPr>
            <w:tcW w:w="2065" w:type="dxa"/>
          </w:tcPr>
          <w:p w14:paraId="3440799D" w14:textId="457987E6" w:rsidR="0055247D" w:rsidRPr="00D30401" w:rsidRDefault="0055247D" w:rsidP="0055247D">
            <w:pPr>
              <w:tabs>
                <w:tab w:val="left" w:pos="884"/>
                <w:tab w:val="left" w:pos="1196"/>
              </w:tabs>
              <w:rPr>
                <w:b/>
              </w:rPr>
            </w:pPr>
            <w:r w:rsidRPr="00D30401">
              <w:rPr>
                <w:b/>
              </w:rPr>
              <w:t>Casa Națională de Asigurări Sociale</w:t>
            </w:r>
          </w:p>
        </w:tc>
        <w:tc>
          <w:tcPr>
            <w:tcW w:w="8010" w:type="dxa"/>
          </w:tcPr>
          <w:p w14:paraId="28865AAC" w14:textId="3A016A84" w:rsidR="0055247D" w:rsidRPr="00D30401" w:rsidRDefault="0055247D" w:rsidP="0055247D">
            <w:pPr>
              <w:pStyle w:val="Bodytext20"/>
              <w:shd w:val="clear" w:color="auto" w:fill="auto"/>
              <w:spacing w:line="240" w:lineRule="auto"/>
              <w:ind w:firstLine="0"/>
              <w:rPr>
                <w:color w:val="000000"/>
                <w:sz w:val="24"/>
                <w:szCs w:val="24"/>
                <w:lang w:eastAsia="ro-RO" w:bidi="ro-RO"/>
              </w:rPr>
            </w:pPr>
            <w:r w:rsidRPr="00D30401">
              <w:rPr>
                <w:color w:val="000000"/>
                <w:sz w:val="24"/>
                <w:szCs w:val="24"/>
                <w:lang w:eastAsia="ro-RO" w:bidi="ro-RO"/>
              </w:rPr>
              <w:t>Aviz fără propuneri și obiecții.</w:t>
            </w:r>
          </w:p>
        </w:tc>
        <w:tc>
          <w:tcPr>
            <w:tcW w:w="4239" w:type="dxa"/>
          </w:tcPr>
          <w:p w14:paraId="45513BC5" w14:textId="77777777" w:rsidR="0055247D" w:rsidRPr="00D30401" w:rsidRDefault="0055247D" w:rsidP="0055247D">
            <w:pPr>
              <w:pStyle w:val="a6"/>
              <w:tabs>
                <w:tab w:val="left" w:pos="-14"/>
              </w:tabs>
              <w:ind w:left="-14"/>
            </w:pPr>
          </w:p>
        </w:tc>
      </w:tr>
    </w:tbl>
    <w:p w14:paraId="53FC3108" w14:textId="77777777" w:rsidR="008F5A27" w:rsidRPr="00D30401" w:rsidRDefault="008F5A27" w:rsidP="008F5A27">
      <w:pPr>
        <w:ind w:left="720"/>
        <w:rPr>
          <w:b/>
        </w:rPr>
      </w:pPr>
    </w:p>
    <w:p w14:paraId="55D3FAED" w14:textId="77777777" w:rsidR="00CE5F1A" w:rsidRPr="00D30401" w:rsidRDefault="00CE5F1A" w:rsidP="00AC1783">
      <w:pPr>
        <w:tabs>
          <w:tab w:val="left" w:pos="1530"/>
        </w:tabs>
        <w:ind w:firstLine="1530"/>
        <w:rPr>
          <w:b/>
        </w:rPr>
      </w:pPr>
    </w:p>
    <w:p w14:paraId="49C09CAA" w14:textId="4F2D0075" w:rsidR="00486ACB" w:rsidRPr="00D30401" w:rsidRDefault="00CE5F1A" w:rsidP="00AC1783">
      <w:pPr>
        <w:tabs>
          <w:tab w:val="left" w:pos="1530"/>
        </w:tabs>
        <w:ind w:firstLine="1530"/>
        <w:rPr>
          <w:sz w:val="28"/>
          <w:szCs w:val="28"/>
        </w:rPr>
      </w:pPr>
      <w:r w:rsidRPr="00D30401">
        <w:rPr>
          <w:b/>
          <w:sz w:val="28"/>
          <w:szCs w:val="28"/>
        </w:rPr>
        <w:t xml:space="preserve"> </w:t>
      </w:r>
      <w:r w:rsidR="007866D3" w:rsidRPr="00D30401">
        <w:rPr>
          <w:b/>
          <w:sz w:val="28"/>
          <w:szCs w:val="28"/>
        </w:rPr>
        <w:t xml:space="preserve">MINISTRU                                                                                         </w:t>
      </w:r>
      <w:r w:rsidR="00F400E4">
        <w:rPr>
          <w:b/>
          <w:sz w:val="28"/>
          <w:szCs w:val="28"/>
        </w:rPr>
        <w:t>VIORICA DUMBRĂVEANU</w:t>
      </w:r>
      <w:r w:rsidR="007866D3" w:rsidRPr="00D30401">
        <w:rPr>
          <w:b/>
          <w:sz w:val="28"/>
          <w:szCs w:val="28"/>
        </w:rPr>
        <w:t xml:space="preserve">                        </w:t>
      </w:r>
    </w:p>
    <w:sectPr w:rsidR="00486ACB" w:rsidRPr="00D30401" w:rsidSect="00D129E6">
      <w:pgSz w:w="15840" w:h="12240" w:orient="landscape"/>
      <w:pgMar w:top="567" w:right="1134" w:bottom="56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AEF41" w14:textId="77777777" w:rsidR="000B6EDF" w:rsidRDefault="000B6EDF" w:rsidP="0031049E">
      <w:r>
        <w:separator/>
      </w:r>
    </w:p>
  </w:endnote>
  <w:endnote w:type="continuationSeparator" w:id="0">
    <w:p w14:paraId="602F43C7" w14:textId="77777777" w:rsidR="000B6EDF" w:rsidRDefault="000B6EDF" w:rsidP="0031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2A8E4" w14:textId="77777777" w:rsidR="000B6EDF" w:rsidRDefault="000B6EDF" w:rsidP="0031049E">
      <w:r>
        <w:separator/>
      </w:r>
    </w:p>
  </w:footnote>
  <w:footnote w:type="continuationSeparator" w:id="0">
    <w:p w14:paraId="5C26E48E" w14:textId="77777777" w:rsidR="000B6EDF" w:rsidRDefault="000B6EDF" w:rsidP="003104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F0478"/>
    <w:multiLevelType w:val="hybridMultilevel"/>
    <w:tmpl w:val="D2F0CA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5D37726"/>
    <w:multiLevelType w:val="hybridMultilevel"/>
    <w:tmpl w:val="8342E7F4"/>
    <w:lvl w:ilvl="0" w:tplc="37F04B08">
      <w:start w:val="1"/>
      <w:numFmt w:val="decimal"/>
      <w:lvlText w:val="%1."/>
      <w:lvlJc w:val="left"/>
      <w:pPr>
        <w:ind w:left="3621" w:hanging="360"/>
      </w:pPr>
      <w:rPr>
        <w:rFonts w:ascii="Times New Roman" w:eastAsiaTheme="minorEastAsia" w:hAnsi="Times New Roman" w:cs="Times New Roman" w:hint="default"/>
        <w:color w:val="auto"/>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2">
    <w:nsid w:val="1C260E22"/>
    <w:multiLevelType w:val="hybridMultilevel"/>
    <w:tmpl w:val="8848A7FE"/>
    <w:lvl w:ilvl="0" w:tplc="B8867A68">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27121FDE"/>
    <w:multiLevelType w:val="hybridMultilevel"/>
    <w:tmpl w:val="5300A6C6"/>
    <w:lvl w:ilvl="0" w:tplc="1096AD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BF772F"/>
    <w:multiLevelType w:val="hybridMultilevel"/>
    <w:tmpl w:val="2C1CB25C"/>
    <w:lvl w:ilvl="0" w:tplc="671E4624">
      <w:start w:val="1"/>
      <w:numFmt w:val="bullet"/>
      <w:lvlText w:val="-"/>
      <w:lvlJc w:val="left"/>
      <w:pPr>
        <w:ind w:left="520" w:hanging="360"/>
      </w:pPr>
      <w:rPr>
        <w:rFonts w:ascii="Times New Roman" w:eastAsia="Times New Roman" w:hAnsi="Times New Roman" w:cs="Times New Roman"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nsid w:val="2BAD56A7"/>
    <w:multiLevelType w:val="hybridMultilevel"/>
    <w:tmpl w:val="2EC82CE6"/>
    <w:lvl w:ilvl="0" w:tplc="C4DEFE24">
      <w:start w:val="4"/>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1A17BC">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90F2B8">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7E44E4">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2E5E06">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2CD756">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32E8D0">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508F26">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4C8694">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633753C"/>
    <w:multiLevelType w:val="hybridMultilevel"/>
    <w:tmpl w:val="7F6E328A"/>
    <w:lvl w:ilvl="0" w:tplc="4DAE877A">
      <w:start w:val="1"/>
      <w:numFmt w:val="decimal"/>
      <w:lvlText w:val="%1."/>
      <w:lvlJc w:val="left"/>
      <w:pPr>
        <w:ind w:left="6300" w:hanging="360"/>
      </w:pPr>
      <w:rPr>
        <w:rFonts w:hint="default"/>
        <w:b/>
      </w:rPr>
    </w:lvl>
    <w:lvl w:ilvl="1" w:tplc="1BC6D004">
      <w:start w:val="1"/>
      <w:numFmt w:val="lowerLetter"/>
      <w:lvlText w:val="%2)"/>
      <w:lvlJc w:val="left"/>
      <w:pPr>
        <w:ind w:left="36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357F8F"/>
    <w:multiLevelType w:val="hybridMultilevel"/>
    <w:tmpl w:val="73805496"/>
    <w:lvl w:ilvl="0" w:tplc="A9FEFD50">
      <w:start w:val="4"/>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40FF2EFC"/>
    <w:multiLevelType w:val="hybridMultilevel"/>
    <w:tmpl w:val="71FEB4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1E22E2C"/>
    <w:multiLevelType w:val="hybridMultilevel"/>
    <w:tmpl w:val="8610ACAE"/>
    <w:lvl w:ilvl="0" w:tplc="0D561FF0">
      <w:start w:val="1"/>
      <w:numFmt w:val="decimal"/>
      <w:lvlText w:val="%1."/>
      <w:lvlJc w:val="left"/>
      <w:pPr>
        <w:ind w:left="420" w:hanging="360"/>
      </w:pPr>
      <w:rPr>
        <w:rFonts w:hint="default"/>
        <w:color w:val="auto"/>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0">
    <w:nsid w:val="51EC2365"/>
    <w:multiLevelType w:val="hybridMultilevel"/>
    <w:tmpl w:val="8342E7F4"/>
    <w:lvl w:ilvl="0" w:tplc="37F04B08">
      <w:start w:val="1"/>
      <w:numFmt w:val="decimal"/>
      <w:lvlText w:val="%1."/>
      <w:lvlJc w:val="left"/>
      <w:pPr>
        <w:ind w:left="3621" w:hanging="360"/>
      </w:pPr>
      <w:rPr>
        <w:rFonts w:ascii="Times New Roman" w:eastAsiaTheme="minorEastAsia" w:hAnsi="Times New Roman" w:cs="Times New Roman" w:hint="default"/>
        <w:color w:val="auto"/>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1">
    <w:nsid w:val="53E30604"/>
    <w:multiLevelType w:val="hybridMultilevel"/>
    <w:tmpl w:val="7528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3758FE"/>
    <w:multiLevelType w:val="hybridMultilevel"/>
    <w:tmpl w:val="BFA834CA"/>
    <w:lvl w:ilvl="0" w:tplc="BA2A6F70">
      <w:start w:val="2"/>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4B6D0FE">
      <w:start w:val="1"/>
      <w:numFmt w:val="lowerLetter"/>
      <w:lvlText w:val="%2"/>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4C7E74">
      <w:start w:val="1"/>
      <w:numFmt w:val="lowerRoman"/>
      <w:lvlText w:val="%3"/>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9251BA">
      <w:start w:val="1"/>
      <w:numFmt w:val="decimal"/>
      <w:lvlText w:val="%4"/>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9AA268">
      <w:start w:val="1"/>
      <w:numFmt w:val="lowerLetter"/>
      <w:lvlText w:val="%5"/>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EEA6E4">
      <w:start w:val="1"/>
      <w:numFmt w:val="lowerRoman"/>
      <w:lvlText w:val="%6"/>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CAD662">
      <w:start w:val="1"/>
      <w:numFmt w:val="decimal"/>
      <w:lvlText w:val="%7"/>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81C0950">
      <w:start w:val="1"/>
      <w:numFmt w:val="lowerLetter"/>
      <w:lvlText w:val="%8"/>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427642">
      <w:start w:val="1"/>
      <w:numFmt w:val="lowerRoman"/>
      <w:lvlText w:val="%9"/>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7EB4258B"/>
    <w:multiLevelType w:val="hybridMultilevel"/>
    <w:tmpl w:val="4DA2C464"/>
    <w:lvl w:ilvl="0" w:tplc="A196A19C">
      <w:start w:val="1"/>
      <w:numFmt w:val="decimal"/>
      <w:pStyle w:val="1"/>
      <w:lvlText w:val="%1."/>
      <w:lvlJc w:val="left"/>
      <w:pPr>
        <w:tabs>
          <w:tab w:val="num" w:pos="540"/>
        </w:tabs>
        <w:ind w:left="540" w:hanging="360"/>
      </w:pPr>
      <w:rPr>
        <w:color w:val="auto"/>
        <w:sz w:val="28"/>
        <w:szCs w:val="28"/>
      </w:rPr>
    </w:lvl>
    <w:lvl w:ilvl="1" w:tplc="04190001">
      <w:start w:val="1"/>
      <w:numFmt w:val="bullet"/>
      <w:lvlText w:val=""/>
      <w:lvlJc w:val="left"/>
      <w:pPr>
        <w:tabs>
          <w:tab w:val="num" w:pos="1440"/>
        </w:tabs>
        <w:ind w:left="1440" w:hanging="360"/>
      </w:pPr>
      <w:rPr>
        <w:rFonts w:ascii="Symbol" w:hAnsi="Symbol" w:hint="default"/>
        <w:color w:val="auto"/>
        <w:sz w:val="28"/>
        <w:szCs w:val="28"/>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10"/>
  </w:num>
  <w:num w:numId="4">
    <w:abstractNumId w:val="0"/>
  </w:num>
  <w:num w:numId="5">
    <w:abstractNumId w:val="4"/>
  </w:num>
  <w:num w:numId="6">
    <w:abstractNumId w:val="2"/>
  </w:num>
  <w:num w:numId="7">
    <w:abstractNumId w:val="3"/>
  </w:num>
  <w:num w:numId="8">
    <w:abstractNumId w:val="8"/>
  </w:num>
  <w:num w:numId="9">
    <w:abstractNumId w:val="6"/>
  </w:num>
  <w:num w:numId="10">
    <w:abstractNumId w:val="11"/>
  </w:num>
  <w:num w:numId="11">
    <w:abstractNumId w:val="12"/>
  </w:num>
  <w:num w:numId="12">
    <w:abstractNumId w:val="5"/>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9C3"/>
    <w:rsid w:val="00011D00"/>
    <w:rsid w:val="00015C34"/>
    <w:rsid w:val="00016BC7"/>
    <w:rsid w:val="00021AF9"/>
    <w:rsid w:val="00024320"/>
    <w:rsid w:val="00032B19"/>
    <w:rsid w:val="00032CD9"/>
    <w:rsid w:val="00042B52"/>
    <w:rsid w:val="00042EBD"/>
    <w:rsid w:val="00043B40"/>
    <w:rsid w:val="000458A4"/>
    <w:rsid w:val="0005246B"/>
    <w:rsid w:val="0005490A"/>
    <w:rsid w:val="00063311"/>
    <w:rsid w:val="000638AC"/>
    <w:rsid w:val="00065AEB"/>
    <w:rsid w:val="00073DF4"/>
    <w:rsid w:val="00074DFA"/>
    <w:rsid w:val="000760F0"/>
    <w:rsid w:val="0007739D"/>
    <w:rsid w:val="00077797"/>
    <w:rsid w:val="00081D40"/>
    <w:rsid w:val="00085E88"/>
    <w:rsid w:val="000967CC"/>
    <w:rsid w:val="00096A85"/>
    <w:rsid w:val="000978AD"/>
    <w:rsid w:val="00097B9B"/>
    <w:rsid w:val="00097CB7"/>
    <w:rsid w:val="000A6C7E"/>
    <w:rsid w:val="000B19C7"/>
    <w:rsid w:val="000B430D"/>
    <w:rsid w:val="000B4474"/>
    <w:rsid w:val="000B564B"/>
    <w:rsid w:val="000B6EDF"/>
    <w:rsid w:val="000C10F8"/>
    <w:rsid w:val="000C5C28"/>
    <w:rsid w:val="000D064E"/>
    <w:rsid w:val="000D3C36"/>
    <w:rsid w:val="000D44EA"/>
    <w:rsid w:val="000D5097"/>
    <w:rsid w:val="000E19D7"/>
    <w:rsid w:val="000E2193"/>
    <w:rsid w:val="000E6A6A"/>
    <w:rsid w:val="000F118A"/>
    <w:rsid w:val="000F12E0"/>
    <w:rsid w:val="000F34CF"/>
    <w:rsid w:val="00107987"/>
    <w:rsid w:val="001139B0"/>
    <w:rsid w:val="0011501A"/>
    <w:rsid w:val="001150E5"/>
    <w:rsid w:val="00120BF3"/>
    <w:rsid w:val="00123B1D"/>
    <w:rsid w:val="00124DBE"/>
    <w:rsid w:val="0012643B"/>
    <w:rsid w:val="00127B29"/>
    <w:rsid w:val="00132A27"/>
    <w:rsid w:val="00134039"/>
    <w:rsid w:val="00137536"/>
    <w:rsid w:val="00140CFD"/>
    <w:rsid w:val="00142419"/>
    <w:rsid w:val="00146B8A"/>
    <w:rsid w:val="00150D93"/>
    <w:rsid w:val="001520D8"/>
    <w:rsid w:val="00153C03"/>
    <w:rsid w:val="00157518"/>
    <w:rsid w:val="0016095F"/>
    <w:rsid w:val="0016560B"/>
    <w:rsid w:val="00166BF8"/>
    <w:rsid w:val="00171ADD"/>
    <w:rsid w:val="00171B7A"/>
    <w:rsid w:val="001747BB"/>
    <w:rsid w:val="00181485"/>
    <w:rsid w:val="00186BF0"/>
    <w:rsid w:val="0019007A"/>
    <w:rsid w:val="00191A0E"/>
    <w:rsid w:val="00191E34"/>
    <w:rsid w:val="0019504E"/>
    <w:rsid w:val="0019672B"/>
    <w:rsid w:val="001A70D8"/>
    <w:rsid w:val="001A72A0"/>
    <w:rsid w:val="001B2BC3"/>
    <w:rsid w:val="001B5C75"/>
    <w:rsid w:val="001C21EB"/>
    <w:rsid w:val="001C4E85"/>
    <w:rsid w:val="001D09F3"/>
    <w:rsid w:val="001D2882"/>
    <w:rsid w:val="001E02CA"/>
    <w:rsid w:val="001E7C0B"/>
    <w:rsid w:val="001F098D"/>
    <w:rsid w:val="001F12AB"/>
    <w:rsid w:val="001F3F13"/>
    <w:rsid w:val="001F47B8"/>
    <w:rsid w:val="001F66E6"/>
    <w:rsid w:val="00204F00"/>
    <w:rsid w:val="002060DD"/>
    <w:rsid w:val="00206987"/>
    <w:rsid w:val="00211F06"/>
    <w:rsid w:val="002174B9"/>
    <w:rsid w:val="00221595"/>
    <w:rsid w:val="00221B16"/>
    <w:rsid w:val="00223120"/>
    <w:rsid w:val="00225F16"/>
    <w:rsid w:val="002401AB"/>
    <w:rsid w:val="002408FC"/>
    <w:rsid w:val="00242BC2"/>
    <w:rsid w:val="00242DC2"/>
    <w:rsid w:val="00244CFA"/>
    <w:rsid w:val="00247EB5"/>
    <w:rsid w:val="00247F6F"/>
    <w:rsid w:val="00253BA7"/>
    <w:rsid w:val="0025588B"/>
    <w:rsid w:val="00256538"/>
    <w:rsid w:val="00257C1C"/>
    <w:rsid w:val="002653B9"/>
    <w:rsid w:val="00266FA8"/>
    <w:rsid w:val="002758CF"/>
    <w:rsid w:val="0028038A"/>
    <w:rsid w:val="002908CF"/>
    <w:rsid w:val="00292A91"/>
    <w:rsid w:val="002955BC"/>
    <w:rsid w:val="002A2CE5"/>
    <w:rsid w:val="002A7C7A"/>
    <w:rsid w:val="002B1835"/>
    <w:rsid w:val="002B2D3D"/>
    <w:rsid w:val="002B6E67"/>
    <w:rsid w:val="002C0C2F"/>
    <w:rsid w:val="002C14FA"/>
    <w:rsid w:val="002C1F82"/>
    <w:rsid w:val="002E1A6C"/>
    <w:rsid w:val="002E1D96"/>
    <w:rsid w:val="002E234C"/>
    <w:rsid w:val="002E5A6C"/>
    <w:rsid w:val="002F0ADA"/>
    <w:rsid w:val="002F0EBA"/>
    <w:rsid w:val="002F1364"/>
    <w:rsid w:val="002F207F"/>
    <w:rsid w:val="002F2972"/>
    <w:rsid w:val="002F59AE"/>
    <w:rsid w:val="002F7186"/>
    <w:rsid w:val="00300B5A"/>
    <w:rsid w:val="00302BE1"/>
    <w:rsid w:val="0030305B"/>
    <w:rsid w:val="003101D9"/>
    <w:rsid w:val="0031049E"/>
    <w:rsid w:val="00314994"/>
    <w:rsid w:val="00316F22"/>
    <w:rsid w:val="0032340D"/>
    <w:rsid w:val="00326363"/>
    <w:rsid w:val="00337C1F"/>
    <w:rsid w:val="003431EE"/>
    <w:rsid w:val="00344DB2"/>
    <w:rsid w:val="00355CC2"/>
    <w:rsid w:val="00364838"/>
    <w:rsid w:val="0037179D"/>
    <w:rsid w:val="00373EF8"/>
    <w:rsid w:val="003774B3"/>
    <w:rsid w:val="00385FBA"/>
    <w:rsid w:val="00390FDD"/>
    <w:rsid w:val="00391F8E"/>
    <w:rsid w:val="00395798"/>
    <w:rsid w:val="00396A86"/>
    <w:rsid w:val="00396DEF"/>
    <w:rsid w:val="003A7401"/>
    <w:rsid w:val="003B273D"/>
    <w:rsid w:val="003B533B"/>
    <w:rsid w:val="003C26C9"/>
    <w:rsid w:val="003C6CCB"/>
    <w:rsid w:val="003D0EAD"/>
    <w:rsid w:val="003D51A7"/>
    <w:rsid w:val="003D6E3B"/>
    <w:rsid w:val="003E02A3"/>
    <w:rsid w:val="003E0FA0"/>
    <w:rsid w:val="003E2FF0"/>
    <w:rsid w:val="003E5AA6"/>
    <w:rsid w:val="003E752A"/>
    <w:rsid w:val="003F0642"/>
    <w:rsid w:val="003F2C3D"/>
    <w:rsid w:val="003F3D16"/>
    <w:rsid w:val="003F5A4A"/>
    <w:rsid w:val="004013C0"/>
    <w:rsid w:val="00404EC7"/>
    <w:rsid w:val="00405DCC"/>
    <w:rsid w:val="00406916"/>
    <w:rsid w:val="0040725F"/>
    <w:rsid w:val="0041069D"/>
    <w:rsid w:val="00413151"/>
    <w:rsid w:val="0041751D"/>
    <w:rsid w:val="00421732"/>
    <w:rsid w:val="0043345A"/>
    <w:rsid w:val="0043403A"/>
    <w:rsid w:val="00436D23"/>
    <w:rsid w:val="004516A5"/>
    <w:rsid w:val="00453001"/>
    <w:rsid w:val="00486ACB"/>
    <w:rsid w:val="004A1474"/>
    <w:rsid w:val="004A7C96"/>
    <w:rsid w:val="004B2168"/>
    <w:rsid w:val="004B25B9"/>
    <w:rsid w:val="004B5C84"/>
    <w:rsid w:val="004C118E"/>
    <w:rsid w:val="004C7C0C"/>
    <w:rsid w:val="004D23D0"/>
    <w:rsid w:val="004D4BF6"/>
    <w:rsid w:val="004D611A"/>
    <w:rsid w:val="004E1AC7"/>
    <w:rsid w:val="004F324B"/>
    <w:rsid w:val="004F32E7"/>
    <w:rsid w:val="0050033C"/>
    <w:rsid w:val="0050036B"/>
    <w:rsid w:val="00503408"/>
    <w:rsid w:val="00506530"/>
    <w:rsid w:val="00507425"/>
    <w:rsid w:val="00514863"/>
    <w:rsid w:val="00520CB8"/>
    <w:rsid w:val="005226E9"/>
    <w:rsid w:val="00523016"/>
    <w:rsid w:val="00527B31"/>
    <w:rsid w:val="00533E2B"/>
    <w:rsid w:val="0054026B"/>
    <w:rsid w:val="00542F1D"/>
    <w:rsid w:val="0054543F"/>
    <w:rsid w:val="0055247D"/>
    <w:rsid w:val="00556CB5"/>
    <w:rsid w:val="005717E1"/>
    <w:rsid w:val="00597A8B"/>
    <w:rsid w:val="005B230A"/>
    <w:rsid w:val="005C1476"/>
    <w:rsid w:val="005C3CEA"/>
    <w:rsid w:val="005C588A"/>
    <w:rsid w:val="005E197D"/>
    <w:rsid w:val="005E251F"/>
    <w:rsid w:val="005E2B1B"/>
    <w:rsid w:val="005E4C91"/>
    <w:rsid w:val="005F3928"/>
    <w:rsid w:val="005F5176"/>
    <w:rsid w:val="006028FD"/>
    <w:rsid w:val="00602E4F"/>
    <w:rsid w:val="00604EE1"/>
    <w:rsid w:val="00606422"/>
    <w:rsid w:val="00606A85"/>
    <w:rsid w:val="00620326"/>
    <w:rsid w:val="006207D7"/>
    <w:rsid w:val="00625F8E"/>
    <w:rsid w:val="00626D45"/>
    <w:rsid w:val="00640245"/>
    <w:rsid w:val="00640AEC"/>
    <w:rsid w:val="006457B1"/>
    <w:rsid w:val="006465F7"/>
    <w:rsid w:val="00650C26"/>
    <w:rsid w:val="00661AF4"/>
    <w:rsid w:val="00664266"/>
    <w:rsid w:val="00666B1E"/>
    <w:rsid w:val="006700CC"/>
    <w:rsid w:val="006853F4"/>
    <w:rsid w:val="00694454"/>
    <w:rsid w:val="006A27F3"/>
    <w:rsid w:val="006A3B0F"/>
    <w:rsid w:val="006B0888"/>
    <w:rsid w:val="006B2287"/>
    <w:rsid w:val="006B4852"/>
    <w:rsid w:val="006B6D3A"/>
    <w:rsid w:val="006C1D3C"/>
    <w:rsid w:val="006C3426"/>
    <w:rsid w:val="006D4BDE"/>
    <w:rsid w:val="006E04C5"/>
    <w:rsid w:val="006E1261"/>
    <w:rsid w:val="006F2E38"/>
    <w:rsid w:val="007014A3"/>
    <w:rsid w:val="0070580C"/>
    <w:rsid w:val="00706CC8"/>
    <w:rsid w:val="007113FE"/>
    <w:rsid w:val="007170A4"/>
    <w:rsid w:val="00720D01"/>
    <w:rsid w:val="007245EF"/>
    <w:rsid w:val="00733906"/>
    <w:rsid w:val="007401BC"/>
    <w:rsid w:val="0075672B"/>
    <w:rsid w:val="00763CDC"/>
    <w:rsid w:val="00766FE2"/>
    <w:rsid w:val="00770D5E"/>
    <w:rsid w:val="007839C2"/>
    <w:rsid w:val="007840C1"/>
    <w:rsid w:val="007855B0"/>
    <w:rsid w:val="00786513"/>
    <w:rsid w:val="007866D3"/>
    <w:rsid w:val="00786CFC"/>
    <w:rsid w:val="00790E72"/>
    <w:rsid w:val="00792748"/>
    <w:rsid w:val="00797707"/>
    <w:rsid w:val="007A5A46"/>
    <w:rsid w:val="007B0179"/>
    <w:rsid w:val="007B45B4"/>
    <w:rsid w:val="007B7E30"/>
    <w:rsid w:val="007C0769"/>
    <w:rsid w:val="007C0EE8"/>
    <w:rsid w:val="007C28B9"/>
    <w:rsid w:val="007C5662"/>
    <w:rsid w:val="007C690E"/>
    <w:rsid w:val="007D135A"/>
    <w:rsid w:val="007D7101"/>
    <w:rsid w:val="007F0BD9"/>
    <w:rsid w:val="007F6696"/>
    <w:rsid w:val="00800F58"/>
    <w:rsid w:val="00811988"/>
    <w:rsid w:val="00821596"/>
    <w:rsid w:val="00821F48"/>
    <w:rsid w:val="00821F58"/>
    <w:rsid w:val="0082286D"/>
    <w:rsid w:val="00827B61"/>
    <w:rsid w:val="00835480"/>
    <w:rsid w:val="00837E22"/>
    <w:rsid w:val="0084282C"/>
    <w:rsid w:val="00846C5F"/>
    <w:rsid w:val="00851771"/>
    <w:rsid w:val="0085234D"/>
    <w:rsid w:val="00855C96"/>
    <w:rsid w:val="00863DBA"/>
    <w:rsid w:val="0086408B"/>
    <w:rsid w:val="00865E47"/>
    <w:rsid w:val="008751C6"/>
    <w:rsid w:val="00876855"/>
    <w:rsid w:val="0088153F"/>
    <w:rsid w:val="00885E57"/>
    <w:rsid w:val="00895028"/>
    <w:rsid w:val="008A1D53"/>
    <w:rsid w:val="008B0C57"/>
    <w:rsid w:val="008B1466"/>
    <w:rsid w:val="008B405C"/>
    <w:rsid w:val="008B5FA8"/>
    <w:rsid w:val="008C480C"/>
    <w:rsid w:val="008C65EF"/>
    <w:rsid w:val="008C74DE"/>
    <w:rsid w:val="008D1153"/>
    <w:rsid w:val="008E3A06"/>
    <w:rsid w:val="008F39FD"/>
    <w:rsid w:val="008F3F98"/>
    <w:rsid w:val="008F5A27"/>
    <w:rsid w:val="00904FE4"/>
    <w:rsid w:val="00905165"/>
    <w:rsid w:val="00906489"/>
    <w:rsid w:val="009069C3"/>
    <w:rsid w:val="009105AF"/>
    <w:rsid w:val="00910604"/>
    <w:rsid w:val="009138F4"/>
    <w:rsid w:val="0091415C"/>
    <w:rsid w:val="00915C5A"/>
    <w:rsid w:val="009162C5"/>
    <w:rsid w:val="00927D1C"/>
    <w:rsid w:val="00944AD8"/>
    <w:rsid w:val="00953CEA"/>
    <w:rsid w:val="009567CF"/>
    <w:rsid w:val="0096135D"/>
    <w:rsid w:val="00967725"/>
    <w:rsid w:val="00971BD3"/>
    <w:rsid w:val="0098361D"/>
    <w:rsid w:val="00991A8C"/>
    <w:rsid w:val="00997F16"/>
    <w:rsid w:val="009E1ABF"/>
    <w:rsid w:val="009E540B"/>
    <w:rsid w:val="00A0127C"/>
    <w:rsid w:val="00A042F6"/>
    <w:rsid w:val="00A077BB"/>
    <w:rsid w:val="00A10EDD"/>
    <w:rsid w:val="00A33A95"/>
    <w:rsid w:val="00A36A4B"/>
    <w:rsid w:val="00A43C54"/>
    <w:rsid w:val="00A472BC"/>
    <w:rsid w:val="00A54579"/>
    <w:rsid w:val="00A56D34"/>
    <w:rsid w:val="00A674D7"/>
    <w:rsid w:val="00A7190B"/>
    <w:rsid w:val="00A72ED2"/>
    <w:rsid w:val="00A76607"/>
    <w:rsid w:val="00A76DA1"/>
    <w:rsid w:val="00A80630"/>
    <w:rsid w:val="00A929D2"/>
    <w:rsid w:val="00A94CA1"/>
    <w:rsid w:val="00AA31A4"/>
    <w:rsid w:val="00AA7218"/>
    <w:rsid w:val="00AA7ECA"/>
    <w:rsid w:val="00AB181B"/>
    <w:rsid w:val="00AB3F55"/>
    <w:rsid w:val="00AC081F"/>
    <w:rsid w:val="00AC1783"/>
    <w:rsid w:val="00AC5821"/>
    <w:rsid w:val="00AD4243"/>
    <w:rsid w:val="00AD5D85"/>
    <w:rsid w:val="00AF431D"/>
    <w:rsid w:val="00AF597E"/>
    <w:rsid w:val="00B2232C"/>
    <w:rsid w:val="00B35C22"/>
    <w:rsid w:val="00B35E14"/>
    <w:rsid w:val="00B36FE5"/>
    <w:rsid w:val="00B46BD0"/>
    <w:rsid w:val="00B53870"/>
    <w:rsid w:val="00B54204"/>
    <w:rsid w:val="00B5498A"/>
    <w:rsid w:val="00B67552"/>
    <w:rsid w:val="00B7366E"/>
    <w:rsid w:val="00B743FA"/>
    <w:rsid w:val="00B823E9"/>
    <w:rsid w:val="00B91DB9"/>
    <w:rsid w:val="00B93ACD"/>
    <w:rsid w:val="00B9702A"/>
    <w:rsid w:val="00BA524D"/>
    <w:rsid w:val="00BA75A2"/>
    <w:rsid w:val="00BB04AE"/>
    <w:rsid w:val="00BB55EA"/>
    <w:rsid w:val="00BB5EC0"/>
    <w:rsid w:val="00BC3803"/>
    <w:rsid w:val="00BC7FDE"/>
    <w:rsid w:val="00BD64EB"/>
    <w:rsid w:val="00BD6575"/>
    <w:rsid w:val="00BE0067"/>
    <w:rsid w:val="00C0206D"/>
    <w:rsid w:val="00C06F7B"/>
    <w:rsid w:val="00C16011"/>
    <w:rsid w:val="00C170DB"/>
    <w:rsid w:val="00C21228"/>
    <w:rsid w:val="00C23AF0"/>
    <w:rsid w:val="00C24B7E"/>
    <w:rsid w:val="00C26FFE"/>
    <w:rsid w:val="00C27AA7"/>
    <w:rsid w:val="00C4090F"/>
    <w:rsid w:val="00C468BC"/>
    <w:rsid w:val="00C47A69"/>
    <w:rsid w:val="00C543AF"/>
    <w:rsid w:val="00C5472B"/>
    <w:rsid w:val="00C54A3E"/>
    <w:rsid w:val="00C62978"/>
    <w:rsid w:val="00C629E3"/>
    <w:rsid w:val="00C6333B"/>
    <w:rsid w:val="00C73613"/>
    <w:rsid w:val="00C8732A"/>
    <w:rsid w:val="00CA7358"/>
    <w:rsid w:val="00CB6C98"/>
    <w:rsid w:val="00CC4002"/>
    <w:rsid w:val="00CD1BC9"/>
    <w:rsid w:val="00CD4A52"/>
    <w:rsid w:val="00CE02EE"/>
    <w:rsid w:val="00CE1987"/>
    <w:rsid w:val="00CE1C90"/>
    <w:rsid w:val="00CE1EA6"/>
    <w:rsid w:val="00CE3EAA"/>
    <w:rsid w:val="00CE5BEA"/>
    <w:rsid w:val="00CE5F1A"/>
    <w:rsid w:val="00CE6BD1"/>
    <w:rsid w:val="00CF1B0A"/>
    <w:rsid w:val="00CF3B46"/>
    <w:rsid w:val="00CF6101"/>
    <w:rsid w:val="00D06352"/>
    <w:rsid w:val="00D129E6"/>
    <w:rsid w:val="00D14F47"/>
    <w:rsid w:val="00D30401"/>
    <w:rsid w:val="00D323B0"/>
    <w:rsid w:val="00D44100"/>
    <w:rsid w:val="00D44DA9"/>
    <w:rsid w:val="00D64A15"/>
    <w:rsid w:val="00D65BE5"/>
    <w:rsid w:val="00D7159A"/>
    <w:rsid w:val="00D813BB"/>
    <w:rsid w:val="00D916C3"/>
    <w:rsid w:val="00D94D2E"/>
    <w:rsid w:val="00DA1BCA"/>
    <w:rsid w:val="00DA31AB"/>
    <w:rsid w:val="00DA49F7"/>
    <w:rsid w:val="00DA5CFB"/>
    <w:rsid w:val="00DB4293"/>
    <w:rsid w:val="00DB4592"/>
    <w:rsid w:val="00DB7BD2"/>
    <w:rsid w:val="00DC1ACB"/>
    <w:rsid w:val="00DC5743"/>
    <w:rsid w:val="00DC5D18"/>
    <w:rsid w:val="00DD31AE"/>
    <w:rsid w:val="00DD399E"/>
    <w:rsid w:val="00DD4661"/>
    <w:rsid w:val="00DD5D1E"/>
    <w:rsid w:val="00DE40BD"/>
    <w:rsid w:val="00DE4B5B"/>
    <w:rsid w:val="00DF1924"/>
    <w:rsid w:val="00DF26B1"/>
    <w:rsid w:val="00DF3AF9"/>
    <w:rsid w:val="00DF6DD0"/>
    <w:rsid w:val="00E04FB2"/>
    <w:rsid w:val="00E12412"/>
    <w:rsid w:val="00E16B70"/>
    <w:rsid w:val="00E215E6"/>
    <w:rsid w:val="00E26D63"/>
    <w:rsid w:val="00E32A8A"/>
    <w:rsid w:val="00E344D8"/>
    <w:rsid w:val="00E35B3F"/>
    <w:rsid w:val="00E41267"/>
    <w:rsid w:val="00E44165"/>
    <w:rsid w:val="00E4437E"/>
    <w:rsid w:val="00E61E34"/>
    <w:rsid w:val="00E62E2A"/>
    <w:rsid w:val="00E714C6"/>
    <w:rsid w:val="00E74244"/>
    <w:rsid w:val="00E774A6"/>
    <w:rsid w:val="00E7755C"/>
    <w:rsid w:val="00E80945"/>
    <w:rsid w:val="00E82823"/>
    <w:rsid w:val="00E834F5"/>
    <w:rsid w:val="00E87416"/>
    <w:rsid w:val="00E90054"/>
    <w:rsid w:val="00E91F12"/>
    <w:rsid w:val="00EA1FB6"/>
    <w:rsid w:val="00EB477A"/>
    <w:rsid w:val="00ED2410"/>
    <w:rsid w:val="00ED5809"/>
    <w:rsid w:val="00ED7AF8"/>
    <w:rsid w:val="00EE2EB2"/>
    <w:rsid w:val="00EE37B3"/>
    <w:rsid w:val="00F042D8"/>
    <w:rsid w:val="00F12ADC"/>
    <w:rsid w:val="00F13F74"/>
    <w:rsid w:val="00F14F1D"/>
    <w:rsid w:val="00F1504F"/>
    <w:rsid w:val="00F16A5F"/>
    <w:rsid w:val="00F22D14"/>
    <w:rsid w:val="00F254E3"/>
    <w:rsid w:val="00F25678"/>
    <w:rsid w:val="00F27CBD"/>
    <w:rsid w:val="00F33AB8"/>
    <w:rsid w:val="00F400E4"/>
    <w:rsid w:val="00F41126"/>
    <w:rsid w:val="00F46114"/>
    <w:rsid w:val="00F5076A"/>
    <w:rsid w:val="00F524EF"/>
    <w:rsid w:val="00F56134"/>
    <w:rsid w:val="00F57C3F"/>
    <w:rsid w:val="00F6418F"/>
    <w:rsid w:val="00F76270"/>
    <w:rsid w:val="00F82C8D"/>
    <w:rsid w:val="00F850B1"/>
    <w:rsid w:val="00F871FF"/>
    <w:rsid w:val="00F87B78"/>
    <w:rsid w:val="00F95A0C"/>
    <w:rsid w:val="00F97AA9"/>
    <w:rsid w:val="00FA280E"/>
    <w:rsid w:val="00FA4FC3"/>
    <w:rsid w:val="00FA6B75"/>
    <w:rsid w:val="00FA7DAB"/>
    <w:rsid w:val="00FB511B"/>
    <w:rsid w:val="00FB5528"/>
    <w:rsid w:val="00FB5929"/>
    <w:rsid w:val="00FB6C88"/>
    <w:rsid w:val="00FC032D"/>
    <w:rsid w:val="00FC3B88"/>
    <w:rsid w:val="00FC5ABD"/>
    <w:rsid w:val="00FC74DC"/>
    <w:rsid w:val="00FD4F68"/>
    <w:rsid w:val="00FD695E"/>
    <w:rsid w:val="00FD77CB"/>
    <w:rsid w:val="00FE4998"/>
    <w:rsid w:val="00FE75EE"/>
    <w:rsid w:val="00FF1029"/>
    <w:rsid w:val="00FF4068"/>
    <w:rsid w:val="00FF40C1"/>
    <w:rsid w:val="00FF42CE"/>
    <w:rsid w:val="00FF4D68"/>
    <w:rsid w:val="00FF5851"/>
    <w:rsid w:val="00FF5FED"/>
    <w:rsid w:val="00FF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6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FA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8B5FA8"/>
  </w:style>
  <w:style w:type="table" w:styleId="a3">
    <w:name w:val="Table Grid"/>
    <w:basedOn w:val="a1"/>
    <w:rsid w:val="008B5F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b">
    <w:name w:val="pb"/>
    <w:basedOn w:val="a"/>
    <w:uiPriority w:val="99"/>
    <w:rsid w:val="008B5FA8"/>
    <w:pPr>
      <w:jc w:val="center"/>
    </w:pPr>
    <w:rPr>
      <w:rFonts w:eastAsiaTheme="minorEastAsia"/>
      <w:i/>
      <w:iCs/>
      <w:color w:val="663300"/>
      <w:sz w:val="20"/>
      <w:szCs w:val="20"/>
      <w:lang w:val="en-US" w:eastAsia="en-US"/>
    </w:rPr>
  </w:style>
  <w:style w:type="character" w:customStyle="1" w:styleId="2">
    <w:name w:val="Основной текст (2)_"/>
    <w:basedOn w:val="a0"/>
    <w:link w:val="20"/>
    <w:rsid w:val="008B5FA8"/>
    <w:rPr>
      <w:rFonts w:ascii="Times New Roman" w:eastAsia="Times New Roman" w:hAnsi="Times New Roman" w:cs="Times New Roman"/>
      <w:sz w:val="25"/>
      <w:szCs w:val="25"/>
      <w:shd w:val="clear" w:color="auto" w:fill="FFFFFF"/>
    </w:rPr>
  </w:style>
  <w:style w:type="paragraph" w:customStyle="1" w:styleId="20">
    <w:name w:val="Основной текст (2)"/>
    <w:basedOn w:val="a"/>
    <w:link w:val="2"/>
    <w:rsid w:val="008B5FA8"/>
    <w:pPr>
      <w:widowControl w:val="0"/>
      <w:shd w:val="clear" w:color="auto" w:fill="FFFFFF"/>
      <w:spacing w:after="120" w:line="0" w:lineRule="atLeast"/>
      <w:ind w:hanging="1840"/>
      <w:jc w:val="right"/>
    </w:pPr>
    <w:rPr>
      <w:sz w:val="25"/>
      <w:szCs w:val="25"/>
      <w:lang w:val="en-US" w:eastAsia="en-US"/>
    </w:rPr>
  </w:style>
  <w:style w:type="character" w:customStyle="1" w:styleId="Bodytext4">
    <w:name w:val="Body text (4)_"/>
    <w:basedOn w:val="a0"/>
    <w:link w:val="Bodytext40"/>
    <w:rsid w:val="008B5FA8"/>
    <w:rPr>
      <w:rFonts w:ascii="Times New Roman" w:eastAsia="Times New Roman" w:hAnsi="Times New Roman" w:cs="Times New Roman"/>
      <w:shd w:val="clear" w:color="auto" w:fill="FFFFFF"/>
    </w:rPr>
  </w:style>
  <w:style w:type="paragraph" w:customStyle="1" w:styleId="Bodytext40">
    <w:name w:val="Body text (4)"/>
    <w:basedOn w:val="a"/>
    <w:link w:val="Bodytext4"/>
    <w:rsid w:val="008B5FA8"/>
    <w:pPr>
      <w:widowControl w:val="0"/>
      <w:shd w:val="clear" w:color="auto" w:fill="FFFFFF"/>
      <w:spacing w:after="420" w:line="288" w:lineRule="exact"/>
      <w:ind w:hanging="600"/>
      <w:jc w:val="center"/>
    </w:pPr>
    <w:rPr>
      <w:sz w:val="22"/>
      <w:szCs w:val="22"/>
      <w:lang w:val="en-US" w:eastAsia="en-US"/>
    </w:rPr>
  </w:style>
  <w:style w:type="paragraph" w:styleId="a4">
    <w:name w:val="header"/>
    <w:basedOn w:val="a"/>
    <w:link w:val="a5"/>
    <w:rsid w:val="003B273D"/>
    <w:pPr>
      <w:tabs>
        <w:tab w:val="center" w:pos="4677"/>
        <w:tab w:val="right" w:pos="9355"/>
      </w:tabs>
      <w:spacing w:after="200" w:line="276" w:lineRule="auto"/>
    </w:pPr>
    <w:rPr>
      <w:rFonts w:ascii="Calibri" w:hAnsi="Calibri"/>
      <w:sz w:val="22"/>
      <w:szCs w:val="22"/>
    </w:rPr>
  </w:style>
  <w:style w:type="character" w:customStyle="1" w:styleId="a5">
    <w:name w:val="Верхний колонтитул Знак"/>
    <w:basedOn w:val="a0"/>
    <w:link w:val="a4"/>
    <w:rsid w:val="003B273D"/>
    <w:rPr>
      <w:rFonts w:ascii="Calibri" w:eastAsia="Times New Roman" w:hAnsi="Calibri" w:cs="Times New Roman"/>
      <w:lang w:val="ru-RU" w:eastAsia="ru-RU"/>
    </w:rPr>
  </w:style>
  <w:style w:type="paragraph" w:customStyle="1" w:styleId="Default">
    <w:name w:val="Default"/>
    <w:rsid w:val="003B273D"/>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a6">
    <w:name w:val="List Paragraph"/>
    <w:basedOn w:val="a"/>
    <w:uiPriority w:val="34"/>
    <w:qFormat/>
    <w:rsid w:val="003B273D"/>
    <w:pPr>
      <w:ind w:left="720"/>
      <w:contextualSpacing/>
    </w:pPr>
  </w:style>
  <w:style w:type="paragraph" w:styleId="a7">
    <w:name w:val="Balloon Text"/>
    <w:basedOn w:val="a"/>
    <w:link w:val="a8"/>
    <w:uiPriority w:val="99"/>
    <w:semiHidden/>
    <w:unhideWhenUsed/>
    <w:rsid w:val="003774B3"/>
    <w:rPr>
      <w:rFonts w:ascii="Segoe UI" w:hAnsi="Segoe UI" w:cs="Segoe UI"/>
      <w:sz w:val="18"/>
      <w:szCs w:val="18"/>
    </w:rPr>
  </w:style>
  <w:style w:type="character" w:customStyle="1" w:styleId="a8">
    <w:name w:val="Текст выноски Знак"/>
    <w:basedOn w:val="a0"/>
    <w:link w:val="a7"/>
    <w:uiPriority w:val="99"/>
    <w:semiHidden/>
    <w:rsid w:val="003774B3"/>
    <w:rPr>
      <w:rFonts w:ascii="Segoe UI" w:eastAsia="Times New Roman" w:hAnsi="Segoe UI" w:cs="Segoe UI"/>
      <w:sz w:val="18"/>
      <w:szCs w:val="18"/>
      <w:lang w:val="ru-RU" w:eastAsia="ru-RU"/>
    </w:rPr>
  </w:style>
  <w:style w:type="character" w:styleId="a9">
    <w:name w:val="annotation reference"/>
    <w:basedOn w:val="a0"/>
    <w:uiPriority w:val="99"/>
    <w:semiHidden/>
    <w:unhideWhenUsed/>
    <w:rsid w:val="007C0EE8"/>
    <w:rPr>
      <w:sz w:val="16"/>
      <w:szCs w:val="16"/>
    </w:rPr>
  </w:style>
  <w:style w:type="paragraph" w:styleId="aa">
    <w:name w:val="annotation text"/>
    <w:basedOn w:val="a"/>
    <w:link w:val="ab"/>
    <w:uiPriority w:val="99"/>
    <w:semiHidden/>
    <w:unhideWhenUsed/>
    <w:rsid w:val="007C0EE8"/>
    <w:rPr>
      <w:sz w:val="20"/>
      <w:szCs w:val="20"/>
    </w:rPr>
  </w:style>
  <w:style w:type="character" w:customStyle="1" w:styleId="ab">
    <w:name w:val="Текст примечания Знак"/>
    <w:basedOn w:val="a0"/>
    <w:link w:val="aa"/>
    <w:uiPriority w:val="99"/>
    <w:semiHidden/>
    <w:rsid w:val="007C0EE8"/>
    <w:rPr>
      <w:rFonts w:ascii="Times New Roman" w:eastAsia="Times New Roman" w:hAnsi="Times New Roman" w:cs="Times New Roman"/>
      <w:sz w:val="20"/>
      <w:szCs w:val="20"/>
      <w:lang w:val="ru-RU" w:eastAsia="ru-RU"/>
    </w:rPr>
  </w:style>
  <w:style w:type="paragraph" w:styleId="ac">
    <w:name w:val="annotation subject"/>
    <w:basedOn w:val="aa"/>
    <w:next w:val="aa"/>
    <w:link w:val="ad"/>
    <w:uiPriority w:val="99"/>
    <w:semiHidden/>
    <w:unhideWhenUsed/>
    <w:rsid w:val="007C0EE8"/>
    <w:rPr>
      <w:b/>
      <w:bCs/>
    </w:rPr>
  </w:style>
  <w:style w:type="character" w:customStyle="1" w:styleId="ad">
    <w:name w:val="Тема примечания Знак"/>
    <w:basedOn w:val="ab"/>
    <w:link w:val="ac"/>
    <w:uiPriority w:val="99"/>
    <w:semiHidden/>
    <w:rsid w:val="007C0EE8"/>
    <w:rPr>
      <w:rFonts w:ascii="Times New Roman" w:eastAsia="Times New Roman" w:hAnsi="Times New Roman" w:cs="Times New Roman"/>
      <w:b/>
      <w:bCs/>
      <w:sz w:val="20"/>
      <w:szCs w:val="20"/>
      <w:lang w:val="ru-RU" w:eastAsia="ru-RU"/>
    </w:rPr>
  </w:style>
  <w:style w:type="paragraph" w:styleId="ae">
    <w:name w:val="Revision"/>
    <w:hidden/>
    <w:uiPriority w:val="99"/>
    <w:semiHidden/>
    <w:rsid w:val="00406916"/>
    <w:pPr>
      <w:spacing w:after="0" w:line="240" w:lineRule="auto"/>
    </w:pPr>
    <w:rPr>
      <w:rFonts w:ascii="Times New Roman" w:eastAsia="Times New Roman" w:hAnsi="Times New Roman" w:cs="Times New Roman"/>
      <w:sz w:val="24"/>
      <w:szCs w:val="24"/>
      <w:lang w:val="ru-RU" w:eastAsia="ru-RU"/>
    </w:rPr>
  </w:style>
  <w:style w:type="paragraph" w:styleId="af">
    <w:name w:val="footnote text"/>
    <w:basedOn w:val="a"/>
    <w:link w:val="af0"/>
    <w:uiPriority w:val="99"/>
    <w:semiHidden/>
    <w:unhideWhenUsed/>
    <w:rsid w:val="0031049E"/>
    <w:rPr>
      <w:sz w:val="20"/>
      <w:szCs w:val="20"/>
    </w:rPr>
  </w:style>
  <w:style w:type="character" w:customStyle="1" w:styleId="af0">
    <w:name w:val="Текст сноски Знак"/>
    <w:basedOn w:val="a0"/>
    <w:link w:val="af"/>
    <w:uiPriority w:val="99"/>
    <w:semiHidden/>
    <w:rsid w:val="0031049E"/>
    <w:rPr>
      <w:rFonts w:ascii="Times New Roman" w:eastAsia="Times New Roman" w:hAnsi="Times New Roman" w:cs="Times New Roman"/>
      <w:sz w:val="20"/>
      <w:szCs w:val="20"/>
      <w:lang w:val="ru-RU" w:eastAsia="ru-RU"/>
    </w:rPr>
  </w:style>
  <w:style w:type="character" w:styleId="af1">
    <w:name w:val="footnote reference"/>
    <w:basedOn w:val="a0"/>
    <w:uiPriority w:val="99"/>
    <w:semiHidden/>
    <w:unhideWhenUsed/>
    <w:rsid w:val="0031049E"/>
    <w:rPr>
      <w:vertAlign w:val="superscript"/>
    </w:rPr>
  </w:style>
  <w:style w:type="character" w:customStyle="1" w:styleId="docbody">
    <w:name w:val="doc_body"/>
    <w:basedOn w:val="a0"/>
    <w:rsid w:val="00043B40"/>
  </w:style>
  <w:style w:type="character" w:customStyle="1" w:styleId="docblue">
    <w:name w:val="doc_blue"/>
    <w:basedOn w:val="a0"/>
    <w:rsid w:val="00542F1D"/>
  </w:style>
  <w:style w:type="character" w:styleId="af2">
    <w:name w:val="Strong"/>
    <w:basedOn w:val="a0"/>
    <w:uiPriority w:val="22"/>
    <w:qFormat/>
    <w:rsid w:val="00FB5929"/>
    <w:rPr>
      <w:b/>
      <w:bCs/>
    </w:rPr>
  </w:style>
  <w:style w:type="character" w:customStyle="1" w:styleId="Bodytext2">
    <w:name w:val="Body text (2)_"/>
    <w:basedOn w:val="a0"/>
    <w:link w:val="Bodytext20"/>
    <w:rsid w:val="00A94CA1"/>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A94CA1"/>
    <w:pPr>
      <w:widowControl w:val="0"/>
      <w:shd w:val="clear" w:color="auto" w:fill="FFFFFF"/>
      <w:spacing w:line="371" w:lineRule="exact"/>
      <w:ind w:firstLine="760"/>
      <w:jc w:val="both"/>
    </w:pPr>
    <w:rPr>
      <w:sz w:val="28"/>
      <w:szCs w:val="28"/>
      <w:lang w:val="en-US" w:eastAsia="en-US"/>
    </w:rPr>
  </w:style>
  <w:style w:type="character" w:customStyle="1" w:styleId="Bodytext5">
    <w:name w:val="Body text (5)_"/>
    <w:basedOn w:val="a0"/>
    <w:link w:val="Bodytext50"/>
    <w:rsid w:val="00A94CA1"/>
    <w:rPr>
      <w:rFonts w:ascii="Times New Roman" w:eastAsia="Times New Roman" w:hAnsi="Times New Roman" w:cs="Times New Roman"/>
      <w:b/>
      <w:bCs/>
      <w:i/>
      <w:iCs/>
      <w:sz w:val="28"/>
      <w:szCs w:val="28"/>
      <w:shd w:val="clear" w:color="auto" w:fill="FFFFFF"/>
    </w:rPr>
  </w:style>
  <w:style w:type="character" w:customStyle="1" w:styleId="Bodytext2Italic">
    <w:name w:val="Body text (2) + Italic"/>
    <w:basedOn w:val="Bodytext2"/>
    <w:rsid w:val="00A94CA1"/>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rPr>
  </w:style>
  <w:style w:type="character" w:customStyle="1" w:styleId="Bodytext5NotBold">
    <w:name w:val="Body text (5) + Not Bold"/>
    <w:basedOn w:val="Bodytext5"/>
    <w:rsid w:val="00A94CA1"/>
    <w:rPr>
      <w:rFonts w:ascii="Times New Roman" w:eastAsia="Times New Roman" w:hAnsi="Times New Roman" w:cs="Times New Roman"/>
      <w:b/>
      <w:bCs/>
      <w:i/>
      <w:iCs/>
      <w:color w:val="000000"/>
      <w:spacing w:val="0"/>
      <w:w w:val="100"/>
      <w:position w:val="0"/>
      <w:sz w:val="28"/>
      <w:szCs w:val="28"/>
      <w:shd w:val="clear" w:color="auto" w:fill="FFFFFF"/>
    </w:rPr>
  </w:style>
  <w:style w:type="paragraph" w:customStyle="1" w:styleId="Bodytext50">
    <w:name w:val="Body text (5)"/>
    <w:basedOn w:val="a"/>
    <w:link w:val="Bodytext5"/>
    <w:rsid w:val="00A94CA1"/>
    <w:pPr>
      <w:widowControl w:val="0"/>
      <w:shd w:val="clear" w:color="auto" w:fill="FFFFFF"/>
      <w:spacing w:line="389" w:lineRule="exact"/>
    </w:pPr>
    <w:rPr>
      <w:b/>
      <w:bCs/>
      <w:i/>
      <w:iCs/>
      <w:sz w:val="28"/>
      <w:szCs w:val="28"/>
      <w:lang w:val="en-US" w:eastAsia="en-US"/>
    </w:rPr>
  </w:style>
  <w:style w:type="paragraph" w:styleId="af3">
    <w:name w:val="Normal (Web)"/>
    <w:basedOn w:val="a"/>
    <w:uiPriority w:val="99"/>
    <w:unhideWhenUsed/>
    <w:rsid w:val="008F5A27"/>
    <w:pPr>
      <w:ind w:firstLine="567"/>
      <w:jc w:val="both"/>
    </w:pPr>
    <w:rPr>
      <w:lang w:val="en-US" w:eastAsia="en-US"/>
    </w:rPr>
  </w:style>
  <w:style w:type="paragraph" w:customStyle="1" w:styleId="tt">
    <w:name w:val="tt"/>
    <w:basedOn w:val="a"/>
    <w:uiPriority w:val="99"/>
    <w:rsid w:val="003B533B"/>
    <w:pPr>
      <w:jc w:val="center"/>
    </w:pPr>
    <w:rPr>
      <w:b/>
      <w:bCs/>
    </w:rPr>
  </w:style>
  <w:style w:type="character" w:customStyle="1" w:styleId="apple-converted-space">
    <w:name w:val="apple-converted-space"/>
    <w:basedOn w:val="a0"/>
    <w:rsid w:val="000F118A"/>
  </w:style>
  <w:style w:type="paragraph" w:customStyle="1" w:styleId="a00">
    <w:name w:val="a0"/>
    <w:basedOn w:val="a"/>
    <w:rsid w:val="00ED2410"/>
    <w:pPr>
      <w:spacing w:before="100" w:beforeAutospacing="1" w:after="100" w:afterAutospacing="1"/>
    </w:pPr>
    <w:rPr>
      <w:lang w:val="en-US" w:eastAsia="en-US"/>
    </w:rPr>
  </w:style>
  <w:style w:type="paragraph" w:customStyle="1" w:styleId="1">
    <w:name w:val="Основной текст1"/>
    <w:aliases w:val="OPM,Body Text1,OPM Char1 Char Char,Body text Char Char,OPM + Bold,OPMi,OPM + Bold + Bold,Italic + Bold + Bold,Italic + Bold,...,OPM Char1 Char,Body text Char Char + (Complex) 13.5 pt,Body text Char Char + B...,OPM + 9 pt,Italic"/>
    <w:basedOn w:val="a"/>
    <w:link w:val="BodytextChar"/>
    <w:qFormat/>
    <w:rsid w:val="00D30401"/>
    <w:pPr>
      <w:numPr>
        <w:numId w:val="14"/>
      </w:numPr>
      <w:tabs>
        <w:tab w:val="left" w:pos="720"/>
      </w:tabs>
      <w:spacing w:after="240"/>
      <w:jc w:val="both"/>
    </w:pPr>
    <w:rPr>
      <w:szCs w:val="20"/>
      <w:lang w:val="en-GB" w:eastAsia="zh-CN"/>
    </w:rPr>
  </w:style>
  <w:style w:type="character" w:customStyle="1" w:styleId="BodytextChar">
    <w:name w:val="Body text Char"/>
    <w:aliases w:val="OPM Char Char,OPM Char,OPM Char1,Body Text Char"/>
    <w:link w:val="1"/>
    <w:rsid w:val="00D30401"/>
    <w:rPr>
      <w:rFonts w:ascii="Times New Roman" w:eastAsia="Times New Roman" w:hAnsi="Times New Roman" w:cs="Times New Roman"/>
      <w:sz w:val="24"/>
      <w:szCs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FA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8B5FA8"/>
  </w:style>
  <w:style w:type="table" w:styleId="a3">
    <w:name w:val="Table Grid"/>
    <w:basedOn w:val="a1"/>
    <w:rsid w:val="008B5F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b">
    <w:name w:val="pb"/>
    <w:basedOn w:val="a"/>
    <w:uiPriority w:val="99"/>
    <w:rsid w:val="008B5FA8"/>
    <w:pPr>
      <w:jc w:val="center"/>
    </w:pPr>
    <w:rPr>
      <w:rFonts w:eastAsiaTheme="minorEastAsia"/>
      <w:i/>
      <w:iCs/>
      <w:color w:val="663300"/>
      <w:sz w:val="20"/>
      <w:szCs w:val="20"/>
      <w:lang w:val="en-US" w:eastAsia="en-US"/>
    </w:rPr>
  </w:style>
  <w:style w:type="character" w:customStyle="1" w:styleId="2">
    <w:name w:val="Основной текст (2)_"/>
    <w:basedOn w:val="a0"/>
    <w:link w:val="20"/>
    <w:rsid w:val="008B5FA8"/>
    <w:rPr>
      <w:rFonts w:ascii="Times New Roman" w:eastAsia="Times New Roman" w:hAnsi="Times New Roman" w:cs="Times New Roman"/>
      <w:sz w:val="25"/>
      <w:szCs w:val="25"/>
      <w:shd w:val="clear" w:color="auto" w:fill="FFFFFF"/>
    </w:rPr>
  </w:style>
  <w:style w:type="paragraph" w:customStyle="1" w:styleId="20">
    <w:name w:val="Основной текст (2)"/>
    <w:basedOn w:val="a"/>
    <w:link w:val="2"/>
    <w:rsid w:val="008B5FA8"/>
    <w:pPr>
      <w:widowControl w:val="0"/>
      <w:shd w:val="clear" w:color="auto" w:fill="FFFFFF"/>
      <w:spacing w:after="120" w:line="0" w:lineRule="atLeast"/>
      <w:ind w:hanging="1840"/>
      <w:jc w:val="right"/>
    </w:pPr>
    <w:rPr>
      <w:sz w:val="25"/>
      <w:szCs w:val="25"/>
      <w:lang w:val="en-US" w:eastAsia="en-US"/>
    </w:rPr>
  </w:style>
  <w:style w:type="character" w:customStyle="1" w:styleId="Bodytext4">
    <w:name w:val="Body text (4)_"/>
    <w:basedOn w:val="a0"/>
    <w:link w:val="Bodytext40"/>
    <w:rsid w:val="008B5FA8"/>
    <w:rPr>
      <w:rFonts w:ascii="Times New Roman" w:eastAsia="Times New Roman" w:hAnsi="Times New Roman" w:cs="Times New Roman"/>
      <w:shd w:val="clear" w:color="auto" w:fill="FFFFFF"/>
    </w:rPr>
  </w:style>
  <w:style w:type="paragraph" w:customStyle="1" w:styleId="Bodytext40">
    <w:name w:val="Body text (4)"/>
    <w:basedOn w:val="a"/>
    <w:link w:val="Bodytext4"/>
    <w:rsid w:val="008B5FA8"/>
    <w:pPr>
      <w:widowControl w:val="0"/>
      <w:shd w:val="clear" w:color="auto" w:fill="FFFFFF"/>
      <w:spacing w:after="420" w:line="288" w:lineRule="exact"/>
      <w:ind w:hanging="600"/>
      <w:jc w:val="center"/>
    </w:pPr>
    <w:rPr>
      <w:sz w:val="22"/>
      <w:szCs w:val="22"/>
      <w:lang w:val="en-US" w:eastAsia="en-US"/>
    </w:rPr>
  </w:style>
  <w:style w:type="paragraph" w:styleId="a4">
    <w:name w:val="header"/>
    <w:basedOn w:val="a"/>
    <w:link w:val="a5"/>
    <w:rsid w:val="003B273D"/>
    <w:pPr>
      <w:tabs>
        <w:tab w:val="center" w:pos="4677"/>
        <w:tab w:val="right" w:pos="9355"/>
      </w:tabs>
      <w:spacing w:after="200" w:line="276" w:lineRule="auto"/>
    </w:pPr>
    <w:rPr>
      <w:rFonts w:ascii="Calibri" w:hAnsi="Calibri"/>
      <w:sz w:val="22"/>
      <w:szCs w:val="22"/>
    </w:rPr>
  </w:style>
  <w:style w:type="character" w:customStyle="1" w:styleId="a5">
    <w:name w:val="Верхний колонтитул Знак"/>
    <w:basedOn w:val="a0"/>
    <w:link w:val="a4"/>
    <w:rsid w:val="003B273D"/>
    <w:rPr>
      <w:rFonts w:ascii="Calibri" w:eastAsia="Times New Roman" w:hAnsi="Calibri" w:cs="Times New Roman"/>
      <w:lang w:val="ru-RU" w:eastAsia="ru-RU"/>
    </w:rPr>
  </w:style>
  <w:style w:type="paragraph" w:customStyle="1" w:styleId="Default">
    <w:name w:val="Default"/>
    <w:rsid w:val="003B273D"/>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a6">
    <w:name w:val="List Paragraph"/>
    <w:basedOn w:val="a"/>
    <w:uiPriority w:val="34"/>
    <w:qFormat/>
    <w:rsid w:val="003B273D"/>
    <w:pPr>
      <w:ind w:left="720"/>
      <w:contextualSpacing/>
    </w:pPr>
  </w:style>
  <w:style w:type="paragraph" w:styleId="a7">
    <w:name w:val="Balloon Text"/>
    <w:basedOn w:val="a"/>
    <w:link w:val="a8"/>
    <w:uiPriority w:val="99"/>
    <w:semiHidden/>
    <w:unhideWhenUsed/>
    <w:rsid w:val="003774B3"/>
    <w:rPr>
      <w:rFonts w:ascii="Segoe UI" w:hAnsi="Segoe UI" w:cs="Segoe UI"/>
      <w:sz w:val="18"/>
      <w:szCs w:val="18"/>
    </w:rPr>
  </w:style>
  <w:style w:type="character" w:customStyle="1" w:styleId="a8">
    <w:name w:val="Текст выноски Знак"/>
    <w:basedOn w:val="a0"/>
    <w:link w:val="a7"/>
    <w:uiPriority w:val="99"/>
    <w:semiHidden/>
    <w:rsid w:val="003774B3"/>
    <w:rPr>
      <w:rFonts w:ascii="Segoe UI" w:eastAsia="Times New Roman" w:hAnsi="Segoe UI" w:cs="Segoe UI"/>
      <w:sz w:val="18"/>
      <w:szCs w:val="18"/>
      <w:lang w:val="ru-RU" w:eastAsia="ru-RU"/>
    </w:rPr>
  </w:style>
  <w:style w:type="character" w:styleId="a9">
    <w:name w:val="annotation reference"/>
    <w:basedOn w:val="a0"/>
    <w:uiPriority w:val="99"/>
    <w:semiHidden/>
    <w:unhideWhenUsed/>
    <w:rsid w:val="007C0EE8"/>
    <w:rPr>
      <w:sz w:val="16"/>
      <w:szCs w:val="16"/>
    </w:rPr>
  </w:style>
  <w:style w:type="paragraph" w:styleId="aa">
    <w:name w:val="annotation text"/>
    <w:basedOn w:val="a"/>
    <w:link w:val="ab"/>
    <w:uiPriority w:val="99"/>
    <w:semiHidden/>
    <w:unhideWhenUsed/>
    <w:rsid w:val="007C0EE8"/>
    <w:rPr>
      <w:sz w:val="20"/>
      <w:szCs w:val="20"/>
    </w:rPr>
  </w:style>
  <w:style w:type="character" w:customStyle="1" w:styleId="ab">
    <w:name w:val="Текст примечания Знак"/>
    <w:basedOn w:val="a0"/>
    <w:link w:val="aa"/>
    <w:uiPriority w:val="99"/>
    <w:semiHidden/>
    <w:rsid w:val="007C0EE8"/>
    <w:rPr>
      <w:rFonts w:ascii="Times New Roman" w:eastAsia="Times New Roman" w:hAnsi="Times New Roman" w:cs="Times New Roman"/>
      <w:sz w:val="20"/>
      <w:szCs w:val="20"/>
      <w:lang w:val="ru-RU" w:eastAsia="ru-RU"/>
    </w:rPr>
  </w:style>
  <w:style w:type="paragraph" w:styleId="ac">
    <w:name w:val="annotation subject"/>
    <w:basedOn w:val="aa"/>
    <w:next w:val="aa"/>
    <w:link w:val="ad"/>
    <w:uiPriority w:val="99"/>
    <w:semiHidden/>
    <w:unhideWhenUsed/>
    <w:rsid w:val="007C0EE8"/>
    <w:rPr>
      <w:b/>
      <w:bCs/>
    </w:rPr>
  </w:style>
  <w:style w:type="character" w:customStyle="1" w:styleId="ad">
    <w:name w:val="Тема примечания Знак"/>
    <w:basedOn w:val="ab"/>
    <w:link w:val="ac"/>
    <w:uiPriority w:val="99"/>
    <w:semiHidden/>
    <w:rsid w:val="007C0EE8"/>
    <w:rPr>
      <w:rFonts w:ascii="Times New Roman" w:eastAsia="Times New Roman" w:hAnsi="Times New Roman" w:cs="Times New Roman"/>
      <w:b/>
      <w:bCs/>
      <w:sz w:val="20"/>
      <w:szCs w:val="20"/>
      <w:lang w:val="ru-RU" w:eastAsia="ru-RU"/>
    </w:rPr>
  </w:style>
  <w:style w:type="paragraph" w:styleId="ae">
    <w:name w:val="Revision"/>
    <w:hidden/>
    <w:uiPriority w:val="99"/>
    <w:semiHidden/>
    <w:rsid w:val="00406916"/>
    <w:pPr>
      <w:spacing w:after="0" w:line="240" w:lineRule="auto"/>
    </w:pPr>
    <w:rPr>
      <w:rFonts w:ascii="Times New Roman" w:eastAsia="Times New Roman" w:hAnsi="Times New Roman" w:cs="Times New Roman"/>
      <w:sz w:val="24"/>
      <w:szCs w:val="24"/>
      <w:lang w:val="ru-RU" w:eastAsia="ru-RU"/>
    </w:rPr>
  </w:style>
  <w:style w:type="paragraph" w:styleId="af">
    <w:name w:val="footnote text"/>
    <w:basedOn w:val="a"/>
    <w:link w:val="af0"/>
    <w:uiPriority w:val="99"/>
    <w:semiHidden/>
    <w:unhideWhenUsed/>
    <w:rsid w:val="0031049E"/>
    <w:rPr>
      <w:sz w:val="20"/>
      <w:szCs w:val="20"/>
    </w:rPr>
  </w:style>
  <w:style w:type="character" w:customStyle="1" w:styleId="af0">
    <w:name w:val="Текст сноски Знак"/>
    <w:basedOn w:val="a0"/>
    <w:link w:val="af"/>
    <w:uiPriority w:val="99"/>
    <w:semiHidden/>
    <w:rsid w:val="0031049E"/>
    <w:rPr>
      <w:rFonts w:ascii="Times New Roman" w:eastAsia="Times New Roman" w:hAnsi="Times New Roman" w:cs="Times New Roman"/>
      <w:sz w:val="20"/>
      <w:szCs w:val="20"/>
      <w:lang w:val="ru-RU" w:eastAsia="ru-RU"/>
    </w:rPr>
  </w:style>
  <w:style w:type="character" w:styleId="af1">
    <w:name w:val="footnote reference"/>
    <w:basedOn w:val="a0"/>
    <w:uiPriority w:val="99"/>
    <w:semiHidden/>
    <w:unhideWhenUsed/>
    <w:rsid w:val="0031049E"/>
    <w:rPr>
      <w:vertAlign w:val="superscript"/>
    </w:rPr>
  </w:style>
  <w:style w:type="character" w:customStyle="1" w:styleId="docbody">
    <w:name w:val="doc_body"/>
    <w:basedOn w:val="a0"/>
    <w:rsid w:val="00043B40"/>
  </w:style>
  <w:style w:type="character" w:customStyle="1" w:styleId="docblue">
    <w:name w:val="doc_blue"/>
    <w:basedOn w:val="a0"/>
    <w:rsid w:val="00542F1D"/>
  </w:style>
  <w:style w:type="character" w:styleId="af2">
    <w:name w:val="Strong"/>
    <w:basedOn w:val="a0"/>
    <w:uiPriority w:val="22"/>
    <w:qFormat/>
    <w:rsid w:val="00FB5929"/>
    <w:rPr>
      <w:b/>
      <w:bCs/>
    </w:rPr>
  </w:style>
  <w:style w:type="character" w:customStyle="1" w:styleId="Bodytext2">
    <w:name w:val="Body text (2)_"/>
    <w:basedOn w:val="a0"/>
    <w:link w:val="Bodytext20"/>
    <w:rsid w:val="00A94CA1"/>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A94CA1"/>
    <w:pPr>
      <w:widowControl w:val="0"/>
      <w:shd w:val="clear" w:color="auto" w:fill="FFFFFF"/>
      <w:spacing w:line="371" w:lineRule="exact"/>
      <w:ind w:firstLine="760"/>
      <w:jc w:val="both"/>
    </w:pPr>
    <w:rPr>
      <w:sz w:val="28"/>
      <w:szCs w:val="28"/>
      <w:lang w:val="en-US" w:eastAsia="en-US"/>
    </w:rPr>
  </w:style>
  <w:style w:type="character" w:customStyle="1" w:styleId="Bodytext5">
    <w:name w:val="Body text (5)_"/>
    <w:basedOn w:val="a0"/>
    <w:link w:val="Bodytext50"/>
    <w:rsid w:val="00A94CA1"/>
    <w:rPr>
      <w:rFonts w:ascii="Times New Roman" w:eastAsia="Times New Roman" w:hAnsi="Times New Roman" w:cs="Times New Roman"/>
      <w:b/>
      <w:bCs/>
      <w:i/>
      <w:iCs/>
      <w:sz w:val="28"/>
      <w:szCs w:val="28"/>
      <w:shd w:val="clear" w:color="auto" w:fill="FFFFFF"/>
    </w:rPr>
  </w:style>
  <w:style w:type="character" w:customStyle="1" w:styleId="Bodytext2Italic">
    <w:name w:val="Body text (2) + Italic"/>
    <w:basedOn w:val="Bodytext2"/>
    <w:rsid w:val="00A94CA1"/>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rPr>
  </w:style>
  <w:style w:type="character" w:customStyle="1" w:styleId="Bodytext5NotBold">
    <w:name w:val="Body text (5) + Not Bold"/>
    <w:basedOn w:val="Bodytext5"/>
    <w:rsid w:val="00A94CA1"/>
    <w:rPr>
      <w:rFonts w:ascii="Times New Roman" w:eastAsia="Times New Roman" w:hAnsi="Times New Roman" w:cs="Times New Roman"/>
      <w:b/>
      <w:bCs/>
      <w:i/>
      <w:iCs/>
      <w:color w:val="000000"/>
      <w:spacing w:val="0"/>
      <w:w w:val="100"/>
      <w:position w:val="0"/>
      <w:sz w:val="28"/>
      <w:szCs w:val="28"/>
      <w:shd w:val="clear" w:color="auto" w:fill="FFFFFF"/>
    </w:rPr>
  </w:style>
  <w:style w:type="paragraph" w:customStyle="1" w:styleId="Bodytext50">
    <w:name w:val="Body text (5)"/>
    <w:basedOn w:val="a"/>
    <w:link w:val="Bodytext5"/>
    <w:rsid w:val="00A94CA1"/>
    <w:pPr>
      <w:widowControl w:val="0"/>
      <w:shd w:val="clear" w:color="auto" w:fill="FFFFFF"/>
      <w:spacing w:line="389" w:lineRule="exact"/>
    </w:pPr>
    <w:rPr>
      <w:b/>
      <w:bCs/>
      <w:i/>
      <w:iCs/>
      <w:sz w:val="28"/>
      <w:szCs w:val="28"/>
      <w:lang w:val="en-US" w:eastAsia="en-US"/>
    </w:rPr>
  </w:style>
  <w:style w:type="paragraph" w:styleId="af3">
    <w:name w:val="Normal (Web)"/>
    <w:basedOn w:val="a"/>
    <w:uiPriority w:val="99"/>
    <w:unhideWhenUsed/>
    <w:rsid w:val="008F5A27"/>
    <w:pPr>
      <w:ind w:firstLine="567"/>
      <w:jc w:val="both"/>
    </w:pPr>
    <w:rPr>
      <w:lang w:val="en-US" w:eastAsia="en-US"/>
    </w:rPr>
  </w:style>
  <w:style w:type="paragraph" w:customStyle="1" w:styleId="tt">
    <w:name w:val="tt"/>
    <w:basedOn w:val="a"/>
    <w:uiPriority w:val="99"/>
    <w:rsid w:val="003B533B"/>
    <w:pPr>
      <w:jc w:val="center"/>
    </w:pPr>
    <w:rPr>
      <w:b/>
      <w:bCs/>
    </w:rPr>
  </w:style>
  <w:style w:type="character" w:customStyle="1" w:styleId="apple-converted-space">
    <w:name w:val="apple-converted-space"/>
    <w:basedOn w:val="a0"/>
    <w:rsid w:val="000F118A"/>
  </w:style>
  <w:style w:type="paragraph" w:customStyle="1" w:styleId="a00">
    <w:name w:val="a0"/>
    <w:basedOn w:val="a"/>
    <w:rsid w:val="00ED2410"/>
    <w:pPr>
      <w:spacing w:before="100" w:beforeAutospacing="1" w:after="100" w:afterAutospacing="1"/>
    </w:pPr>
    <w:rPr>
      <w:lang w:val="en-US" w:eastAsia="en-US"/>
    </w:rPr>
  </w:style>
  <w:style w:type="paragraph" w:customStyle="1" w:styleId="1">
    <w:name w:val="Основной текст1"/>
    <w:aliases w:val="OPM,Body Text1,OPM Char1 Char Char,Body text Char Char,OPM + Bold,OPMi,OPM + Bold + Bold,Italic + Bold + Bold,Italic + Bold,...,OPM Char1 Char,Body text Char Char + (Complex) 13.5 pt,Body text Char Char + B...,OPM + 9 pt,Italic"/>
    <w:basedOn w:val="a"/>
    <w:link w:val="BodytextChar"/>
    <w:qFormat/>
    <w:rsid w:val="00D30401"/>
    <w:pPr>
      <w:numPr>
        <w:numId w:val="14"/>
      </w:numPr>
      <w:tabs>
        <w:tab w:val="left" w:pos="720"/>
      </w:tabs>
      <w:spacing w:after="240"/>
      <w:jc w:val="both"/>
    </w:pPr>
    <w:rPr>
      <w:szCs w:val="20"/>
      <w:lang w:val="en-GB" w:eastAsia="zh-CN"/>
    </w:rPr>
  </w:style>
  <w:style w:type="character" w:customStyle="1" w:styleId="BodytextChar">
    <w:name w:val="Body text Char"/>
    <w:aliases w:val="OPM Char Char,OPM Char,OPM Char1,Body Text Char"/>
    <w:link w:val="1"/>
    <w:rsid w:val="00D30401"/>
    <w:rPr>
      <w:rFonts w:ascii="Times New Roman" w:eastAsia="Times New Roman" w:hAnsi="Times New Roman" w:cs="Times New Roman"/>
      <w:sz w:val="24"/>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69254">
      <w:bodyDiv w:val="1"/>
      <w:marLeft w:val="0"/>
      <w:marRight w:val="0"/>
      <w:marTop w:val="0"/>
      <w:marBottom w:val="0"/>
      <w:divBdr>
        <w:top w:val="none" w:sz="0" w:space="0" w:color="auto"/>
        <w:left w:val="none" w:sz="0" w:space="0" w:color="auto"/>
        <w:bottom w:val="none" w:sz="0" w:space="0" w:color="auto"/>
        <w:right w:val="none" w:sz="0" w:space="0" w:color="auto"/>
      </w:divBdr>
    </w:div>
    <w:div w:id="326058542">
      <w:bodyDiv w:val="1"/>
      <w:marLeft w:val="0"/>
      <w:marRight w:val="0"/>
      <w:marTop w:val="0"/>
      <w:marBottom w:val="0"/>
      <w:divBdr>
        <w:top w:val="none" w:sz="0" w:space="0" w:color="auto"/>
        <w:left w:val="none" w:sz="0" w:space="0" w:color="auto"/>
        <w:bottom w:val="none" w:sz="0" w:space="0" w:color="auto"/>
        <w:right w:val="none" w:sz="0" w:space="0" w:color="auto"/>
      </w:divBdr>
    </w:div>
    <w:div w:id="1518501844">
      <w:bodyDiv w:val="1"/>
      <w:marLeft w:val="0"/>
      <w:marRight w:val="0"/>
      <w:marTop w:val="0"/>
      <w:marBottom w:val="0"/>
      <w:divBdr>
        <w:top w:val="none" w:sz="0" w:space="0" w:color="auto"/>
        <w:left w:val="none" w:sz="0" w:space="0" w:color="auto"/>
        <w:bottom w:val="none" w:sz="0" w:space="0" w:color="auto"/>
        <w:right w:val="none" w:sz="0" w:space="0" w:color="auto"/>
      </w:divBdr>
      <w:divsChild>
        <w:div w:id="1089544363">
          <w:marLeft w:val="0"/>
          <w:marRight w:val="0"/>
          <w:marTop w:val="0"/>
          <w:marBottom w:val="0"/>
          <w:divBdr>
            <w:top w:val="none" w:sz="0" w:space="0" w:color="auto"/>
            <w:left w:val="none" w:sz="0" w:space="0" w:color="auto"/>
            <w:bottom w:val="none" w:sz="0" w:space="0" w:color="auto"/>
            <w:right w:val="none" w:sz="0" w:space="0" w:color="auto"/>
          </w:divBdr>
        </w:div>
      </w:divsChild>
    </w:div>
    <w:div w:id="153534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44093-EB79-4AEC-871F-B82031C79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1372</Words>
  <Characters>7824</Characters>
  <Application>Microsoft Office Word</Application>
  <DocSecurity>0</DocSecurity>
  <Lines>65</Lines>
  <Paragraphs>18</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acasa</Company>
  <LinksUpToDate>false</LinksUpToDate>
  <CharactersWithSpaces>9178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 Bucur</cp:lastModifiedBy>
  <cp:revision>2</cp:revision>
  <cp:lastPrinted>2019-07-30T06:29:00Z</cp:lastPrinted>
  <dcterms:created xsi:type="dcterms:W3CDTF">2019-11-21T13:10:00Z</dcterms:created>
  <dcterms:modified xsi:type="dcterms:W3CDTF">2019-11-21T13:10:00Z</dcterms:modified>
</cp:coreProperties>
</file>