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E0" w:rsidRDefault="00AB1DE0" w:rsidP="007F3285">
      <w:pPr>
        <w:jc w:val="center"/>
        <w:rPr>
          <w:b/>
          <w:sz w:val="28"/>
          <w:szCs w:val="28"/>
          <w:lang w:val="ro-RO"/>
        </w:rPr>
      </w:pPr>
      <w:bookmarkStart w:id="0" w:name="_GoBack"/>
      <w:bookmarkEnd w:id="0"/>
    </w:p>
    <w:p w:rsidR="00AB1DE0" w:rsidRDefault="00AB1DE0" w:rsidP="007F3285">
      <w:pPr>
        <w:jc w:val="center"/>
        <w:rPr>
          <w:b/>
          <w:sz w:val="28"/>
          <w:szCs w:val="28"/>
          <w:lang w:val="ro-RO"/>
        </w:rPr>
      </w:pPr>
    </w:p>
    <w:p w:rsidR="007F3285" w:rsidRPr="00695F41" w:rsidRDefault="007F3285" w:rsidP="007F3285">
      <w:pPr>
        <w:jc w:val="center"/>
        <w:rPr>
          <w:b/>
          <w:sz w:val="28"/>
          <w:szCs w:val="28"/>
          <w:lang w:val="ro-RO"/>
        </w:rPr>
      </w:pPr>
      <w:r w:rsidRPr="00695F41">
        <w:rPr>
          <w:b/>
          <w:sz w:val="28"/>
          <w:szCs w:val="28"/>
          <w:lang w:val="ro-RO"/>
        </w:rPr>
        <w:t>Notă Informativă la proiectul de Lege cu privire la modificarea</w:t>
      </w:r>
    </w:p>
    <w:p w:rsidR="007F3285" w:rsidRPr="00695F41" w:rsidRDefault="007F3285" w:rsidP="007F3285">
      <w:pPr>
        <w:jc w:val="center"/>
        <w:rPr>
          <w:b/>
          <w:sz w:val="28"/>
          <w:szCs w:val="28"/>
          <w:lang w:val="ro-RO"/>
        </w:rPr>
      </w:pPr>
      <w:r w:rsidRPr="00695F41">
        <w:rPr>
          <w:b/>
          <w:bCs/>
          <w:sz w:val="28"/>
          <w:szCs w:val="28"/>
          <w:lang w:val="ro-RO" w:eastAsia="ru-RU"/>
        </w:rPr>
        <w:t>articolului 11 din Legea ocrotirii sănătății nr. 411/1995</w:t>
      </w:r>
    </w:p>
    <w:p w:rsidR="00AB1DE0" w:rsidRPr="00E7792A" w:rsidRDefault="00E7792A" w:rsidP="00E7792A">
      <w:pPr>
        <w:ind w:firstLine="0"/>
        <w:jc w:val="center"/>
        <w:rPr>
          <w:color w:val="FFFFFF" w:themeColor="background1"/>
          <w:sz w:val="28"/>
          <w:szCs w:val="28"/>
          <w:lang w:val="ro-RO"/>
        </w:rPr>
      </w:pPr>
      <w:r w:rsidRPr="00E7792A">
        <w:rPr>
          <w:color w:val="FFFFFF" w:themeColor="background1"/>
          <w:sz w:val="28"/>
          <w:szCs w:val="28"/>
          <w:lang w:val="ro-RO"/>
        </w:rPr>
        <w:t>(număr unic nr. 425/MSMPS/2019)</w:t>
      </w:r>
    </w:p>
    <w:p w:rsidR="00AB1DE0" w:rsidRPr="00695F41" w:rsidRDefault="00E7792A" w:rsidP="00E7792A">
      <w:pPr>
        <w:ind w:firstLine="0"/>
        <w:jc w:val="center"/>
        <w:rPr>
          <w:b/>
          <w:sz w:val="28"/>
          <w:szCs w:val="28"/>
          <w:lang w:val="ro-RO"/>
        </w:rPr>
      </w:pPr>
      <w:r>
        <w:rPr>
          <w:b/>
          <w:sz w:val="28"/>
          <w:szCs w:val="28"/>
          <w:lang w:val="ro-RO"/>
        </w:rPr>
        <w:t>(</w:t>
      </w:r>
      <w:r w:rsidRPr="00E7792A">
        <w:rPr>
          <w:b/>
          <w:sz w:val="28"/>
          <w:szCs w:val="28"/>
          <w:lang w:val="ro-RO"/>
        </w:rPr>
        <w:t>număr unic nr. 425/MSMPS/2019</w:t>
      </w:r>
      <w:r>
        <w:rPr>
          <w:b/>
          <w:sz w:val="28"/>
          <w:szCs w:val="28"/>
          <w:lang w:val="ro-RO"/>
        </w:rPr>
        <w:t>)</w:t>
      </w:r>
    </w:p>
    <w:p w:rsidR="007F3285" w:rsidRPr="00695F41" w:rsidRDefault="007F3285" w:rsidP="007F3285">
      <w:pPr>
        <w:jc w:val="center"/>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5"/>
      </w:tblGrid>
      <w:tr w:rsidR="007F3285" w:rsidRPr="00695F41" w:rsidTr="008639EB">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7F3285" w:rsidRPr="00695F41" w:rsidRDefault="007F3285" w:rsidP="008639EB">
            <w:pPr>
              <w:numPr>
                <w:ilvl w:val="3"/>
                <w:numId w:val="1"/>
              </w:numPr>
              <w:tabs>
                <w:tab w:val="left" w:pos="284"/>
                <w:tab w:val="left" w:pos="1196"/>
              </w:tabs>
              <w:ind w:left="0" w:firstLine="709"/>
              <w:rPr>
                <w:rFonts w:eastAsia="Calibri"/>
                <w:b/>
                <w:sz w:val="28"/>
                <w:szCs w:val="28"/>
                <w:lang w:val="ro-MO"/>
              </w:rPr>
            </w:pPr>
            <w:r w:rsidRPr="00695F41">
              <w:rPr>
                <w:b/>
                <w:sz w:val="28"/>
                <w:szCs w:val="28"/>
                <w:lang w:val="ro-MO"/>
              </w:rPr>
              <w:t>Denumirea autorului şi, după caz, a participanţilor la elaborarea proiectului</w:t>
            </w: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tcPr>
          <w:p w:rsidR="007F3285" w:rsidRPr="00695F41" w:rsidRDefault="007F3285" w:rsidP="008639EB">
            <w:pPr>
              <w:tabs>
                <w:tab w:val="left" w:pos="884"/>
                <w:tab w:val="left" w:pos="1196"/>
              </w:tabs>
              <w:rPr>
                <w:rFonts w:eastAsia="Calibri"/>
                <w:sz w:val="28"/>
                <w:szCs w:val="28"/>
                <w:lang w:val="ro-MO"/>
              </w:rPr>
            </w:pPr>
          </w:p>
          <w:p w:rsidR="007F3285" w:rsidRPr="00695F41" w:rsidRDefault="007F3285" w:rsidP="008639EB">
            <w:pPr>
              <w:tabs>
                <w:tab w:val="left" w:pos="884"/>
                <w:tab w:val="left" w:pos="1196"/>
              </w:tabs>
              <w:rPr>
                <w:rFonts w:eastAsia="Calibri"/>
                <w:sz w:val="28"/>
                <w:szCs w:val="28"/>
                <w:lang w:val="ro-MO"/>
              </w:rPr>
            </w:pPr>
            <w:r w:rsidRPr="00695F41">
              <w:rPr>
                <w:rFonts w:eastAsia="Calibri"/>
                <w:sz w:val="28"/>
                <w:szCs w:val="28"/>
                <w:lang w:val="ro-MO"/>
              </w:rPr>
              <w:t>Proiectul de Lege cu privire la modificarea articolului 11 din Legea ocrotirii sănătății nr. 411/1995, a fost elaborat și se înaintează spre promovare de către Ministerul Sănătății, Muncii și Protecției Sociale.</w:t>
            </w:r>
          </w:p>
          <w:p w:rsidR="007F3285" w:rsidRPr="00695F41" w:rsidRDefault="007F3285" w:rsidP="008639EB">
            <w:pPr>
              <w:tabs>
                <w:tab w:val="left" w:pos="884"/>
                <w:tab w:val="left" w:pos="1196"/>
              </w:tabs>
              <w:rPr>
                <w:rFonts w:eastAsia="Calibri"/>
                <w:sz w:val="28"/>
                <w:szCs w:val="28"/>
                <w:lang w:val="ro-MO"/>
              </w:rPr>
            </w:pP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7F3285" w:rsidRPr="00695F41" w:rsidRDefault="007F3285" w:rsidP="008639EB">
            <w:pPr>
              <w:tabs>
                <w:tab w:val="left" w:pos="884"/>
                <w:tab w:val="left" w:pos="1196"/>
              </w:tabs>
              <w:rPr>
                <w:rFonts w:eastAsia="Calibri"/>
                <w:b/>
                <w:sz w:val="28"/>
                <w:szCs w:val="28"/>
                <w:lang w:val="ro-MO"/>
              </w:rPr>
            </w:pPr>
            <w:r w:rsidRPr="00695F41">
              <w:rPr>
                <w:b/>
                <w:sz w:val="28"/>
                <w:szCs w:val="28"/>
                <w:lang w:val="ro-MO"/>
              </w:rPr>
              <w:t>2. Condiţiile ce au impus elaborarea proiectului de act normativ şi finalităţile urmărite</w:t>
            </w: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tcPr>
          <w:p w:rsidR="007F3285" w:rsidRPr="00695F41" w:rsidRDefault="007F3285" w:rsidP="008639EB">
            <w:pPr>
              <w:tabs>
                <w:tab w:val="left" w:pos="884"/>
                <w:tab w:val="left" w:pos="1196"/>
              </w:tabs>
              <w:rPr>
                <w:rFonts w:eastAsia="Calibri"/>
                <w:sz w:val="28"/>
                <w:szCs w:val="28"/>
                <w:lang w:val="ro-MO"/>
              </w:rPr>
            </w:pPr>
          </w:p>
          <w:p w:rsidR="007F3285" w:rsidRPr="00695F41" w:rsidRDefault="007F3285" w:rsidP="008639EB">
            <w:pPr>
              <w:ind w:firstLine="851"/>
              <w:rPr>
                <w:sz w:val="28"/>
                <w:szCs w:val="28"/>
                <w:lang w:val="ro-RO"/>
              </w:rPr>
            </w:pPr>
            <w:r w:rsidRPr="00695F41">
              <w:rPr>
                <w:sz w:val="28"/>
                <w:szCs w:val="28"/>
                <w:lang w:val="ro-MO"/>
              </w:rPr>
              <w:t>L</w:t>
            </w:r>
            <w:r w:rsidRPr="00695F41">
              <w:rPr>
                <w:sz w:val="28"/>
                <w:szCs w:val="28"/>
                <w:lang w:val="ro-RO"/>
              </w:rPr>
              <w:t>a momentul actual sistemul național de sănătate din Republica Moldova se confruntă cu o criză acută de personal medical calificat, care ar fi necesar ca să asigure întreg spectrul necesar de servicii medicale calitative pentru populația Republicii Moldova.</w:t>
            </w:r>
          </w:p>
          <w:p w:rsidR="007F3285" w:rsidRPr="00695F41" w:rsidRDefault="007F3285" w:rsidP="008639EB">
            <w:pPr>
              <w:ind w:firstLine="851"/>
              <w:rPr>
                <w:sz w:val="28"/>
                <w:szCs w:val="28"/>
                <w:lang w:val="ro-RO"/>
              </w:rPr>
            </w:pPr>
            <w:r w:rsidRPr="00695F41">
              <w:rPr>
                <w:sz w:val="28"/>
                <w:szCs w:val="28"/>
                <w:lang w:val="ro-RO"/>
              </w:rPr>
              <w:t>Resursele umane din sănătate constituie unul din componentele fundamentale ale sistemului, fără de care acordarea asistenței medicale și accesul la servicii de sănătate, funcționarea instituțiilor medicale și a sistemului național de sănătate în întregime nu pot fi realizate.</w:t>
            </w:r>
          </w:p>
          <w:p w:rsidR="007F3285" w:rsidRPr="00695F41" w:rsidRDefault="007F3285" w:rsidP="008639EB">
            <w:pPr>
              <w:ind w:firstLine="851"/>
              <w:rPr>
                <w:sz w:val="28"/>
                <w:szCs w:val="28"/>
                <w:lang w:val="ro-RO"/>
              </w:rPr>
            </w:pPr>
            <w:r w:rsidRPr="00695F41">
              <w:rPr>
                <w:sz w:val="28"/>
                <w:szCs w:val="28"/>
                <w:lang w:val="ro-RO"/>
              </w:rPr>
              <w:t>La nivel mondial și regional se înregistrează o criză în domeniul resurselor umane din sănătate, care se manifestă prin insuficiența lucrătorilor medicali, distribuția lor neuniformă geografică, nivelul de calificare necorespunzător cerințelor, migrație etc.</w:t>
            </w:r>
          </w:p>
          <w:p w:rsidR="007F3285" w:rsidRPr="00695F41" w:rsidRDefault="007F3285" w:rsidP="008639EB">
            <w:pPr>
              <w:ind w:firstLine="851"/>
              <w:rPr>
                <w:sz w:val="28"/>
                <w:szCs w:val="28"/>
              </w:rPr>
            </w:pPr>
            <w:r w:rsidRPr="00695F41">
              <w:rPr>
                <w:sz w:val="28"/>
                <w:szCs w:val="28"/>
                <w:lang w:val="ro-RO"/>
              </w:rPr>
              <w:t>Astfel, domeniul resurselor umane din sănătate este declarat unul prioritar la nivel mondial și regional și este reflectat în documentele strategice ale Ministerului Sănătății</w:t>
            </w:r>
            <w:r>
              <w:rPr>
                <w:sz w:val="28"/>
                <w:szCs w:val="28"/>
              </w:rPr>
              <w:t xml:space="preserve">, </w:t>
            </w:r>
            <w:r w:rsidRPr="009312EE">
              <w:rPr>
                <w:sz w:val="28"/>
                <w:szCs w:val="28"/>
                <w:lang w:val="ro-RO"/>
              </w:rPr>
              <w:t>Muncii</w:t>
            </w:r>
            <w:r>
              <w:rPr>
                <w:sz w:val="28"/>
                <w:szCs w:val="28"/>
              </w:rPr>
              <w:t xml:space="preserve"> </w:t>
            </w:r>
            <w:r w:rsidRPr="009312EE">
              <w:rPr>
                <w:sz w:val="28"/>
                <w:szCs w:val="28"/>
                <w:lang w:val="ro-RO"/>
              </w:rPr>
              <w:t>și Protecției Sociale</w:t>
            </w:r>
            <w:r>
              <w:rPr>
                <w:sz w:val="28"/>
                <w:szCs w:val="28"/>
              </w:rPr>
              <w:t>.</w:t>
            </w:r>
          </w:p>
          <w:p w:rsidR="007F3285" w:rsidRPr="00695F41" w:rsidRDefault="007F3285" w:rsidP="008639EB">
            <w:pPr>
              <w:ind w:firstLine="851"/>
              <w:rPr>
                <w:sz w:val="28"/>
                <w:szCs w:val="28"/>
                <w:lang w:val="ro-RO"/>
              </w:rPr>
            </w:pPr>
            <w:r w:rsidRPr="00695F41">
              <w:rPr>
                <w:sz w:val="28"/>
                <w:szCs w:val="28"/>
                <w:lang w:val="ro-RO"/>
              </w:rPr>
              <w:t xml:space="preserve">Din numărul total de medici care activează în sistem (public și departamental), doar cca 2/3 </w:t>
            </w:r>
            <w:proofErr w:type="spellStart"/>
            <w:r w:rsidRPr="00695F41">
              <w:rPr>
                <w:sz w:val="28"/>
                <w:szCs w:val="28"/>
                <w:lang w:val="ro-RO"/>
              </w:rPr>
              <w:t>sînt</w:t>
            </w:r>
            <w:proofErr w:type="spellEnd"/>
            <w:r w:rsidRPr="00695F41">
              <w:rPr>
                <w:sz w:val="28"/>
                <w:szCs w:val="28"/>
                <w:lang w:val="ro-RO"/>
              </w:rPr>
              <w:t xml:space="preserve"> implicați nemijlocit în procesul curativ-profilactic, iar raportat la numărul populației, densitatea acestora este de doar cca 27 la 10 mii locuitori.</w:t>
            </w:r>
          </w:p>
          <w:p w:rsidR="007F3285" w:rsidRPr="00695F41" w:rsidRDefault="007F3285" w:rsidP="008639EB">
            <w:pPr>
              <w:ind w:firstLine="851"/>
              <w:rPr>
                <w:sz w:val="28"/>
                <w:szCs w:val="28"/>
                <w:lang w:val="ro-RO"/>
              </w:rPr>
            </w:pPr>
            <w:r>
              <w:rPr>
                <w:sz w:val="28"/>
                <w:szCs w:val="28"/>
                <w:lang w:val="ro-RO"/>
              </w:rPr>
              <w:t>La moment</w:t>
            </w:r>
            <w:r w:rsidRPr="00695F41">
              <w:rPr>
                <w:sz w:val="28"/>
                <w:szCs w:val="28"/>
                <w:lang w:val="ro-RO"/>
              </w:rPr>
              <w:t xml:space="preserve">, </w:t>
            </w:r>
            <w:r w:rsidRPr="00695F41">
              <w:rPr>
                <w:sz w:val="28"/>
                <w:szCs w:val="28"/>
              </w:rPr>
              <w:t> </w:t>
            </w:r>
            <w:r w:rsidRPr="00695F41">
              <w:rPr>
                <w:sz w:val="28"/>
                <w:szCs w:val="28"/>
                <w:lang w:val="ro-RO"/>
              </w:rPr>
              <w:t xml:space="preserve">persistă o distribuție geografică neuniformă </w:t>
            </w:r>
            <w:proofErr w:type="spellStart"/>
            <w:r w:rsidRPr="00695F41">
              <w:rPr>
                <w:sz w:val="28"/>
                <w:szCs w:val="28"/>
                <w:lang w:val="ro-RO"/>
              </w:rPr>
              <w:t>atît</w:t>
            </w:r>
            <w:proofErr w:type="spellEnd"/>
            <w:r w:rsidRPr="00695F41">
              <w:rPr>
                <w:sz w:val="28"/>
                <w:szCs w:val="28"/>
                <w:lang w:val="ro-RO"/>
              </w:rPr>
              <w:t xml:space="preserve"> a medicilor, </w:t>
            </w:r>
            <w:proofErr w:type="spellStart"/>
            <w:r w:rsidRPr="00695F41">
              <w:rPr>
                <w:sz w:val="28"/>
                <w:szCs w:val="28"/>
                <w:lang w:val="ro-RO"/>
              </w:rPr>
              <w:t>cît</w:t>
            </w:r>
            <w:proofErr w:type="spellEnd"/>
            <w:r w:rsidRPr="00695F41">
              <w:rPr>
                <w:sz w:val="28"/>
                <w:szCs w:val="28"/>
                <w:lang w:val="ro-RO"/>
              </w:rPr>
              <w:t xml:space="preserve"> şi a personalului medical mediu, cu concentrarea în mediul urban în detrimentul celui rural, </w:t>
            </w:r>
            <w:proofErr w:type="spellStart"/>
            <w:r w:rsidRPr="00695F41">
              <w:rPr>
                <w:sz w:val="28"/>
                <w:szCs w:val="28"/>
                <w:lang w:val="ro-RO"/>
              </w:rPr>
              <w:t>înregistrîndu</w:t>
            </w:r>
            <w:proofErr w:type="spellEnd"/>
            <w:r w:rsidRPr="00695F41">
              <w:rPr>
                <w:sz w:val="28"/>
                <w:szCs w:val="28"/>
                <w:lang w:val="ro-RO"/>
              </w:rPr>
              <w:t>–se un deficit de medici de familie în localităţile rurale şi anumite categorii de medici specialişti în instituţiile medico–sanitare raionale. Astfel, asigurarea cu medici în unele raioane variază de la 2,</w:t>
            </w:r>
            <w:proofErr w:type="spellStart"/>
            <w:r w:rsidRPr="00695F41">
              <w:rPr>
                <w:sz w:val="28"/>
                <w:szCs w:val="28"/>
                <w:lang w:val="ro-RO"/>
              </w:rPr>
              <w:t>2</w:t>
            </w:r>
            <w:proofErr w:type="spellEnd"/>
            <w:r w:rsidRPr="00695F41">
              <w:rPr>
                <w:sz w:val="28"/>
                <w:szCs w:val="28"/>
                <w:lang w:val="ro-RO"/>
              </w:rPr>
              <w:t xml:space="preserve"> la 3,5 la 10 mii de locuitori, ceea ce reprezintă un nivel foarte scăzut. În consecință, sistemul nu poate răspunde adecvat nevoilor specifice ale populației din aceste raioane</w:t>
            </w:r>
            <w:r w:rsidRPr="00695F41">
              <w:rPr>
                <w:sz w:val="28"/>
                <w:szCs w:val="28"/>
              </w:rPr>
              <w:t>.</w:t>
            </w:r>
          </w:p>
          <w:p w:rsidR="007F3285" w:rsidRPr="00695F41" w:rsidRDefault="007F3285" w:rsidP="008639EB">
            <w:pPr>
              <w:ind w:firstLine="851"/>
              <w:rPr>
                <w:sz w:val="28"/>
                <w:szCs w:val="28"/>
                <w:lang w:val="ro-RO"/>
              </w:rPr>
            </w:pPr>
            <w:r w:rsidRPr="00695F41">
              <w:rPr>
                <w:sz w:val="28"/>
                <w:szCs w:val="28"/>
                <w:lang w:val="ro-RO"/>
              </w:rPr>
              <w:lastRenderedPageBreak/>
              <w:t xml:space="preserve">Se constată astfel că, </w:t>
            </w:r>
            <w:r>
              <w:rPr>
                <w:sz w:val="28"/>
                <w:szCs w:val="28"/>
                <w:lang w:val="ro-RO"/>
              </w:rPr>
              <w:t>măsurile</w:t>
            </w:r>
            <w:r w:rsidRPr="00695F41">
              <w:rPr>
                <w:sz w:val="28"/>
                <w:szCs w:val="28"/>
                <w:lang w:val="ro-RO"/>
              </w:rPr>
              <w:t xml:space="preserve"> adoptate </w:t>
            </w:r>
            <w:r>
              <w:rPr>
                <w:sz w:val="28"/>
                <w:szCs w:val="28"/>
                <w:lang w:val="ro-RO"/>
              </w:rPr>
              <w:t xml:space="preserve">până acum </w:t>
            </w:r>
            <w:r w:rsidRPr="00695F41">
              <w:rPr>
                <w:sz w:val="28"/>
                <w:szCs w:val="28"/>
                <w:lang w:val="ro-RO"/>
              </w:rPr>
              <w:t>nu au avut efectul scontat, astfel că exodul masiv al personalului medical din Republica Moldova către exteriorul din afara țării a luat amploare.</w:t>
            </w:r>
          </w:p>
          <w:p w:rsidR="007F3285" w:rsidRPr="00695F41" w:rsidRDefault="00272BF7" w:rsidP="008639EB">
            <w:pPr>
              <w:ind w:firstLine="851"/>
              <w:rPr>
                <w:sz w:val="28"/>
                <w:szCs w:val="28"/>
                <w:lang w:val="ro-RO"/>
              </w:rPr>
            </w:pPr>
            <w:r>
              <w:rPr>
                <w:sz w:val="28"/>
                <w:szCs w:val="28"/>
                <w:lang w:val="ro-RO"/>
              </w:rPr>
              <w:t>A</w:t>
            </w:r>
            <w:r w:rsidR="007F3285" w:rsidRPr="00695F41">
              <w:rPr>
                <w:sz w:val="28"/>
                <w:szCs w:val="28"/>
                <w:lang w:val="ro-RO"/>
              </w:rPr>
              <w:t xml:space="preserve">nual, în baza Planurilor (Comenzilor de Stat) de pregătire a cadrelor de specialitate cu finanțare din bugetul de stat, din contul mijloacelor bugetare sunt instruiți un anumit număr de medici și farmaciști, precum și </w:t>
            </w:r>
            <w:r w:rsidR="007F3285">
              <w:rPr>
                <w:sz w:val="28"/>
                <w:szCs w:val="28"/>
                <w:lang w:val="ro-RO"/>
              </w:rPr>
              <w:t>persoane care dețin studii medii medicale de specialitate.</w:t>
            </w:r>
          </w:p>
          <w:p w:rsidR="007F3285" w:rsidRPr="00695F41" w:rsidRDefault="007F3285" w:rsidP="008639EB">
            <w:pPr>
              <w:ind w:firstLine="851"/>
              <w:rPr>
                <w:sz w:val="28"/>
                <w:szCs w:val="28"/>
                <w:lang w:val="ro-RO"/>
              </w:rPr>
            </w:pPr>
            <w:r w:rsidRPr="00695F41">
              <w:rPr>
                <w:sz w:val="28"/>
                <w:szCs w:val="28"/>
                <w:lang w:val="ro-RO"/>
              </w:rPr>
              <w:t xml:space="preserve">Finanțarea cheltuielilor de instruire universitară și postuniversitară se efectuează conform </w:t>
            </w:r>
            <w:r w:rsidRPr="00695F41">
              <w:rPr>
                <w:b/>
                <w:sz w:val="28"/>
                <w:szCs w:val="28"/>
                <w:lang w:val="ro-RO"/>
              </w:rPr>
              <w:t>Planurilor</w:t>
            </w:r>
            <w:r w:rsidRPr="00695F41">
              <w:rPr>
                <w:sz w:val="28"/>
                <w:szCs w:val="28"/>
                <w:lang w:val="ro-RO"/>
              </w:rPr>
              <w:t xml:space="preserve"> (</w:t>
            </w:r>
            <w:r w:rsidRPr="00695F41">
              <w:rPr>
                <w:b/>
                <w:sz w:val="28"/>
                <w:szCs w:val="28"/>
                <w:lang w:val="ro-RO"/>
              </w:rPr>
              <w:t>Comenzilor de Stat</w:t>
            </w:r>
            <w:r w:rsidRPr="00695F41">
              <w:rPr>
                <w:sz w:val="28"/>
                <w:szCs w:val="28"/>
                <w:lang w:val="ro-RO"/>
              </w:rPr>
              <w:t xml:space="preserve">) de pregătire a cadrelor de specialitate cu finanţare de la  bugetul de stat,  pe meserii, specialităţi şi domenii generale de studiu, în instituţiile de </w:t>
            </w:r>
            <w:proofErr w:type="spellStart"/>
            <w:r w:rsidRPr="00695F41">
              <w:rPr>
                <w:sz w:val="28"/>
                <w:szCs w:val="28"/>
                <w:lang w:val="ro-RO"/>
              </w:rPr>
              <w:t>învăţămînt</w:t>
            </w:r>
            <w:proofErr w:type="spellEnd"/>
            <w:r w:rsidRPr="00695F41">
              <w:rPr>
                <w:sz w:val="28"/>
                <w:szCs w:val="28"/>
                <w:lang w:val="ro-RO"/>
              </w:rPr>
              <w:t xml:space="preserve"> profesional tehnic şi superior, aprobate prin hotărâri de Guvern și conform prevederilor articolului 139 lit. g) Codul Educației al Republicii Moldova nr. 152/2014, în acest sens urmând să fie menționate cu titlu de exemplu: Hotărârea de Guvern nr. 477/2014 privind planurile de admitere în </w:t>
            </w:r>
            <w:proofErr w:type="spellStart"/>
            <w:r w:rsidRPr="00695F41">
              <w:rPr>
                <w:sz w:val="28"/>
                <w:szCs w:val="28"/>
                <w:lang w:val="ro-RO"/>
              </w:rPr>
              <w:t>învăţămîntul</w:t>
            </w:r>
            <w:proofErr w:type="spellEnd"/>
            <w:r w:rsidRPr="00695F41">
              <w:rPr>
                <w:sz w:val="28"/>
                <w:szCs w:val="28"/>
                <w:lang w:val="ro-RO"/>
              </w:rPr>
              <w:t xml:space="preserve"> secundar profesional, mediu de specialitate şi superior pentru anul de studii 2014, precum şi completarea Nomenclatorului meseriilor (profesiilor) pentru instruirea şi pregătirea cadrelor în </w:t>
            </w:r>
            <w:proofErr w:type="spellStart"/>
            <w:r w:rsidRPr="00695F41">
              <w:rPr>
                <w:sz w:val="28"/>
                <w:szCs w:val="28"/>
                <w:lang w:val="ro-RO"/>
              </w:rPr>
              <w:t>învăţămîntul</w:t>
            </w:r>
            <w:proofErr w:type="spellEnd"/>
            <w:r w:rsidRPr="00695F41">
              <w:rPr>
                <w:sz w:val="28"/>
                <w:szCs w:val="28"/>
                <w:lang w:val="ro-RO"/>
              </w:rPr>
              <w:t xml:space="preserve"> secundar profesional (Monitorul Oficial al Republicii Moldova, 2014, nr. 167–168, art. 519), Hotărârea Guvernului nr. 390/2015 cu privire la planurile (comanda de stat) de pregătire a cadrelor de specialitate, pe meserii, specialităţi şi domenii generale de studii, în instituţiile de </w:t>
            </w:r>
            <w:proofErr w:type="spellStart"/>
            <w:r w:rsidRPr="00695F41">
              <w:rPr>
                <w:sz w:val="28"/>
                <w:szCs w:val="28"/>
                <w:lang w:val="ro-RO"/>
              </w:rPr>
              <w:t>învăţămînt</w:t>
            </w:r>
            <w:proofErr w:type="spellEnd"/>
            <w:r w:rsidRPr="00695F41">
              <w:rPr>
                <w:sz w:val="28"/>
                <w:szCs w:val="28"/>
                <w:lang w:val="ro-RO"/>
              </w:rPr>
              <w:t xml:space="preserve"> profesional tehnic şi superior pentru anul de studii 2015–2016 (Monitorul Oficial al Republicii Moldova, 2015, nr. 150–159, art. 433), sau Hotărârea Guvernului nr. 585 din 24 iulie 2017, cu privire la Planurile (comanda de stat) de pregătire a cadrelor de specialitate pe meserii, specialităţi şi domenii generale de studii în instituţiile de </w:t>
            </w:r>
            <w:proofErr w:type="spellStart"/>
            <w:r w:rsidRPr="00695F41">
              <w:rPr>
                <w:sz w:val="28"/>
                <w:szCs w:val="28"/>
                <w:lang w:val="ro-RO"/>
              </w:rPr>
              <w:t>învățămînt</w:t>
            </w:r>
            <w:proofErr w:type="spellEnd"/>
            <w:r w:rsidRPr="00695F41">
              <w:rPr>
                <w:sz w:val="28"/>
                <w:szCs w:val="28"/>
                <w:lang w:val="ro-RO"/>
              </w:rPr>
              <w:t xml:space="preserve"> profesional tehnic şi superior pentru anul de studii 2017–2018</w:t>
            </w:r>
            <w:r w:rsidRPr="00695F41">
              <w:rPr>
                <w:b/>
                <w:i/>
                <w:sz w:val="28"/>
                <w:szCs w:val="28"/>
                <w:lang w:val="ro-RO"/>
              </w:rPr>
              <w:t xml:space="preserve"> </w:t>
            </w:r>
            <w:r w:rsidRPr="00695F41">
              <w:rPr>
                <w:sz w:val="28"/>
                <w:szCs w:val="28"/>
                <w:lang w:val="ro-RO"/>
              </w:rPr>
              <w:t>(Monitorul Oficial al Republicii Moldova, 2017, nr. 274–276, art. 699)).</w:t>
            </w:r>
          </w:p>
          <w:p w:rsidR="007F3285" w:rsidRPr="00695F41" w:rsidRDefault="00272BF7" w:rsidP="008639EB">
            <w:pPr>
              <w:ind w:firstLine="851"/>
              <w:rPr>
                <w:sz w:val="28"/>
                <w:szCs w:val="28"/>
                <w:lang w:val="ro-RO"/>
              </w:rPr>
            </w:pPr>
            <w:r>
              <w:rPr>
                <w:sz w:val="28"/>
                <w:szCs w:val="28"/>
                <w:lang w:val="ro-RO"/>
              </w:rPr>
              <w:t>Î</w:t>
            </w:r>
            <w:r w:rsidR="007F3285" w:rsidRPr="00695F41">
              <w:rPr>
                <w:sz w:val="28"/>
                <w:szCs w:val="28"/>
                <w:lang w:val="ro-RO"/>
              </w:rPr>
              <w:t xml:space="preserve">n anul 2016 din contul bugetului de stat au fost instruiți un număr de 415 absolvenți ai Universității de Stat de Medicină și Farmacie “Nicolae </w:t>
            </w:r>
            <w:proofErr w:type="spellStart"/>
            <w:r w:rsidR="007F3285" w:rsidRPr="00695F41">
              <w:rPr>
                <w:sz w:val="28"/>
                <w:szCs w:val="28"/>
                <w:lang w:val="ro-RO"/>
              </w:rPr>
              <w:t>Testemițanu</w:t>
            </w:r>
            <w:proofErr w:type="spellEnd"/>
            <w:r w:rsidR="007F3285" w:rsidRPr="00695F41">
              <w:rPr>
                <w:sz w:val="28"/>
                <w:szCs w:val="28"/>
                <w:lang w:val="ro-RO"/>
              </w:rPr>
              <w:t>”, în anul 2017 – 419 absolvenți, în anul 2018 – 432 absolvenți, iar în anul 2019 – 479 absolvenți.</w:t>
            </w:r>
          </w:p>
          <w:p w:rsidR="007F3285" w:rsidRPr="00695F41" w:rsidRDefault="00272BF7" w:rsidP="008639EB">
            <w:pPr>
              <w:ind w:firstLine="851"/>
              <w:rPr>
                <w:sz w:val="28"/>
                <w:szCs w:val="28"/>
                <w:lang w:val="ro-RO"/>
              </w:rPr>
            </w:pPr>
            <w:r>
              <w:rPr>
                <w:sz w:val="28"/>
                <w:szCs w:val="28"/>
                <w:lang w:val="ro-RO"/>
              </w:rPr>
              <w:t>Concomitent</w:t>
            </w:r>
            <w:r w:rsidR="007F3285" w:rsidRPr="00695F41">
              <w:rPr>
                <w:sz w:val="28"/>
                <w:szCs w:val="28"/>
                <w:lang w:val="ro-RO"/>
              </w:rPr>
              <w:t>, în anul 2016 din contul mijloacelor alocate din bugetul de stat pentru instruirea postuniversitară au fost instruiți un număr de 651 medici și farmaciști, în anul 2017 – 408, în anul 2018 – 311 medici și farmaciști, iar în anul 2019  – 312 medici și farmaciști.</w:t>
            </w:r>
          </w:p>
          <w:p w:rsidR="007F3285" w:rsidRPr="00695F41" w:rsidRDefault="007F3285" w:rsidP="008639EB">
            <w:pPr>
              <w:ind w:firstLine="851"/>
              <w:rPr>
                <w:sz w:val="28"/>
                <w:szCs w:val="28"/>
                <w:lang w:val="ro-RO"/>
              </w:rPr>
            </w:pPr>
            <w:r w:rsidRPr="00695F41">
              <w:rPr>
                <w:sz w:val="28"/>
                <w:szCs w:val="28"/>
                <w:lang w:val="ro-RO"/>
              </w:rPr>
              <w:t>Astfel, per an din contul bugetului de stat sunt alocate mijloace financiare semnificative, pentru instruirea de specialitate, universitară și postuniversitară a tinerilor specialiști</w:t>
            </w:r>
            <w:r w:rsidRPr="00695F41">
              <w:rPr>
                <w:sz w:val="28"/>
                <w:szCs w:val="28"/>
              </w:rPr>
              <w:t xml:space="preserve">, </w:t>
            </w:r>
            <w:r w:rsidRPr="00695F41">
              <w:rPr>
                <w:sz w:val="28"/>
                <w:szCs w:val="28"/>
                <w:lang w:val="ro-RO"/>
              </w:rPr>
              <w:t xml:space="preserve">medici farmaciști și absolvenți de studii </w:t>
            </w:r>
            <w:r w:rsidRPr="00695F41">
              <w:rPr>
                <w:color w:val="000000"/>
                <w:sz w:val="28"/>
                <w:szCs w:val="28"/>
                <w:lang w:val="ro-RO" w:eastAsia="ru-RU"/>
              </w:rPr>
              <w:t xml:space="preserve">profesionale tehnice </w:t>
            </w:r>
            <w:proofErr w:type="spellStart"/>
            <w:r w:rsidRPr="00695F41">
              <w:rPr>
                <w:color w:val="000000"/>
                <w:sz w:val="28"/>
                <w:szCs w:val="28"/>
                <w:lang w:val="ro-RO" w:eastAsia="ru-RU"/>
              </w:rPr>
              <w:t>postsecundare</w:t>
            </w:r>
            <w:proofErr w:type="spellEnd"/>
            <w:r w:rsidRPr="00695F41">
              <w:rPr>
                <w:color w:val="000000"/>
                <w:sz w:val="28"/>
                <w:szCs w:val="28"/>
                <w:lang w:val="ro-RO" w:eastAsia="ru-RU"/>
              </w:rPr>
              <w:t xml:space="preserve"> în domeniul medical.</w:t>
            </w:r>
          </w:p>
          <w:p w:rsidR="007F3285" w:rsidRPr="00695F41" w:rsidRDefault="007F3285" w:rsidP="008639EB">
            <w:pPr>
              <w:ind w:firstLine="851"/>
              <w:rPr>
                <w:sz w:val="28"/>
                <w:szCs w:val="28"/>
                <w:lang w:val="ro-RO"/>
              </w:rPr>
            </w:pPr>
            <w:r w:rsidRPr="00695F41">
              <w:rPr>
                <w:sz w:val="28"/>
                <w:szCs w:val="28"/>
                <w:lang w:val="ro-RO"/>
              </w:rPr>
              <w:t xml:space="preserve">Persistența crizei acute de personal medical, corelată cu necesitatea de adoptare a unor măsuri care să asigure continuitatea în managementul resurselor umane din sănătate la nivel național, sporirea atractivității pentru tinerii specialiști a locurilor de muncă din sistemul public național de sănătate a Republicii Moldova, </w:t>
            </w:r>
            <w:r w:rsidRPr="00695F41">
              <w:rPr>
                <w:sz w:val="28"/>
                <w:szCs w:val="28"/>
                <w:lang w:val="ro-RO"/>
              </w:rPr>
              <w:lastRenderedPageBreak/>
              <w:t xml:space="preserve">măsuri care vor avea drept efect </w:t>
            </w:r>
            <w:r>
              <w:rPr>
                <w:sz w:val="28"/>
                <w:szCs w:val="28"/>
                <w:lang w:val="ro-RO"/>
              </w:rPr>
              <w:t xml:space="preserve">angajarea </w:t>
            </w:r>
            <w:r w:rsidRPr="00695F41">
              <w:rPr>
                <w:sz w:val="28"/>
                <w:szCs w:val="28"/>
                <w:lang w:val="ro-RO"/>
              </w:rPr>
              <w:t>personalului medical în sistemul public național de sănătate a Republicii Moldova.</w:t>
            </w:r>
          </w:p>
          <w:p w:rsidR="00272BF7" w:rsidRDefault="007F3285" w:rsidP="008639EB">
            <w:pPr>
              <w:ind w:firstLine="851"/>
              <w:rPr>
                <w:sz w:val="28"/>
                <w:szCs w:val="28"/>
                <w:lang w:val="ro-MO"/>
              </w:rPr>
            </w:pPr>
            <w:r w:rsidRPr="00695F41">
              <w:rPr>
                <w:sz w:val="28"/>
                <w:szCs w:val="28"/>
                <w:lang w:val="ro-RO"/>
              </w:rPr>
              <w:t xml:space="preserve">Între aceste măsuri de </w:t>
            </w:r>
            <w:r>
              <w:rPr>
                <w:sz w:val="28"/>
                <w:szCs w:val="28"/>
                <w:lang w:val="ro-RO"/>
              </w:rPr>
              <w:t xml:space="preserve">stimulare a angajării </w:t>
            </w:r>
            <w:r w:rsidRPr="00695F41">
              <w:rPr>
                <w:sz w:val="28"/>
                <w:szCs w:val="28"/>
                <w:lang w:val="ro-RO"/>
              </w:rPr>
              <w:t xml:space="preserve">se înscrie și majorarea </w:t>
            </w:r>
            <w:r w:rsidRPr="00695F41">
              <w:rPr>
                <w:rFonts w:eastAsia="Calibri"/>
                <w:sz w:val="28"/>
                <w:szCs w:val="28"/>
                <w:lang w:val="ro-MO"/>
              </w:rPr>
              <w:t xml:space="preserve">indemnizațiilor </w:t>
            </w:r>
            <w:r w:rsidRPr="00695F41">
              <w:rPr>
                <w:sz w:val="28"/>
                <w:szCs w:val="28"/>
                <w:lang w:val="ro-MO"/>
              </w:rPr>
              <w:t>unice pentru tinerii specialiști</w:t>
            </w:r>
            <w:r>
              <w:rPr>
                <w:sz w:val="28"/>
                <w:szCs w:val="28"/>
                <w:lang w:val="ro-MO"/>
              </w:rPr>
              <w:t>, medici și</w:t>
            </w:r>
            <w:r w:rsidRPr="00695F41">
              <w:rPr>
                <w:sz w:val="28"/>
                <w:szCs w:val="28"/>
                <w:lang w:val="ro-MO"/>
              </w:rPr>
              <w:t xml:space="preserve"> farmaciști și absolvenți de studii profesionale tehnice </w:t>
            </w:r>
            <w:proofErr w:type="spellStart"/>
            <w:r w:rsidRPr="00695F41">
              <w:rPr>
                <w:sz w:val="28"/>
                <w:szCs w:val="28"/>
                <w:lang w:val="ro-MO"/>
              </w:rPr>
              <w:t>postsecundare</w:t>
            </w:r>
            <w:proofErr w:type="spellEnd"/>
            <w:r w:rsidRPr="00695F41">
              <w:rPr>
                <w:sz w:val="28"/>
                <w:szCs w:val="28"/>
                <w:lang w:val="ro-MO"/>
              </w:rPr>
              <w:t xml:space="preserve"> în domeniul medical, de la mărimea existentă astăzi, la un cuantum bănesc care să fie un factor de motivație eficient a personalului medical.</w:t>
            </w:r>
          </w:p>
          <w:p w:rsidR="007F3285" w:rsidRPr="00695F41" w:rsidRDefault="00AB1DE0" w:rsidP="008639EB">
            <w:pPr>
              <w:ind w:firstLine="851"/>
              <w:rPr>
                <w:sz w:val="28"/>
                <w:szCs w:val="28"/>
                <w:lang w:val="ro-RO"/>
              </w:rPr>
            </w:pPr>
            <w:r>
              <w:rPr>
                <w:sz w:val="28"/>
                <w:szCs w:val="28"/>
                <w:lang w:val="ro-MO"/>
              </w:rPr>
              <w:t xml:space="preserve">În aceeași ordine de idei, se propune pentru absolvenții </w:t>
            </w:r>
            <w:r w:rsidRPr="00312808">
              <w:rPr>
                <w:sz w:val="28"/>
                <w:szCs w:val="28"/>
                <w:lang w:val="ro-MO"/>
              </w:rPr>
              <w:t xml:space="preserve">studiilor postuniversitare de rezidenţiat şi ai </w:t>
            </w:r>
            <w:proofErr w:type="spellStart"/>
            <w:r w:rsidRPr="00312808">
              <w:rPr>
                <w:sz w:val="28"/>
                <w:szCs w:val="28"/>
                <w:lang w:val="ro-MO"/>
              </w:rPr>
              <w:t>învăţămîntului</w:t>
            </w:r>
            <w:proofErr w:type="spellEnd"/>
            <w:r w:rsidRPr="00312808">
              <w:rPr>
                <w:sz w:val="28"/>
                <w:szCs w:val="28"/>
                <w:lang w:val="ro-MO"/>
              </w:rPr>
              <w:t xml:space="preserve"> </w:t>
            </w:r>
            <w:r w:rsidR="00435C0B">
              <w:rPr>
                <w:sz w:val="28"/>
                <w:szCs w:val="28"/>
                <w:lang w:val="ro-MO"/>
              </w:rPr>
              <w:t xml:space="preserve">cu studii profesionale </w:t>
            </w:r>
            <w:r w:rsidRPr="00312808">
              <w:rPr>
                <w:sz w:val="28"/>
                <w:szCs w:val="28"/>
                <w:lang w:val="ro-MO"/>
              </w:rPr>
              <w:t>medical şi farmaceutic care</w:t>
            </w:r>
            <w:r>
              <w:rPr>
                <w:sz w:val="28"/>
                <w:szCs w:val="28"/>
                <w:lang w:val="ro-MO"/>
              </w:rPr>
              <w:t xml:space="preserve"> și–au efectuat studiile în bază de contract, să beneficieze de indemnizațiile și înlesnirile stipulate în alineatul (2) din art. 11 alin. (2) din Legea nr. 411/1995, în cazul în care acestea se vor adresa </w:t>
            </w:r>
            <w:r w:rsidRPr="00312808">
              <w:rPr>
                <w:sz w:val="28"/>
                <w:szCs w:val="28"/>
                <w:lang w:val="ro-MO"/>
              </w:rPr>
              <w:t>Ministerului Sănătății, Muncii și Protecției Sociale</w:t>
            </w:r>
            <w:r>
              <w:rPr>
                <w:sz w:val="28"/>
                <w:szCs w:val="28"/>
                <w:lang w:val="ro-MO"/>
              </w:rPr>
              <w:t xml:space="preserve"> pentru angajare în câmpul muncii în baza </w:t>
            </w:r>
            <w:r w:rsidRPr="00312808">
              <w:rPr>
                <w:sz w:val="28"/>
                <w:szCs w:val="28"/>
                <w:lang w:val="ro-MO"/>
              </w:rPr>
              <w:t xml:space="preserve">repartizării </w:t>
            </w:r>
            <w:r>
              <w:rPr>
                <w:sz w:val="28"/>
                <w:szCs w:val="28"/>
                <w:lang w:val="ro-MO"/>
              </w:rPr>
              <w:t>eliberate de Ministerul.</w:t>
            </w:r>
          </w:p>
          <w:p w:rsidR="007F3285" w:rsidRPr="00695F41" w:rsidRDefault="007F3285" w:rsidP="008639EB">
            <w:pPr>
              <w:ind w:firstLine="851"/>
              <w:rPr>
                <w:sz w:val="28"/>
                <w:szCs w:val="28"/>
                <w:lang w:val="ro-RO"/>
              </w:rPr>
            </w:pPr>
            <w:r w:rsidRPr="00695F41">
              <w:rPr>
                <w:sz w:val="28"/>
                <w:szCs w:val="28"/>
                <w:lang w:val="ro-RO"/>
              </w:rPr>
              <w:t xml:space="preserve">Totalitatea acestor considerente au dus la necesitatea elaborării și promovării în modul corespunzător al </w:t>
            </w:r>
            <w:r w:rsidRPr="00695F41">
              <w:rPr>
                <w:rFonts w:eastAsia="Calibri"/>
                <w:sz w:val="28"/>
                <w:szCs w:val="28"/>
                <w:lang w:val="ro-MO"/>
              </w:rPr>
              <w:t>proiectul de Lege cu privire la modificarea articolului 11 din Legea ocrotirii sănătății nr. 411/1995.</w:t>
            </w:r>
          </w:p>
          <w:p w:rsidR="007F3285" w:rsidRPr="00695F41" w:rsidRDefault="007F3285" w:rsidP="008639EB">
            <w:pPr>
              <w:rPr>
                <w:rFonts w:eastAsia="Calibri"/>
                <w:sz w:val="28"/>
                <w:szCs w:val="28"/>
                <w:lang w:val="ro-MO"/>
              </w:rPr>
            </w:pP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7F3285" w:rsidRPr="00695F41" w:rsidRDefault="007F3285" w:rsidP="008639EB">
            <w:pPr>
              <w:tabs>
                <w:tab w:val="left" w:pos="884"/>
                <w:tab w:val="left" w:pos="1196"/>
              </w:tabs>
              <w:rPr>
                <w:rFonts w:eastAsia="Calibri"/>
                <w:b/>
                <w:sz w:val="28"/>
                <w:szCs w:val="28"/>
                <w:lang w:val="ro-MO"/>
              </w:rPr>
            </w:pPr>
            <w:r w:rsidRPr="00695F41">
              <w:rPr>
                <w:b/>
                <w:sz w:val="28"/>
                <w:szCs w:val="28"/>
                <w:lang w:val="ro-MO"/>
              </w:rPr>
              <w:lastRenderedPageBreak/>
              <w:t>3. Principalele prevederi ale proiectului și evidenţierea elementelor noi</w:t>
            </w:r>
          </w:p>
        </w:tc>
      </w:tr>
      <w:tr w:rsidR="007F3285" w:rsidRPr="00E7792A" w:rsidTr="008639EB">
        <w:tc>
          <w:tcPr>
            <w:tcW w:w="5000" w:type="pct"/>
            <w:tcBorders>
              <w:top w:val="single" w:sz="4" w:space="0" w:color="auto"/>
              <w:left w:val="single" w:sz="4" w:space="0" w:color="auto"/>
              <w:bottom w:val="single" w:sz="4" w:space="0" w:color="auto"/>
              <w:right w:val="single" w:sz="4" w:space="0" w:color="auto"/>
            </w:tcBorders>
          </w:tcPr>
          <w:p w:rsidR="007F3285" w:rsidRPr="00695F41" w:rsidRDefault="007F3285" w:rsidP="008639EB">
            <w:pPr>
              <w:tabs>
                <w:tab w:val="left" w:pos="884"/>
                <w:tab w:val="left" w:pos="1196"/>
              </w:tabs>
              <w:rPr>
                <w:rFonts w:eastAsia="Calibri"/>
                <w:sz w:val="28"/>
                <w:szCs w:val="28"/>
                <w:lang w:val="ro-MO"/>
              </w:rPr>
            </w:pPr>
          </w:p>
          <w:p w:rsidR="007F3285" w:rsidRPr="00695F41" w:rsidRDefault="007F3285" w:rsidP="008639EB">
            <w:pPr>
              <w:ind w:firstLine="851"/>
              <w:rPr>
                <w:sz w:val="28"/>
                <w:szCs w:val="28"/>
                <w:lang w:val="ro-MO"/>
              </w:rPr>
            </w:pPr>
            <w:r w:rsidRPr="00695F41">
              <w:rPr>
                <w:sz w:val="28"/>
                <w:szCs w:val="28"/>
                <w:lang w:val="ro-RO"/>
              </w:rPr>
              <w:t xml:space="preserve">Proiectul de Lege cu privire la modificarea </w:t>
            </w:r>
            <w:r w:rsidRPr="00695F41">
              <w:rPr>
                <w:rFonts w:eastAsia="Calibri"/>
                <w:sz w:val="28"/>
                <w:szCs w:val="28"/>
                <w:lang w:val="ro-MO"/>
              </w:rPr>
              <w:t xml:space="preserve">articolului 11 din Legea ocrotirii sănătății nr. 411/1995, prevede majorarea indemnizațiilor </w:t>
            </w:r>
            <w:r w:rsidRPr="00695F41">
              <w:rPr>
                <w:sz w:val="28"/>
                <w:szCs w:val="28"/>
                <w:lang w:val="ro-MO"/>
              </w:rPr>
              <w:t xml:space="preserve">unice acordate pentru tinerii specialiști, medici, farmaciști sau absolvenți de studii profesionale tehnice </w:t>
            </w:r>
            <w:proofErr w:type="spellStart"/>
            <w:r w:rsidRPr="00695F41">
              <w:rPr>
                <w:sz w:val="28"/>
                <w:szCs w:val="28"/>
                <w:lang w:val="ro-MO"/>
              </w:rPr>
              <w:t>postsecundare</w:t>
            </w:r>
            <w:proofErr w:type="spellEnd"/>
            <w:r w:rsidRPr="00695F41">
              <w:rPr>
                <w:sz w:val="28"/>
                <w:szCs w:val="28"/>
                <w:lang w:val="ro-MO"/>
              </w:rPr>
              <w:t xml:space="preserve"> în domeniul medical.</w:t>
            </w:r>
          </w:p>
          <w:p w:rsidR="007F3285" w:rsidRDefault="007F3285" w:rsidP="008639EB">
            <w:pPr>
              <w:ind w:firstLine="851"/>
              <w:rPr>
                <w:sz w:val="28"/>
                <w:szCs w:val="28"/>
                <w:lang w:val="ro-MO"/>
              </w:rPr>
            </w:pPr>
            <w:r w:rsidRPr="00695F41">
              <w:rPr>
                <w:sz w:val="28"/>
                <w:szCs w:val="28"/>
                <w:lang w:val="ro-MO"/>
              </w:rPr>
              <w:t xml:space="preserve">Astfel se propune majorarea indemnizației unice pentru medici şi farmacişti de la suma de 45 de mii, care se acordă la momentul actual la </w:t>
            </w:r>
            <w:r w:rsidRPr="00695F41">
              <w:rPr>
                <w:b/>
                <w:sz w:val="28"/>
                <w:szCs w:val="28"/>
                <w:lang w:val="ro-MO"/>
              </w:rPr>
              <w:t>cuantumul de 120 (una sută douăzeci) de mii de lei</w:t>
            </w:r>
            <w:r w:rsidRPr="00695F41">
              <w:rPr>
                <w:sz w:val="28"/>
                <w:szCs w:val="28"/>
                <w:lang w:val="ro-MO"/>
              </w:rPr>
              <w:t xml:space="preserve">, și </w:t>
            </w:r>
            <w:r w:rsidRPr="00695F41">
              <w:rPr>
                <w:sz w:val="28"/>
                <w:szCs w:val="28"/>
                <w:lang w:val="ro-RO"/>
              </w:rPr>
              <w:t xml:space="preserve">pentru personalul medical şi farmaceutic mediu de la suma de 36 de mii de lei </w:t>
            </w:r>
            <w:r w:rsidRPr="00695F41">
              <w:rPr>
                <w:b/>
                <w:sz w:val="28"/>
                <w:szCs w:val="28"/>
                <w:lang w:val="ro-MO"/>
              </w:rPr>
              <w:t xml:space="preserve">la mărimea de </w:t>
            </w:r>
            <w:r>
              <w:rPr>
                <w:b/>
                <w:sz w:val="28"/>
                <w:szCs w:val="28"/>
                <w:lang w:val="ro-MO"/>
              </w:rPr>
              <w:t>96</w:t>
            </w:r>
            <w:r w:rsidRPr="00695F41">
              <w:rPr>
                <w:b/>
                <w:sz w:val="28"/>
                <w:szCs w:val="28"/>
                <w:lang w:val="ro-MO"/>
              </w:rPr>
              <w:t xml:space="preserve"> (</w:t>
            </w:r>
            <w:r>
              <w:rPr>
                <w:b/>
                <w:sz w:val="28"/>
                <w:szCs w:val="28"/>
                <w:lang w:val="ro-MO"/>
              </w:rPr>
              <w:t>nouăzeci și șase</w:t>
            </w:r>
            <w:r w:rsidRPr="00695F41">
              <w:rPr>
                <w:b/>
                <w:sz w:val="28"/>
                <w:szCs w:val="28"/>
                <w:lang w:val="ro-MO"/>
              </w:rPr>
              <w:t>) de mii</w:t>
            </w:r>
            <w:r w:rsidRPr="00695F41">
              <w:rPr>
                <w:sz w:val="28"/>
                <w:szCs w:val="28"/>
                <w:lang w:val="ro-MO"/>
              </w:rPr>
              <w:t xml:space="preserve"> de lei, care urmează să fie achitată în trei rate egale, a </w:t>
            </w:r>
            <w:proofErr w:type="spellStart"/>
            <w:r w:rsidRPr="00695F41">
              <w:rPr>
                <w:sz w:val="28"/>
                <w:szCs w:val="28"/>
                <w:lang w:val="ro-MO"/>
              </w:rPr>
              <w:t>cîte</w:t>
            </w:r>
            <w:proofErr w:type="spellEnd"/>
            <w:r w:rsidRPr="00695F41">
              <w:rPr>
                <w:sz w:val="28"/>
                <w:szCs w:val="28"/>
                <w:lang w:val="ro-MO"/>
              </w:rPr>
              <w:t xml:space="preserve"> 40 (patruzeci) mii de lei anual pentru medici și farmaciști</w:t>
            </w:r>
            <w:r>
              <w:rPr>
                <w:sz w:val="28"/>
                <w:szCs w:val="28"/>
                <w:lang w:val="ro-MO"/>
              </w:rPr>
              <w:t xml:space="preserve">, respectiv, a </w:t>
            </w:r>
            <w:proofErr w:type="spellStart"/>
            <w:r>
              <w:rPr>
                <w:sz w:val="28"/>
                <w:szCs w:val="28"/>
                <w:lang w:val="ro-MO"/>
              </w:rPr>
              <w:t>cîte</w:t>
            </w:r>
            <w:proofErr w:type="spellEnd"/>
            <w:r>
              <w:rPr>
                <w:sz w:val="28"/>
                <w:szCs w:val="28"/>
                <w:lang w:val="ro-MO"/>
              </w:rPr>
              <w:t xml:space="preserve"> 32</w:t>
            </w:r>
            <w:r w:rsidRPr="00695F41">
              <w:rPr>
                <w:sz w:val="28"/>
                <w:szCs w:val="28"/>
                <w:lang w:val="ro-MO"/>
              </w:rPr>
              <w:t xml:space="preserve"> (</w:t>
            </w:r>
            <w:r>
              <w:rPr>
                <w:sz w:val="28"/>
                <w:szCs w:val="28"/>
                <w:lang w:val="ro-MO"/>
              </w:rPr>
              <w:t>treizeci și două</w:t>
            </w:r>
            <w:r w:rsidRPr="00695F41">
              <w:rPr>
                <w:sz w:val="28"/>
                <w:szCs w:val="28"/>
                <w:lang w:val="ro-MO"/>
              </w:rPr>
              <w:t>) mii de lei, după expirarea primei luni de activitate şi, ulterior, la finele fiecărui an de activitate.</w:t>
            </w:r>
          </w:p>
          <w:p w:rsidR="00AB1DE0" w:rsidRDefault="00AB1DE0" w:rsidP="008639EB">
            <w:pPr>
              <w:ind w:firstLine="851"/>
              <w:rPr>
                <w:sz w:val="28"/>
                <w:szCs w:val="28"/>
                <w:lang w:val="ro-MO"/>
              </w:rPr>
            </w:pPr>
            <w:r>
              <w:rPr>
                <w:sz w:val="28"/>
                <w:szCs w:val="28"/>
                <w:lang w:val="ro-MO"/>
              </w:rPr>
              <w:t xml:space="preserve">Concomitent, proiectul își propune să stabilească pentru absolvenții </w:t>
            </w:r>
            <w:r w:rsidRPr="00312808">
              <w:rPr>
                <w:sz w:val="28"/>
                <w:szCs w:val="28"/>
                <w:lang w:val="ro-MO"/>
              </w:rPr>
              <w:t>studiilor postu</w:t>
            </w:r>
            <w:r w:rsidR="002C48B6">
              <w:rPr>
                <w:sz w:val="28"/>
                <w:szCs w:val="28"/>
                <w:lang w:val="ro-MO"/>
              </w:rPr>
              <w:t>niversitare de rezidenţiat şi al</w:t>
            </w:r>
            <w:r w:rsidRPr="00312808">
              <w:rPr>
                <w:sz w:val="28"/>
                <w:szCs w:val="28"/>
                <w:lang w:val="ro-MO"/>
              </w:rPr>
              <w:t xml:space="preserve"> </w:t>
            </w:r>
            <w:proofErr w:type="spellStart"/>
            <w:r w:rsidRPr="00312808">
              <w:rPr>
                <w:sz w:val="28"/>
                <w:szCs w:val="28"/>
                <w:lang w:val="ro-MO"/>
              </w:rPr>
              <w:t>învăţămîntului</w:t>
            </w:r>
            <w:proofErr w:type="spellEnd"/>
            <w:r w:rsidRPr="00312808">
              <w:rPr>
                <w:sz w:val="28"/>
                <w:szCs w:val="28"/>
                <w:lang w:val="ro-MO"/>
              </w:rPr>
              <w:t xml:space="preserve"> </w:t>
            </w:r>
            <w:r w:rsidR="002C48B6" w:rsidRPr="002C48B6">
              <w:rPr>
                <w:sz w:val="28"/>
                <w:szCs w:val="28"/>
                <w:lang w:val="ro-MO"/>
              </w:rPr>
              <w:t xml:space="preserve">profesional tehnic </w:t>
            </w:r>
            <w:proofErr w:type="spellStart"/>
            <w:r w:rsidR="002C48B6" w:rsidRPr="002C48B6">
              <w:rPr>
                <w:sz w:val="28"/>
                <w:szCs w:val="28"/>
                <w:lang w:val="ro-MO"/>
              </w:rPr>
              <w:t>postsecundar</w:t>
            </w:r>
            <w:proofErr w:type="spellEnd"/>
            <w:r w:rsidR="002C48B6" w:rsidRPr="002C48B6">
              <w:rPr>
                <w:sz w:val="28"/>
                <w:szCs w:val="28"/>
                <w:lang w:val="ro-MO"/>
              </w:rPr>
              <w:t xml:space="preserve"> </w:t>
            </w:r>
            <w:proofErr w:type="spellStart"/>
            <w:r w:rsidR="002C48B6" w:rsidRPr="002C48B6">
              <w:rPr>
                <w:sz w:val="28"/>
                <w:szCs w:val="28"/>
                <w:lang w:val="ro-MO"/>
              </w:rPr>
              <w:t>nonterţiar</w:t>
            </w:r>
            <w:proofErr w:type="spellEnd"/>
            <w:r w:rsidRPr="00312808">
              <w:rPr>
                <w:sz w:val="28"/>
                <w:szCs w:val="28"/>
                <w:lang w:val="ro-MO"/>
              </w:rPr>
              <w:t xml:space="preserve"> care</w:t>
            </w:r>
            <w:r>
              <w:rPr>
                <w:sz w:val="28"/>
                <w:szCs w:val="28"/>
                <w:lang w:val="ro-MO"/>
              </w:rPr>
              <w:t xml:space="preserve"> și–au efectuat studiile în bază de contract, ca absolvenții respectivi să beneficieze de indemnizațiile și înlesnirile stipulate în alineatul (2) din art. 11 alin. (2) din Legea nr. 411/1995, în egală măsură cu absolvenții care și–au finisat studiile din contul bugetului de stat, în cazul în care acestea se vor adresa </w:t>
            </w:r>
            <w:r w:rsidRPr="00312808">
              <w:rPr>
                <w:sz w:val="28"/>
                <w:szCs w:val="28"/>
                <w:lang w:val="ro-MO"/>
              </w:rPr>
              <w:t>Ministerului Sănătății, Muncii și Protecției Sociale</w:t>
            </w:r>
            <w:r>
              <w:rPr>
                <w:sz w:val="28"/>
                <w:szCs w:val="28"/>
                <w:lang w:val="ro-MO"/>
              </w:rPr>
              <w:t xml:space="preserve"> pentru angajare în câmpul muncii în baza </w:t>
            </w:r>
            <w:r w:rsidRPr="00312808">
              <w:rPr>
                <w:sz w:val="28"/>
                <w:szCs w:val="28"/>
                <w:lang w:val="ro-MO"/>
              </w:rPr>
              <w:t xml:space="preserve">repartizării </w:t>
            </w:r>
            <w:r>
              <w:rPr>
                <w:sz w:val="28"/>
                <w:szCs w:val="28"/>
                <w:lang w:val="ro-MO"/>
              </w:rPr>
              <w:t>eliberate de Ministerul.</w:t>
            </w:r>
          </w:p>
          <w:p w:rsidR="00E7792A" w:rsidRPr="00695F41" w:rsidRDefault="00E7792A" w:rsidP="008639EB">
            <w:pPr>
              <w:ind w:firstLine="851"/>
              <w:rPr>
                <w:sz w:val="28"/>
                <w:szCs w:val="28"/>
                <w:lang w:val="ro-MO"/>
              </w:rPr>
            </w:pPr>
            <w:r>
              <w:rPr>
                <w:sz w:val="28"/>
                <w:szCs w:val="28"/>
                <w:lang w:val="ro-MO"/>
              </w:rPr>
              <w:t xml:space="preserve">În ultimul rând, pentru asigurarea </w:t>
            </w:r>
            <w:r w:rsidRPr="000C5230">
              <w:rPr>
                <w:sz w:val="28"/>
                <w:szCs w:val="28"/>
                <w:lang w:val="ro-RO"/>
              </w:rPr>
              <w:t>posibilității și oportunității includerii și a personalu</w:t>
            </w:r>
            <w:r>
              <w:rPr>
                <w:sz w:val="28"/>
                <w:szCs w:val="28"/>
                <w:lang w:val="ro-RO"/>
              </w:rPr>
              <w:t xml:space="preserve">lui medical cu stagiu de muncă în rândul beneficiarilor respectiv, se propune ca și </w:t>
            </w:r>
            <w:r>
              <w:rPr>
                <w:sz w:val="28"/>
                <w:szCs w:val="28"/>
                <w:lang w:val="ro-MO"/>
              </w:rPr>
              <w:t>l</w:t>
            </w:r>
            <w:r w:rsidRPr="00346C9C">
              <w:rPr>
                <w:sz w:val="28"/>
                <w:szCs w:val="28"/>
                <w:lang w:val="ro-MO"/>
              </w:rPr>
              <w:t xml:space="preserve">ucrătorii medico–sanitari şi farmaceutici cu vechime în muncă mai mult de 3 </w:t>
            </w:r>
            <w:r w:rsidRPr="00346C9C">
              <w:rPr>
                <w:sz w:val="28"/>
                <w:szCs w:val="28"/>
                <w:lang w:val="ro-MO"/>
              </w:rPr>
              <w:lastRenderedPageBreak/>
              <w:t xml:space="preserve">ani, </w:t>
            </w:r>
            <w:r>
              <w:rPr>
                <w:sz w:val="28"/>
                <w:szCs w:val="28"/>
                <w:lang w:val="ro-MO"/>
              </w:rPr>
              <w:t>să beneficie</w:t>
            </w:r>
            <w:r w:rsidRPr="00346C9C">
              <w:rPr>
                <w:sz w:val="28"/>
                <w:szCs w:val="28"/>
                <w:lang w:val="ro-MO"/>
              </w:rPr>
              <w:t xml:space="preserve">ze de indemnizațiile și înlesnirile </w:t>
            </w:r>
            <w:r>
              <w:rPr>
                <w:sz w:val="28"/>
                <w:szCs w:val="28"/>
                <w:lang w:val="ro-MO"/>
              </w:rPr>
              <w:t xml:space="preserve">propuse, </w:t>
            </w:r>
            <w:r w:rsidRPr="00346C9C">
              <w:rPr>
                <w:sz w:val="28"/>
                <w:szCs w:val="28"/>
                <w:lang w:val="ro-MO"/>
              </w:rPr>
              <w:t>în cazul în care</w:t>
            </w:r>
            <w:r>
              <w:rPr>
                <w:sz w:val="28"/>
                <w:szCs w:val="28"/>
                <w:lang w:val="ro-MO"/>
              </w:rPr>
              <w:t xml:space="preserve"> aceste persoane </w:t>
            </w:r>
            <w:r w:rsidRPr="00346C9C">
              <w:rPr>
                <w:sz w:val="28"/>
                <w:szCs w:val="28"/>
                <w:lang w:val="ro-MO"/>
              </w:rPr>
              <w:t xml:space="preserve">se vor angaja în câmpul muncii în baza repartizării Ministerului Sănătății, Muncii și Protecției Sociale și vor activa cu respectarea termenului </w:t>
            </w:r>
            <w:r>
              <w:rPr>
                <w:sz w:val="28"/>
                <w:szCs w:val="28"/>
                <w:lang w:val="ro-MO"/>
              </w:rPr>
              <w:t>de 3 ani pentru activitate obligatorie</w:t>
            </w:r>
            <w:r w:rsidRPr="00346C9C">
              <w:rPr>
                <w:sz w:val="28"/>
                <w:szCs w:val="28"/>
                <w:lang w:val="ro-MO"/>
              </w:rPr>
              <w:t xml:space="preserve">. În cazul în care </w:t>
            </w:r>
            <w:r>
              <w:rPr>
                <w:sz w:val="28"/>
                <w:szCs w:val="28"/>
                <w:lang w:val="ro-MO"/>
              </w:rPr>
              <w:t xml:space="preserve">vor exista </w:t>
            </w:r>
            <w:r w:rsidRPr="00346C9C">
              <w:rPr>
                <w:sz w:val="28"/>
                <w:szCs w:val="28"/>
                <w:lang w:val="ro-MO"/>
              </w:rPr>
              <w:t xml:space="preserve">mai puține locuri vacante de muncă decât cereri de angajare, prioritate la angajare în câmpul muncii conform repartizării Ministerului Sănătății, Muncii și Protecției Sociale </w:t>
            </w:r>
            <w:r>
              <w:rPr>
                <w:sz w:val="28"/>
                <w:szCs w:val="28"/>
                <w:lang w:val="ro-MO"/>
              </w:rPr>
              <w:t xml:space="preserve">o vor </w:t>
            </w:r>
            <w:r w:rsidRPr="00346C9C">
              <w:rPr>
                <w:sz w:val="28"/>
                <w:szCs w:val="28"/>
                <w:lang w:val="ro-MO"/>
              </w:rPr>
              <w:t>dețin</w:t>
            </w:r>
            <w:r>
              <w:rPr>
                <w:sz w:val="28"/>
                <w:szCs w:val="28"/>
                <w:lang w:val="ro-MO"/>
              </w:rPr>
              <w:t>e</w:t>
            </w:r>
            <w:r w:rsidRPr="00346C9C">
              <w:rPr>
                <w:sz w:val="28"/>
                <w:szCs w:val="28"/>
                <w:lang w:val="ro-MO"/>
              </w:rPr>
              <w:t xml:space="preserve"> absolvenții cu studiile cel mai recent absolvite.</w:t>
            </w:r>
          </w:p>
          <w:p w:rsidR="007F3285" w:rsidRPr="00695F41" w:rsidRDefault="007F3285" w:rsidP="008639EB">
            <w:pPr>
              <w:ind w:firstLine="851"/>
              <w:rPr>
                <w:sz w:val="28"/>
                <w:szCs w:val="28"/>
                <w:lang w:val="ro-RO"/>
              </w:rPr>
            </w:pP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7F3285" w:rsidRPr="00695F41" w:rsidRDefault="007F3285" w:rsidP="008639EB">
            <w:pPr>
              <w:tabs>
                <w:tab w:val="left" w:pos="884"/>
                <w:tab w:val="left" w:pos="1196"/>
              </w:tabs>
              <w:rPr>
                <w:rFonts w:eastAsia="Calibri"/>
                <w:b/>
                <w:sz w:val="28"/>
                <w:szCs w:val="28"/>
                <w:lang w:val="ro-MO"/>
              </w:rPr>
            </w:pPr>
            <w:r w:rsidRPr="00695F41">
              <w:rPr>
                <w:b/>
                <w:sz w:val="28"/>
                <w:szCs w:val="28"/>
                <w:lang w:val="ro-MO"/>
              </w:rPr>
              <w:lastRenderedPageBreak/>
              <w:t>4. Fundamentarea economico–financiară</w:t>
            </w: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tcPr>
          <w:p w:rsidR="007F3285" w:rsidRPr="00695F41" w:rsidRDefault="007F3285" w:rsidP="008639EB">
            <w:pPr>
              <w:tabs>
                <w:tab w:val="left" w:pos="884"/>
                <w:tab w:val="left" w:pos="1196"/>
              </w:tabs>
              <w:rPr>
                <w:rFonts w:eastAsia="Calibri"/>
                <w:sz w:val="28"/>
                <w:szCs w:val="28"/>
                <w:lang w:val="ro-MO"/>
              </w:rPr>
            </w:pPr>
          </w:p>
          <w:p w:rsidR="007F3285" w:rsidRDefault="007F3285" w:rsidP="008639EB">
            <w:pPr>
              <w:tabs>
                <w:tab w:val="left" w:pos="884"/>
                <w:tab w:val="left" w:pos="1196"/>
              </w:tabs>
              <w:rPr>
                <w:sz w:val="28"/>
                <w:szCs w:val="28"/>
                <w:lang w:val="ro-RO"/>
              </w:rPr>
            </w:pPr>
            <w:r w:rsidRPr="00695F41">
              <w:rPr>
                <w:sz w:val="28"/>
                <w:szCs w:val="28"/>
                <w:lang w:val="ro-MO"/>
              </w:rPr>
              <w:t xml:space="preserve">Pentru </w:t>
            </w:r>
            <w:r w:rsidRPr="00695F41">
              <w:rPr>
                <w:sz w:val="28"/>
                <w:szCs w:val="28"/>
                <w:lang w:val="ro-RO"/>
              </w:rPr>
              <w:t xml:space="preserve">implementarea proiectului de Lege cu privire la modificarea </w:t>
            </w:r>
            <w:r w:rsidRPr="00695F41">
              <w:rPr>
                <w:rFonts w:eastAsia="Calibri"/>
                <w:sz w:val="28"/>
                <w:szCs w:val="28"/>
                <w:lang w:val="ro-MO"/>
              </w:rPr>
              <w:t>articolului 11 din Legea ocrotirii sănătății nr. 411/1995 vor fi necesare alocarea unor mijloace suplimentare</w:t>
            </w:r>
            <w:r>
              <w:rPr>
                <w:sz w:val="28"/>
                <w:szCs w:val="28"/>
                <w:lang w:val="ro-RO"/>
              </w:rPr>
              <w:t xml:space="preserve"> din contul bugetului de stat</w:t>
            </w:r>
          </w:p>
          <w:p w:rsidR="007F3285" w:rsidRPr="00695F41" w:rsidRDefault="007F3285" w:rsidP="008639EB">
            <w:pPr>
              <w:tabs>
                <w:tab w:val="left" w:pos="884"/>
                <w:tab w:val="left" w:pos="1196"/>
              </w:tabs>
              <w:rPr>
                <w:sz w:val="28"/>
                <w:szCs w:val="28"/>
                <w:lang w:val="ro-RO"/>
              </w:rPr>
            </w:pPr>
            <w:r>
              <w:rPr>
                <w:sz w:val="28"/>
                <w:szCs w:val="28"/>
                <w:lang w:val="ro-RO"/>
              </w:rPr>
              <w:t>La momentul actual, pentru anul 2019 în scopul efectuării plăților pentru plata indemnizațiilor tinerilor specialiști au fost planificate mijloace bănești în cuantum de 16.845.000 (șaisprezece milioane opt sute patruzeci și cinci mii) lei.</w:t>
            </w:r>
          </w:p>
          <w:p w:rsidR="007F3285" w:rsidRDefault="007F3285" w:rsidP="008639EB">
            <w:pPr>
              <w:tabs>
                <w:tab w:val="left" w:pos="884"/>
                <w:tab w:val="left" w:pos="1196"/>
              </w:tabs>
              <w:rPr>
                <w:sz w:val="28"/>
                <w:szCs w:val="28"/>
                <w:lang w:val="ro-RO"/>
              </w:rPr>
            </w:pPr>
            <w:r>
              <w:rPr>
                <w:sz w:val="28"/>
                <w:szCs w:val="28"/>
                <w:lang w:val="ro-RO"/>
              </w:rPr>
              <w:t>Pentru plata, începând cu 01 ianuarie 2020 a indemnizațiilor majorate conform proiectului, din contul bugetului de stat vor fi necesare alocarea unor mijloace bănești în cuantum total de 44.920.000 (patruzeci și patru milioane nouă sute douăzeci mii) lei.</w:t>
            </w:r>
          </w:p>
          <w:p w:rsidR="007F3285" w:rsidRPr="00695F41" w:rsidRDefault="007F3285" w:rsidP="008639EB">
            <w:pPr>
              <w:tabs>
                <w:tab w:val="left" w:pos="884"/>
                <w:tab w:val="left" w:pos="1196"/>
              </w:tabs>
              <w:rPr>
                <w:sz w:val="28"/>
                <w:szCs w:val="28"/>
                <w:lang w:val="ro-RO"/>
              </w:rPr>
            </w:pPr>
            <w:r>
              <w:rPr>
                <w:sz w:val="28"/>
                <w:szCs w:val="28"/>
                <w:lang w:val="ro-RO"/>
              </w:rPr>
              <w:t>Prin urmare, pentru implementarea prevederilor prezentei legi, vor fi necesare alocarea din contul bugetului de stat în mod suplimentar a unor sume care se ridică la mărimea de 28.075.000 (douăzeci și opt milioane șaptezeci și cinci mii) lei, conform calculelor prezentate la prezentul proiect.</w:t>
            </w:r>
          </w:p>
          <w:p w:rsidR="007F3285" w:rsidRPr="00695F41" w:rsidRDefault="007F3285" w:rsidP="008639EB">
            <w:pPr>
              <w:tabs>
                <w:tab w:val="left" w:pos="884"/>
                <w:tab w:val="left" w:pos="1196"/>
              </w:tabs>
              <w:rPr>
                <w:rFonts w:eastAsia="Calibri"/>
                <w:sz w:val="28"/>
                <w:szCs w:val="28"/>
                <w:lang w:val="ro-MO"/>
              </w:rPr>
            </w:pP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7F3285" w:rsidRPr="00695F41" w:rsidRDefault="007F3285" w:rsidP="008639EB">
            <w:pPr>
              <w:tabs>
                <w:tab w:val="left" w:pos="884"/>
                <w:tab w:val="left" w:pos="1196"/>
              </w:tabs>
              <w:rPr>
                <w:rFonts w:eastAsia="Calibri"/>
                <w:b/>
                <w:sz w:val="28"/>
                <w:szCs w:val="28"/>
                <w:lang w:val="ro-MO"/>
              </w:rPr>
            </w:pPr>
            <w:r w:rsidRPr="00695F41">
              <w:rPr>
                <w:b/>
                <w:sz w:val="28"/>
                <w:szCs w:val="28"/>
                <w:lang w:val="ro-MO"/>
              </w:rPr>
              <w:t>5. Modul de încorporare a actului în cadrul normativ în vigoare</w:t>
            </w: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tcPr>
          <w:p w:rsidR="007F3285" w:rsidRPr="00695F41" w:rsidRDefault="007F3285" w:rsidP="008639EB">
            <w:pPr>
              <w:tabs>
                <w:tab w:val="left" w:pos="884"/>
                <w:tab w:val="left" w:pos="1196"/>
              </w:tabs>
              <w:rPr>
                <w:rFonts w:eastAsia="Calibri"/>
                <w:sz w:val="28"/>
                <w:szCs w:val="28"/>
                <w:lang w:val="ro-MO"/>
              </w:rPr>
            </w:pPr>
          </w:p>
          <w:p w:rsidR="007F3285" w:rsidRDefault="007F3285" w:rsidP="008639EB">
            <w:pPr>
              <w:tabs>
                <w:tab w:val="left" w:pos="884"/>
                <w:tab w:val="left" w:pos="1196"/>
              </w:tabs>
              <w:rPr>
                <w:rFonts w:eastAsia="Calibri"/>
                <w:sz w:val="28"/>
                <w:szCs w:val="28"/>
                <w:lang w:val="ro-MO"/>
              </w:rPr>
            </w:pPr>
            <w:r w:rsidRPr="00695F41">
              <w:rPr>
                <w:rFonts w:eastAsia="Calibri"/>
                <w:sz w:val="28"/>
                <w:szCs w:val="28"/>
                <w:lang w:val="ro-MO"/>
              </w:rPr>
              <w:t xml:space="preserve">Aprobarea proiectului de Lege cu privire la modificarea articolului 11 din Legea ocrotirii sănătății nr. 411/1995 va impune modificarea </w:t>
            </w:r>
            <w:r>
              <w:rPr>
                <w:rFonts w:eastAsia="Calibri"/>
                <w:sz w:val="28"/>
                <w:szCs w:val="28"/>
                <w:lang w:val="ro-MO"/>
              </w:rPr>
              <w:t xml:space="preserve">în modul corespunzător a prevederilor a Hotărârii de Guvern </w:t>
            </w:r>
            <w:r w:rsidRPr="00084DD9">
              <w:rPr>
                <w:rFonts w:eastAsia="Calibri"/>
                <w:sz w:val="28"/>
                <w:szCs w:val="28"/>
                <w:lang w:val="ro-MO"/>
              </w:rPr>
              <w:t>cu privire la acordarea facilităţilor tinerilor specialişti cu studii medicale şi farmaceutice</w:t>
            </w:r>
            <w:r>
              <w:rPr>
                <w:rFonts w:eastAsia="Calibri"/>
                <w:sz w:val="28"/>
                <w:szCs w:val="28"/>
                <w:lang w:val="ro-MO"/>
              </w:rPr>
              <w:t xml:space="preserve"> nr. 1345/2007 (Monitorul Oficial al Republicii Moldova, 2007, nr. 188–191, art. </w:t>
            </w:r>
            <w:r w:rsidRPr="00225FAC">
              <w:rPr>
                <w:rFonts w:eastAsia="Calibri"/>
                <w:sz w:val="28"/>
                <w:szCs w:val="28"/>
                <w:lang w:val="ro-MO"/>
              </w:rPr>
              <w:t>1386</w:t>
            </w:r>
            <w:r>
              <w:rPr>
                <w:rFonts w:eastAsia="Calibri"/>
                <w:sz w:val="28"/>
                <w:szCs w:val="28"/>
                <w:lang w:val="ro-MO"/>
              </w:rPr>
              <w:t>) cu modificările ulterioare ale acesteia.</w:t>
            </w:r>
          </w:p>
          <w:p w:rsidR="007F3285" w:rsidRPr="00695F41" w:rsidRDefault="007F3285" w:rsidP="008639EB">
            <w:pPr>
              <w:tabs>
                <w:tab w:val="left" w:pos="884"/>
                <w:tab w:val="left" w:pos="1196"/>
              </w:tabs>
              <w:rPr>
                <w:rFonts w:eastAsia="Calibri"/>
                <w:sz w:val="28"/>
                <w:szCs w:val="28"/>
                <w:lang w:val="ro-MO"/>
              </w:rPr>
            </w:pP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tcPr>
          <w:p w:rsidR="007F3285" w:rsidRPr="00695F41" w:rsidRDefault="007F3285" w:rsidP="008639EB">
            <w:pPr>
              <w:tabs>
                <w:tab w:val="left" w:pos="884"/>
                <w:tab w:val="left" w:pos="1196"/>
              </w:tabs>
              <w:ind w:firstLine="709"/>
              <w:rPr>
                <w:rFonts w:eastAsia="Calibri"/>
                <w:b/>
                <w:sz w:val="28"/>
                <w:szCs w:val="28"/>
                <w:lang w:val="ro-MO"/>
              </w:rPr>
            </w:pPr>
            <w:r w:rsidRPr="00695F41">
              <w:rPr>
                <w:rFonts w:eastAsia="Calibri"/>
                <w:b/>
                <w:sz w:val="28"/>
                <w:szCs w:val="28"/>
                <w:lang w:val="ro-MO"/>
              </w:rPr>
              <w:t xml:space="preserve">6. </w:t>
            </w:r>
            <w:r w:rsidRPr="00695F41">
              <w:rPr>
                <w:b/>
                <w:sz w:val="28"/>
                <w:szCs w:val="28"/>
                <w:lang w:val="ro-MO"/>
              </w:rPr>
              <w:t>Avizarea şi consultarea publică a proiectului</w:t>
            </w: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tcPr>
          <w:p w:rsidR="007F3285" w:rsidRPr="00695F41" w:rsidRDefault="007F3285" w:rsidP="008639EB">
            <w:pPr>
              <w:tabs>
                <w:tab w:val="left" w:pos="884"/>
                <w:tab w:val="left" w:pos="1196"/>
              </w:tabs>
              <w:rPr>
                <w:rFonts w:eastAsia="Calibri"/>
                <w:sz w:val="28"/>
                <w:szCs w:val="28"/>
                <w:lang w:val="ro-MO"/>
              </w:rPr>
            </w:pPr>
          </w:p>
          <w:p w:rsidR="007F3285" w:rsidRPr="00695F41" w:rsidRDefault="007F3285" w:rsidP="008639EB">
            <w:pPr>
              <w:tabs>
                <w:tab w:val="left" w:pos="884"/>
                <w:tab w:val="left" w:pos="1196"/>
              </w:tabs>
              <w:rPr>
                <w:rFonts w:eastAsia="Calibri"/>
                <w:sz w:val="28"/>
                <w:szCs w:val="28"/>
                <w:lang w:val="ro-MO"/>
              </w:rPr>
            </w:pPr>
            <w:r w:rsidRPr="00695F41">
              <w:rPr>
                <w:rFonts w:eastAsia="Calibri"/>
                <w:sz w:val="28"/>
                <w:szCs w:val="28"/>
                <w:lang w:val="ro-MO"/>
              </w:rPr>
              <w:t xml:space="preserve">Proiectul de Lege cu privire la modificarea articolului 11 din Legea ocrotirii sănătății nr. 411/1995, se înaintează pentru avizare </w:t>
            </w:r>
            <w:r w:rsidR="00E7792A">
              <w:rPr>
                <w:rFonts w:eastAsia="Calibri"/>
                <w:sz w:val="28"/>
                <w:szCs w:val="28"/>
                <w:lang w:val="ro-MO"/>
              </w:rPr>
              <w:t xml:space="preserve">repetată și suplimentară către Ministerul Finanțelor, </w:t>
            </w:r>
            <w:r w:rsidRPr="00695F41">
              <w:rPr>
                <w:rFonts w:eastAsia="Calibri"/>
                <w:sz w:val="28"/>
                <w:szCs w:val="28"/>
                <w:lang w:val="ro-MO"/>
              </w:rPr>
              <w:t>Ministerul</w:t>
            </w:r>
            <w:r w:rsidR="00E7792A">
              <w:rPr>
                <w:rFonts w:eastAsia="Calibri"/>
                <w:sz w:val="28"/>
                <w:szCs w:val="28"/>
                <w:lang w:val="ro-MO"/>
              </w:rPr>
              <w:t>ui Economiei și Infrastructurii și Ministerul Educației, Culturii și Cercetării.</w:t>
            </w:r>
          </w:p>
          <w:p w:rsidR="007F3285" w:rsidRPr="00695F41" w:rsidRDefault="007F3285" w:rsidP="008639EB">
            <w:pPr>
              <w:tabs>
                <w:tab w:val="left" w:pos="884"/>
                <w:tab w:val="left" w:pos="1196"/>
              </w:tabs>
              <w:rPr>
                <w:rFonts w:eastAsia="Calibri"/>
                <w:sz w:val="28"/>
                <w:szCs w:val="28"/>
                <w:lang w:val="ro-MO"/>
              </w:rPr>
            </w:pPr>
            <w:r w:rsidRPr="00695F41">
              <w:rPr>
                <w:rFonts w:eastAsia="Calibri"/>
                <w:sz w:val="28"/>
                <w:szCs w:val="28"/>
                <w:lang w:val="ro-MO"/>
              </w:rPr>
              <w:t xml:space="preserve">Concomitent, proiectul respectiv a fost plasat spre consultare publică de către </w:t>
            </w:r>
            <w:r w:rsidRPr="00695F41">
              <w:rPr>
                <w:rFonts w:eastAsia="Calibri"/>
                <w:sz w:val="28"/>
                <w:szCs w:val="28"/>
                <w:lang w:val="ro-MO"/>
              </w:rPr>
              <w:lastRenderedPageBreak/>
              <w:t>Ministerul Sănătății, Muncii și Protecției Sociale în ordinea prevederilor Legii nr. 239/2008 privind transparența în procesul decizional.</w:t>
            </w:r>
          </w:p>
          <w:p w:rsidR="007F3285" w:rsidRPr="00695F41" w:rsidRDefault="007F3285" w:rsidP="008639EB">
            <w:pPr>
              <w:tabs>
                <w:tab w:val="left" w:pos="884"/>
                <w:tab w:val="left" w:pos="1196"/>
              </w:tabs>
              <w:rPr>
                <w:rFonts w:eastAsia="Calibri"/>
                <w:sz w:val="28"/>
                <w:szCs w:val="28"/>
                <w:lang w:val="ro-MO"/>
              </w:rPr>
            </w:pP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shd w:val="clear" w:color="auto" w:fill="000000" w:themeFill="text1"/>
          </w:tcPr>
          <w:p w:rsidR="007F3285" w:rsidRPr="00695F41" w:rsidRDefault="007F3285" w:rsidP="008639EB">
            <w:pPr>
              <w:tabs>
                <w:tab w:val="left" w:pos="884"/>
                <w:tab w:val="left" w:pos="1196"/>
              </w:tabs>
              <w:rPr>
                <w:rFonts w:eastAsia="Calibri"/>
                <w:sz w:val="28"/>
                <w:szCs w:val="28"/>
              </w:rPr>
            </w:pPr>
            <w:r w:rsidRPr="00695F41">
              <w:rPr>
                <w:rFonts w:eastAsia="Calibri"/>
                <w:sz w:val="28"/>
                <w:szCs w:val="28"/>
              </w:rPr>
              <w:lastRenderedPageBreak/>
              <w:t xml:space="preserve">7. </w:t>
            </w:r>
            <w:r w:rsidRPr="00695F41">
              <w:rPr>
                <w:rFonts w:eastAsia="Calibri"/>
                <w:sz w:val="28"/>
                <w:szCs w:val="28"/>
                <w:lang w:val="ro-RO"/>
              </w:rPr>
              <w:t>Constatările expertizei anticorupţie</w:t>
            </w: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tcPr>
          <w:p w:rsidR="007F3285" w:rsidRPr="00695F41" w:rsidRDefault="007F3285" w:rsidP="008639EB">
            <w:pPr>
              <w:tabs>
                <w:tab w:val="left" w:pos="884"/>
                <w:tab w:val="left" w:pos="1196"/>
              </w:tabs>
              <w:rPr>
                <w:rFonts w:eastAsia="Calibri"/>
                <w:sz w:val="28"/>
                <w:szCs w:val="28"/>
              </w:rPr>
            </w:pPr>
          </w:p>
          <w:p w:rsidR="007F3285" w:rsidRPr="00695F41" w:rsidRDefault="007F3285" w:rsidP="008639EB">
            <w:pPr>
              <w:tabs>
                <w:tab w:val="left" w:pos="884"/>
                <w:tab w:val="left" w:pos="1196"/>
              </w:tabs>
              <w:rPr>
                <w:rFonts w:eastAsia="Calibri"/>
                <w:sz w:val="28"/>
                <w:szCs w:val="28"/>
                <w:lang w:val="ro-MO"/>
              </w:rPr>
            </w:pPr>
            <w:r w:rsidRPr="00695F41">
              <w:rPr>
                <w:rFonts w:eastAsia="Calibri"/>
                <w:sz w:val="28"/>
                <w:szCs w:val="28"/>
                <w:lang w:val="ro-MO"/>
              </w:rPr>
              <w:t>Proiectul de Lege cu privire la modificarea articolului 11 din Legea ocrotirii sănătății nr. 411/1995, se înaintează pentru efectuarea expertizei anticorupție către Centrul Național Anticorupție.</w:t>
            </w:r>
          </w:p>
          <w:p w:rsidR="007F3285" w:rsidRPr="00695F41" w:rsidRDefault="007F3285" w:rsidP="008639EB">
            <w:pPr>
              <w:tabs>
                <w:tab w:val="left" w:pos="884"/>
                <w:tab w:val="left" w:pos="1196"/>
              </w:tabs>
              <w:rPr>
                <w:rFonts w:eastAsia="Calibri"/>
                <w:sz w:val="28"/>
                <w:szCs w:val="28"/>
              </w:rPr>
            </w:pP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shd w:val="clear" w:color="auto" w:fill="000000" w:themeFill="text1"/>
          </w:tcPr>
          <w:p w:rsidR="007F3285" w:rsidRPr="00695F41" w:rsidRDefault="007F3285" w:rsidP="008639EB">
            <w:pPr>
              <w:tabs>
                <w:tab w:val="left" w:pos="884"/>
                <w:tab w:val="left" w:pos="1196"/>
              </w:tabs>
              <w:rPr>
                <w:rFonts w:eastAsia="Calibri"/>
                <w:sz w:val="28"/>
                <w:szCs w:val="28"/>
              </w:rPr>
            </w:pPr>
            <w:r w:rsidRPr="00695F41">
              <w:rPr>
                <w:rFonts w:eastAsia="Calibri"/>
                <w:sz w:val="28"/>
                <w:szCs w:val="28"/>
              </w:rPr>
              <w:t xml:space="preserve">8. </w:t>
            </w:r>
            <w:r w:rsidRPr="00695F41">
              <w:rPr>
                <w:rFonts w:eastAsia="Calibri"/>
                <w:sz w:val="28"/>
                <w:szCs w:val="28"/>
                <w:lang w:val="ro-RO"/>
              </w:rPr>
              <w:t>Constatările expertizei juridice</w:t>
            </w:r>
          </w:p>
        </w:tc>
      </w:tr>
      <w:tr w:rsidR="007F3285" w:rsidRPr="00695F41" w:rsidTr="008639EB">
        <w:tc>
          <w:tcPr>
            <w:tcW w:w="5000" w:type="pct"/>
            <w:tcBorders>
              <w:top w:val="single" w:sz="4" w:space="0" w:color="auto"/>
              <w:left w:val="single" w:sz="4" w:space="0" w:color="auto"/>
              <w:bottom w:val="single" w:sz="4" w:space="0" w:color="auto"/>
              <w:right w:val="single" w:sz="4" w:space="0" w:color="auto"/>
            </w:tcBorders>
          </w:tcPr>
          <w:p w:rsidR="007F3285" w:rsidRPr="00695F41" w:rsidRDefault="007F3285" w:rsidP="008639EB">
            <w:pPr>
              <w:tabs>
                <w:tab w:val="left" w:pos="884"/>
                <w:tab w:val="left" w:pos="1196"/>
              </w:tabs>
              <w:rPr>
                <w:rFonts w:eastAsia="Calibri"/>
                <w:sz w:val="28"/>
                <w:szCs w:val="28"/>
              </w:rPr>
            </w:pPr>
          </w:p>
          <w:p w:rsidR="007F3285" w:rsidRPr="00695F41" w:rsidRDefault="007F3285" w:rsidP="008639EB">
            <w:pPr>
              <w:tabs>
                <w:tab w:val="left" w:pos="884"/>
                <w:tab w:val="left" w:pos="1196"/>
              </w:tabs>
              <w:rPr>
                <w:rFonts w:eastAsia="Calibri"/>
                <w:sz w:val="28"/>
                <w:szCs w:val="28"/>
                <w:lang w:val="ro-MO"/>
              </w:rPr>
            </w:pPr>
            <w:r w:rsidRPr="00695F41">
              <w:rPr>
                <w:rFonts w:eastAsia="Calibri"/>
                <w:sz w:val="28"/>
                <w:szCs w:val="28"/>
                <w:lang w:val="ro-MO"/>
              </w:rPr>
              <w:t xml:space="preserve">Proiectul de Lege cu privire la modificarea articolului 11 din Legea ocrotirii sănătății nr. 411/1995, se înaintează </w:t>
            </w:r>
            <w:r w:rsidR="00E7792A">
              <w:rPr>
                <w:rFonts w:eastAsia="Calibri"/>
                <w:sz w:val="28"/>
                <w:szCs w:val="28"/>
                <w:lang w:val="ro-MO"/>
              </w:rPr>
              <w:t xml:space="preserve">repetat </w:t>
            </w:r>
            <w:r w:rsidRPr="00695F41">
              <w:rPr>
                <w:rFonts w:eastAsia="Calibri"/>
                <w:sz w:val="28"/>
                <w:szCs w:val="28"/>
                <w:lang w:val="ro-MO"/>
              </w:rPr>
              <w:t>pentru efectuarea expertizei juridice către Ministerul Justiției.</w:t>
            </w:r>
          </w:p>
          <w:p w:rsidR="007F3285" w:rsidRPr="00695F41" w:rsidRDefault="007F3285" w:rsidP="008639EB">
            <w:pPr>
              <w:tabs>
                <w:tab w:val="left" w:pos="884"/>
                <w:tab w:val="left" w:pos="1196"/>
              </w:tabs>
              <w:rPr>
                <w:rFonts w:eastAsia="Calibri"/>
                <w:sz w:val="28"/>
                <w:szCs w:val="28"/>
              </w:rPr>
            </w:pPr>
          </w:p>
        </w:tc>
      </w:tr>
    </w:tbl>
    <w:p w:rsidR="007F3285" w:rsidRPr="00695F41" w:rsidRDefault="007F3285" w:rsidP="007F3285">
      <w:pPr>
        <w:jc w:val="center"/>
        <w:rPr>
          <w:b/>
          <w:sz w:val="28"/>
          <w:szCs w:val="28"/>
          <w:lang w:val="ro-MO"/>
        </w:rPr>
      </w:pPr>
    </w:p>
    <w:p w:rsidR="007F3285" w:rsidRPr="00695F41" w:rsidRDefault="007F3285" w:rsidP="007F3285">
      <w:pPr>
        <w:rPr>
          <w:b/>
          <w:sz w:val="28"/>
          <w:szCs w:val="28"/>
          <w:lang w:val="ro-MO"/>
        </w:rPr>
      </w:pPr>
    </w:p>
    <w:p w:rsidR="007F3285" w:rsidRDefault="007F3285" w:rsidP="007F3285">
      <w:pPr>
        <w:rPr>
          <w:b/>
          <w:sz w:val="28"/>
          <w:szCs w:val="28"/>
          <w:lang w:val="ro-MO"/>
        </w:rPr>
      </w:pPr>
    </w:p>
    <w:p w:rsidR="00AB1DE0" w:rsidRPr="00695F41" w:rsidRDefault="00AB1DE0" w:rsidP="007F3285">
      <w:pPr>
        <w:rPr>
          <w:b/>
          <w:sz w:val="28"/>
          <w:szCs w:val="28"/>
          <w:lang w:val="ro-MO"/>
        </w:rPr>
      </w:pPr>
    </w:p>
    <w:p w:rsidR="007F3285" w:rsidRPr="00695F41" w:rsidRDefault="007F3285" w:rsidP="007F3285">
      <w:pPr>
        <w:rPr>
          <w:b/>
          <w:sz w:val="28"/>
          <w:szCs w:val="28"/>
          <w:lang w:val="ro-MO"/>
        </w:rPr>
      </w:pPr>
    </w:p>
    <w:p w:rsidR="00111C52" w:rsidRPr="00782CE5" w:rsidRDefault="007F3285" w:rsidP="007F3285">
      <w:r w:rsidRPr="00695F41">
        <w:rPr>
          <w:b/>
          <w:sz w:val="28"/>
          <w:szCs w:val="28"/>
          <w:lang w:val="ro-RO"/>
        </w:rPr>
        <w:t xml:space="preserve">Ministru                </w:t>
      </w:r>
      <w:r w:rsidR="00AB1DE0">
        <w:rPr>
          <w:b/>
          <w:sz w:val="28"/>
          <w:szCs w:val="28"/>
          <w:lang w:val="ro-RO"/>
        </w:rPr>
        <w:t xml:space="preserve">                             </w:t>
      </w:r>
      <w:r w:rsidR="00435C0B">
        <w:rPr>
          <w:b/>
          <w:sz w:val="28"/>
          <w:szCs w:val="28"/>
          <w:lang w:val="ro-RO"/>
        </w:rPr>
        <w:t xml:space="preserve">       </w:t>
      </w:r>
      <w:r w:rsidRPr="00695F41">
        <w:rPr>
          <w:b/>
          <w:sz w:val="28"/>
          <w:szCs w:val="28"/>
          <w:lang w:val="ro-RO"/>
        </w:rPr>
        <w:t xml:space="preserve"> </w:t>
      </w:r>
      <w:r>
        <w:rPr>
          <w:b/>
          <w:sz w:val="28"/>
          <w:szCs w:val="28"/>
          <w:lang w:val="ro-RO"/>
        </w:rPr>
        <w:t xml:space="preserve">        </w:t>
      </w:r>
      <w:r w:rsidR="00435C0B">
        <w:rPr>
          <w:b/>
          <w:sz w:val="28"/>
          <w:szCs w:val="28"/>
          <w:lang w:val="ro-RO"/>
        </w:rPr>
        <w:t>Viorica DUMBRĂVEANU</w:t>
      </w:r>
    </w:p>
    <w:p w:rsidR="00782CE5" w:rsidRPr="00782CE5" w:rsidRDefault="00782CE5" w:rsidP="00782CE5">
      <w:pPr>
        <w:rPr>
          <w:sz w:val="4"/>
          <w:szCs w:val="4"/>
          <w:lang w:eastAsia="ru-RU"/>
        </w:rPr>
      </w:pPr>
    </w:p>
    <w:p w:rsidR="00782CE5" w:rsidRPr="00782CE5" w:rsidRDefault="00782CE5" w:rsidP="00782CE5">
      <w:pPr>
        <w:rPr>
          <w:sz w:val="4"/>
          <w:szCs w:val="4"/>
          <w:lang w:eastAsia="ru-RU"/>
        </w:rPr>
      </w:pPr>
    </w:p>
    <w:p w:rsidR="00782CE5" w:rsidRPr="00782CE5" w:rsidRDefault="00782CE5" w:rsidP="00782CE5">
      <w:pPr>
        <w:rPr>
          <w:sz w:val="4"/>
          <w:szCs w:val="4"/>
          <w:lang w:eastAsia="ru-RU"/>
        </w:rPr>
      </w:pPr>
    </w:p>
    <w:p w:rsidR="00782CE5" w:rsidRPr="00782CE5" w:rsidRDefault="00782CE5" w:rsidP="00782CE5">
      <w:pPr>
        <w:rPr>
          <w:sz w:val="4"/>
          <w:szCs w:val="4"/>
          <w:lang w:eastAsia="ru-RU"/>
        </w:rPr>
      </w:pPr>
    </w:p>
    <w:p w:rsidR="00782CE5" w:rsidRPr="00782CE5"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E7792A" w:rsidRDefault="00782CE5" w:rsidP="00782CE5">
      <w:pPr>
        <w:rPr>
          <w:sz w:val="4"/>
          <w:szCs w:val="4"/>
          <w:lang w:eastAsia="ru-RU"/>
        </w:rPr>
      </w:pPr>
    </w:p>
    <w:p w:rsidR="00782CE5" w:rsidRPr="00695F37" w:rsidRDefault="00782CE5" w:rsidP="00782CE5">
      <w:pPr>
        <w:rPr>
          <w:sz w:val="4"/>
          <w:szCs w:val="4"/>
          <w:lang w:eastAsia="ru-RU"/>
        </w:rPr>
      </w:pPr>
    </w:p>
    <w:p w:rsidR="00782CE5" w:rsidRPr="00695F37" w:rsidRDefault="00782CE5" w:rsidP="00782CE5">
      <w:pPr>
        <w:rPr>
          <w:sz w:val="4"/>
          <w:szCs w:val="4"/>
          <w:lang w:eastAsia="ru-RU"/>
        </w:rPr>
      </w:pPr>
    </w:p>
    <w:p w:rsidR="00782CE5" w:rsidRPr="00695F37" w:rsidRDefault="00782CE5" w:rsidP="00782CE5">
      <w:pPr>
        <w:rPr>
          <w:sz w:val="4"/>
          <w:szCs w:val="4"/>
          <w:lang w:eastAsia="ru-RU"/>
        </w:rPr>
      </w:pPr>
    </w:p>
    <w:p w:rsidR="00782CE5" w:rsidRPr="00695F37" w:rsidRDefault="00782CE5" w:rsidP="00782CE5">
      <w:pPr>
        <w:rPr>
          <w:sz w:val="4"/>
          <w:szCs w:val="4"/>
          <w:lang w:eastAsia="ru-RU"/>
        </w:rPr>
      </w:pPr>
    </w:p>
    <w:p w:rsidR="00782CE5" w:rsidRPr="00695F37" w:rsidRDefault="00782CE5" w:rsidP="00782CE5">
      <w:pPr>
        <w:rPr>
          <w:sz w:val="4"/>
          <w:szCs w:val="4"/>
          <w:lang w:eastAsia="ru-RU"/>
        </w:rPr>
      </w:pPr>
    </w:p>
    <w:p w:rsidR="00782CE5" w:rsidRPr="00695F37" w:rsidRDefault="00782CE5" w:rsidP="00782CE5">
      <w:pPr>
        <w:rPr>
          <w:sz w:val="4"/>
          <w:szCs w:val="4"/>
          <w:lang w:eastAsia="ru-RU"/>
        </w:rPr>
      </w:pPr>
    </w:p>
    <w:p w:rsidR="00782CE5" w:rsidRPr="00695F37" w:rsidRDefault="00782CE5" w:rsidP="00782CE5">
      <w:pPr>
        <w:rPr>
          <w:sz w:val="4"/>
          <w:szCs w:val="4"/>
          <w:lang w:eastAsia="ru-RU"/>
        </w:rPr>
      </w:pPr>
    </w:p>
    <w:p w:rsidR="00782CE5" w:rsidRPr="00695F37" w:rsidRDefault="00782CE5" w:rsidP="00782CE5">
      <w:pPr>
        <w:rPr>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E7792A">
      <w:pPr>
        <w:ind w:firstLine="0"/>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E7792A" w:rsidP="00E7792A">
      <w:pPr>
        <w:ind w:firstLine="0"/>
        <w:rPr>
          <w:rFonts w:eastAsia="Calibri"/>
          <w:color w:val="FFFFFF" w:themeColor="background1"/>
          <w:lang w:eastAsia="ru-RU"/>
        </w:rPr>
      </w:pPr>
      <w:r w:rsidRPr="00435C0B">
        <w:rPr>
          <w:rFonts w:eastAsia="Calibri"/>
          <w:color w:val="FFFFFF" w:themeColor="background1"/>
          <w:lang w:eastAsia="ru-RU"/>
        </w:rPr>
        <w:t xml:space="preserve">              </w:t>
      </w:r>
      <w:proofErr w:type="spellStart"/>
      <w:r w:rsidRPr="00435C0B">
        <w:rPr>
          <w:rFonts w:eastAsia="Calibri"/>
          <w:color w:val="FFFFFF" w:themeColor="background1"/>
          <w:lang w:eastAsia="ru-RU"/>
        </w:rPr>
        <w:t>Secretar</w:t>
      </w:r>
      <w:proofErr w:type="spellEnd"/>
      <w:r w:rsidRPr="00435C0B">
        <w:rPr>
          <w:rFonts w:eastAsia="Calibri"/>
          <w:color w:val="FFFFFF" w:themeColor="background1"/>
          <w:lang w:eastAsia="ru-RU"/>
        </w:rPr>
        <w:t xml:space="preserve"> de Stat</w:t>
      </w:r>
      <w:r w:rsidR="00782CE5" w:rsidRPr="00435C0B">
        <w:rPr>
          <w:rFonts w:eastAsia="Calibri"/>
          <w:color w:val="FFFFFF" w:themeColor="background1"/>
          <w:lang w:eastAsia="ru-RU"/>
        </w:rPr>
        <w:t xml:space="preserve">                                 </w:t>
      </w:r>
      <w:r w:rsidRPr="00435C0B">
        <w:rPr>
          <w:rFonts w:eastAsia="Calibri"/>
          <w:color w:val="FFFFFF" w:themeColor="background1"/>
          <w:lang w:eastAsia="ru-RU"/>
        </w:rPr>
        <w:t xml:space="preserve">                    </w:t>
      </w:r>
      <w:r w:rsidR="00782CE5" w:rsidRPr="00435C0B">
        <w:rPr>
          <w:rFonts w:eastAsia="Calibri"/>
          <w:color w:val="FFFFFF" w:themeColor="background1"/>
          <w:lang w:eastAsia="ru-RU"/>
        </w:rPr>
        <w:t xml:space="preserve">    _____________________________________________</w:t>
      </w:r>
    </w:p>
    <w:p w:rsidR="00782CE5" w:rsidRPr="00435C0B" w:rsidRDefault="00E7792A" w:rsidP="00E7792A">
      <w:pPr>
        <w:ind w:firstLine="0"/>
        <w:rPr>
          <w:rFonts w:eastAsia="Calibri"/>
          <w:color w:val="FFFFFF" w:themeColor="background1"/>
          <w:sz w:val="16"/>
          <w:szCs w:val="16"/>
          <w:lang w:eastAsia="ru-RU"/>
        </w:rPr>
      </w:pPr>
      <w:r w:rsidRPr="00435C0B">
        <w:rPr>
          <w:rFonts w:eastAsia="Calibri"/>
          <w:color w:val="FFFFFF" w:themeColor="background1"/>
          <w:lang w:eastAsia="ru-RU"/>
        </w:rPr>
        <w:t xml:space="preserve">             </w:t>
      </w:r>
      <w:r w:rsidR="00782CE5" w:rsidRPr="00435C0B">
        <w:rPr>
          <w:rFonts w:eastAsia="Calibri"/>
          <w:color w:val="FFFFFF" w:themeColor="background1"/>
          <w:lang w:eastAsia="ru-RU"/>
        </w:rPr>
        <w:t xml:space="preserve">Ion </w:t>
      </w:r>
      <w:proofErr w:type="spellStart"/>
      <w:r w:rsidR="00782CE5" w:rsidRPr="00435C0B">
        <w:rPr>
          <w:rFonts w:eastAsia="Calibri"/>
          <w:color w:val="FFFFFF" w:themeColor="background1"/>
          <w:lang w:eastAsia="ru-RU"/>
        </w:rPr>
        <w:t>Dodon</w:t>
      </w:r>
      <w:proofErr w:type="spellEnd"/>
      <w:r w:rsidR="00782CE5" w:rsidRPr="00435C0B">
        <w:rPr>
          <w:rFonts w:eastAsia="Calibri"/>
          <w:color w:val="FFFFFF" w:themeColor="background1"/>
          <w:lang w:eastAsia="ru-RU"/>
        </w:rPr>
        <w:t xml:space="preserve">                                                                                                                   </w:t>
      </w:r>
      <w:r w:rsidR="00782CE5" w:rsidRPr="00435C0B">
        <w:rPr>
          <w:rFonts w:eastAsia="Calibri"/>
          <w:color w:val="FFFFFF" w:themeColor="background1"/>
          <w:sz w:val="16"/>
          <w:szCs w:val="16"/>
          <w:lang w:eastAsia="ru-RU"/>
        </w:rPr>
        <w:t>(</w:t>
      </w:r>
      <w:proofErr w:type="spellStart"/>
      <w:r w:rsidR="00782CE5" w:rsidRPr="00435C0B">
        <w:rPr>
          <w:rFonts w:eastAsia="Calibri"/>
          <w:color w:val="FFFFFF" w:themeColor="background1"/>
          <w:sz w:val="16"/>
          <w:szCs w:val="16"/>
          <w:lang w:eastAsia="ru-RU"/>
        </w:rPr>
        <w:t>semnătura</w:t>
      </w:r>
      <w:proofErr w:type="spellEnd"/>
      <w:r w:rsidR="00782CE5" w:rsidRPr="00435C0B">
        <w:rPr>
          <w:rFonts w:eastAsia="Calibri"/>
          <w:color w:val="FFFFFF" w:themeColor="background1"/>
          <w:sz w:val="16"/>
          <w:szCs w:val="16"/>
          <w:lang w:eastAsia="ru-RU"/>
        </w:rPr>
        <w:t xml:space="preserve">)                                                </w:t>
      </w:r>
    </w:p>
    <w:p w:rsidR="00782CE5" w:rsidRPr="00435C0B" w:rsidRDefault="00782CE5" w:rsidP="00782CE5">
      <w:pPr>
        <w:rPr>
          <w:b/>
          <w:i/>
          <w:color w:val="FFFFFF" w:themeColor="background1"/>
          <w:sz w:val="12"/>
          <w:szCs w:val="12"/>
          <w:lang w:eastAsia="ru-RU"/>
        </w:rPr>
      </w:pPr>
    </w:p>
    <w:p w:rsidR="00782CE5" w:rsidRPr="00435C0B" w:rsidRDefault="00782CE5" w:rsidP="00782CE5">
      <w:pPr>
        <w:ind w:firstLine="851"/>
        <w:rPr>
          <w:b/>
          <w:i/>
          <w:color w:val="FFFFFF" w:themeColor="background1"/>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sz w:val="12"/>
          <w:szCs w:val="12"/>
          <w:lang w:eastAsia="ru-RU"/>
        </w:rPr>
      </w:pPr>
    </w:p>
    <w:p w:rsidR="00782CE5" w:rsidRPr="00435C0B" w:rsidRDefault="00782CE5" w:rsidP="00782CE5">
      <w:pPr>
        <w:rPr>
          <w:b/>
          <w:i/>
          <w:color w:val="FFFFFF" w:themeColor="background1"/>
          <w:sz w:val="12"/>
          <w:szCs w:val="12"/>
          <w:lang w:eastAsia="ru-RU"/>
        </w:rPr>
      </w:pPr>
    </w:p>
    <w:p w:rsidR="00782CE5" w:rsidRPr="00435C0B" w:rsidRDefault="00782CE5" w:rsidP="00782CE5">
      <w:pPr>
        <w:rPr>
          <w:b/>
          <w:i/>
          <w:color w:val="FFFFFF" w:themeColor="background1"/>
          <w:sz w:val="12"/>
          <w:szCs w:val="12"/>
          <w:lang w:eastAsia="ru-RU"/>
        </w:rPr>
      </w:pPr>
    </w:p>
    <w:p w:rsidR="00782CE5" w:rsidRPr="00435C0B" w:rsidRDefault="00782CE5" w:rsidP="00782CE5">
      <w:pPr>
        <w:rPr>
          <w:b/>
          <w:i/>
          <w:color w:val="FFFFFF" w:themeColor="background1"/>
          <w:sz w:val="12"/>
          <w:szCs w:val="12"/>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ind w:firstLine="851"/>
        <w:rPr>
          <w:color w:val="FFFFFF" w:themeColor="background1"/>
          <w:sz w:val="4"/>
          <w:szCs w:val="4"/>
          <w:lang w:eastAsia="ru-RU"/>
        </w:rPr>
      </w:pPr>
    </w:p>
    <w:p w:rsidR="00782CE5" w:rsidRPr="00435C0B" w:rsidRDefault="00782CE5" w:rsidP="00782CE5">
      <w:pPr>
        <w:ind w:firstLine="851"/>
        <w:rPr>
          <w:color w:val="FFFFFF" w:themeColor="background1"/>
          <w:sz w:val="4"/>
          <w:szCs w:val="4"/>
          <w:lang w:eastAsia="ru-RU"/>
        </w:rPr>
      </w:pPr>
    </w:p>
    <w:p w:rsidR="00782CE5" w:rsidRPr="00435C0B" w:rsidRDefault="00782CE5" w:rsidP="00782CE5">
      <w:pPr>
        <w:ind w:firstLine="851"/>
        <w:rPr>
          <w:color w:val="FFFFFF" w:themeColor="background1"/>
          <w:sz w:val="4"/>
          <w:szCs w:val="4"/>
          <w:lang w:eastAsia="ru-RU"/>
        </w:rPr>
      </w:pPr>
    </w:p>
    <w:p w:rsidR="00782CE5" w:rsidRPr="00435C0B" w:rsidRDefault="00782CE5" w:rsidP="00782CE5">
      <w:pPr>
        <w:rPr>
          <w:rFonts w:eastAsia="Calibri"/>
          <w:color w:val="FFFFFF" w:themeColor="background1"/>
          <w:lang w:eastAsia="ru-RU"/>
        </w:rPr>
      </w:pPr>
      <w:proofErr w:type="spellStart"/>
      <w:proofErr w:type="gramStart"/>
      <w:r w:rsidRPr="00435C0B">
        <w:rPr>
          <w:rFonts w:eastAsia="Calibri"/>
          <w:color w:val="FFFFFF" w:themeColor="background1"/>
          <w:lang w:eastAsia="ru-RU"/>
        </w:rPr>
        <w:t>şef</w:t>
      </w:r>
      <w:proofErr w:type="spellEnd"/>
      <w:proofErr w:type="gramEnd"/>
      <w:r w:rsidRPr="00435C0B">
        <w:rPr>
          <w:rFonts w:eastAsia="Calibri"/>
          <w:color w:val="FFFFFF" w:themeColor="background1"/>
          <w:lang w:eastAsia="ru-RU"/>
        </w:rPr>
        <w:t xml:space="preserve"> </w:t>
      </w:r>
      <w:proofErr w:type="spellStart"/>
      <w:r w:rsidRPr="00435C0B">
        <w:rPr>
          <w:rFonts w:eastAsia="Calibri"/>
          <w:color w:val="FFFFFF" w:themeColor="background1"/>
          <w:lang w:eastAsia="ru-RU"/>
        </w:rPr>
        <w:t>Secția</w:t>
      </w:r>
      <w:proofErr w:type="spellEnd"/>
      <w:r w:rsidRPr="00435C0B">
        <w:rPr>
          <w:rFonts w:eastAsia="Calibri"/>
          <w:color w:val="FFFFFF" w:themeColor="background1"/>
          <w:lang w:eastAsia="ru-RU"/>
        </w:rPr>
        <w:t xml:space="preserve"> juridică                                                       _____________________________________________</w:t>
      </w:r>
    </w:p>
    <w:p w:rsidR="00782CE5" w:rsidRPr="00435C0B" w:rsidRDefault="00782CE5" w:rsidP="00782CE5">
      <w:pPr>
        <w:rPr>
          <w:rFonts w:eastAsia="Calibri"/>
          <w:color w:val="FFFFFF" w:themeColor="background1"/>
          <w:sz w:val="16"/>
          <w:szCs w:val="16"/>
          <w:lang w:eastAsia="ru-RU"/>
        </w:rPr>
      </w:pPr>
      <w:r w:rsidRPr="00435C0B">
        <w:rPr>
          <w:rFonts w:eastAsia="Calibri"/>
          <w:color w:val="FFFFFF" w:themeColor="background1"/>
          <w:lang w:eastAsia="ru-RU"/>
        </w:rPr>
        <w:t xml:space="preserve">Andrei </w:t>
      </w:r>
      <w:proofErr w:type="spellStart"/>
      <w:r w:rsidRPr="00435C0B">
        <w:rPr>
          <w:rFonts w:eastAsia="Calibri"/>
          <w:color w:val="FFFFFF" w:themeColor="background1"/>
          <w:lang w:eastAsia="ru-RU"/>
        </w:rPr>
        <w:t>Șveț</w:t>
      </w:r>
      <w:proofErr w:type="spellEnd"/>
      <w:r w:rsidRPr="00435C0B">
        <w:rPr>
          <w:rFonts w:eastAsia="Calibri"/>
          <w:color w:val="FFFFFF" w:themeColor="background1"/>
          <w:lang w:eastAsia="ru-RU"/>
        </w:rPr>
        <w:t xml:space="preserve">                                                                                                                   </w:t>
      </w:r>
      <w:r w:rsidRPr="00435C0B">
        <w:rPr>
          <w:rFonts w:eastAsia="Calibri"/>
          <w:color w:val="FFFFFF" w:themeColor="background1"/>
          <w:sz w:val="16"/>
          <w:szCs w:val="16"/>
          <w:lang w:eastAsia="ru-RU"/>
        </w:rPr>
        <w:t>(</w:t>
      </w:r>
      <w:proofErr w:type="spellStart"/>
      <w:r w:rsidRPr="00435C0B">
        <w:rPr>
          <w:rFonts w:eastAsia="Calibri"/>
          <w:color w:val="FFFFFF" w:themeColor="background1"/>
          <w:sz w:val="16"/>
          <w:szCs w:val="16"/>
          <w:lang w:eastAsia="ru-RU"/>
        </w:rPr>
        <w:t>semnătura</w:t>
      </w:r>
      <w:proofErr w:type="spellEnd"/>
      <w:r w:rsidRPr="00435C0B">
        <w:rPr>
          <w:rFonts w:eastAsia="Calibri"/>
          <w:color w:val="FFFFFF" w:themeColor="background1"/>
          <w:sz w:val="16"/>
          <w:szCs w:val="16"/>
          <w:lang w:eastAsia="ru-RU"/>
        </w:rPr>
        <w:t xml:space="preserve">)                                                </w:t>
      </w:r>
    </w:p>
    <w:p w:rsidR="00782CE5" w:rsidRPr="00435C0B" w:rsidRDefault="00782CE5" w:rsidP="00782CE5">
      <w:pPr>
        <w:rPr>
          <w:b/>
          <w:i/>
          <w:color w:val="FFFFFF" w:themeColor="background1"/>
          <w:sz w:val="12"/>
          <w:szCs w:val="12"/>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color w:val="FFFFFF" w:themeColor="background1"/>
          <w:sz w:val="4"/>
          <w:szCs w:val="4"/>
          <w:lang w:eastAsia="ru-RU"/>
        </w:rPr>
      </w:pPr>
    </w:p>
    <w:p w:rsidR="00782CE5" w:rsidRPr="00435C0B" w:rsidRDefault="00782CE5" w:rsidP="00782CE5">
      <w:pPr>
        <w:rPr>
          <w:sz w:val="4"/>
          <w:szCs w:val="4"/>
          <w:lang w:eastAsia="ru-RU"/>
        </w:rPr>
      </w:pPr>
    </w:p>
    <w:p w:rsidR="00782CE5" w:rsidRPr="00435C0B" w:rsidRDefault="00782CE5" w:rsidP="007F3285"/>
    <w:sectPr w:rsidR="00782CE5" w:rsidRPr="00435C0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C2"/>
    <w:rsid w:val="0006392F"/>
    <w:rsid w:val="0009582E"/>
    <w:rsid w:val="000C00EF"/>
    <w:rsid w:val="00111C52"/>
    <w:rsid w:val="00141FA1"/>
    <w:rsid w:val="00272BF7"/>
    <w:rsid w:val="002C48B6"/>
    <w:rsid w:val="00382C01"/>
    <w:rsid w:val="00432CE0"/>
    <w:rsid w:val="00435C0B"/>
    <w:rsid w:val="004B0DD8"/>
    <w:rsid w:val="005C340F"/>
    <w:rsid w:val="00695F37"/>
    <w:rsid w:val="006C7A48"/>
    <w:rsid w:val="00716C7C"/>
    <w:rsid w:val="00782CE5"/>
    <w:rsid w:val="007F3285"/>
    <w:rsid w:val="00812FC2"/>
    <w:rsid w:val="008E2A35"/>
    <w:rsid w:val="00AB1DE0"/>
    <w:rsid w:val="00BA5F31"/>
    <w:rsid w:val="00BC5E1A"/>
    <w:rsid w:val="00CE6DFB"/>
    <w:rsid w:val="00D06952"/>
    <w:rsid w:val="00D458DA"/>
    <w:rsid w:val="00DA01B7"/>
    <w:rsid w:val="00DF0317"/>
    <w:rsid w:val="00E36D80"/>
    <w:rsid w:val="00E7792A"/>
    <w:rsid w:val="00EC6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FC2"/>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792A"/>
    <w:rPr>
      <w:rFonts w:ascii="Tahoma" w:hAnsi="Tahoma" w:cs="Tahoma"/>
      <w:sz w:val="16"/>
      <w:szCs w:val="16"/>
    </w:rPr>
  </w:style>
  <w:style w:type="character" w:customStyle="1" w:styleId="a4">
    <w:name w:val="Текст выноски Знак"/>
    <w:basedOn w:val="a0"/>
    <w:link w:val="a3"/>
    <w:uiPriority w:val="99"/>
    <w:semiHidden/>
    <w:rsid w:val="00E7792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FC2"/>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792A"/>
    <w:rPr>
      <w:rFonts w:ascii="Tahoma" w:hAnsi="Tahoma" w:cs="Tahoma"/>
      <w:sz w:val="16"/>
      <w:szCs w:val="16"/>
    </w:rPr>
  </w:style>
  <w:style w:type="character" w:customStyle="1" w:styleId="a4">
    <w:name w:val="Текст выноски Знак"/>
    <w:basedOn w:val="a0"/>
    <w:link w:val="a3"/>
    <w:uiPriority w:val="99"/>
    <w:semiHidden/>
    <w:rsid w:val="00E7792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23CF0-547A-4ACD-B00C-AFCCA17D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10639</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Ana Bucur</cp:lastModifiedBy>
  <cp:revision>2</cp:revision>
  <cp:lastPrinted>2019-11-25T07:44:00Z</cp:lastPrinted>
  <dcterms:created xsi:type="dcterms:W3CDTF">2019-11-25T14:54:00Z</dcterms:created>
  <dcterms:modified xsi:type="dcterms:W3CDTF">2019-11-25T14:54:00Z</dcterms:modified>
</cp:coreProperties>
</file>