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22" w:rsidRPr="00315822" w:rsidRDefault="00315822" w:rsidP="00315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SINTEZA</w:t>
      </w:r>
    </w:p>
    <w:p w:rsidR="00315822" w:rsidRPr="00315822" w:rsidRDefault="00315822" w:rsidP="00315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proofErr w:type="spellStart"/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obiecţiilor</w:t>
      </w:r>
      <w:proofErr w:type="spellEnd"/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şi</w:t>
      </w:r>
      <w:proofErr w:type="spellEnd"/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propunerilor (recomandărilor)</w:t>
      </w:r>
    </w:p>
    <w:p w:rsidR="00F17932" w:rsidRPr="00315822" w:rsidRDefault="00315822" w:rsidP="00F1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la proiectul </w:t>
      </w:r>
      <w:proofErr w:type="spellStart"/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Hotărîrii</w:t>
      </w:r>
      <w:proofErr w:type="spellEnd"/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Guvernului cu privire la </w:t>
      </w:r>
      <w:r w:rsidR="00F1793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modificarea unor </w:t>
      </w:r>
      <w:proofErr w:type="spellStart"/>
      <w:r w:rsidR="00F1793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hotărîri</w:t>
      </w:r>
      <w:proofErr w:type="spellEnd"/>
      <w:r w:rsidR="00F1793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ale Guvernului</w:t>
      </w:r>
    </w:p>
    <w:p w:rsidR="00315822" w:rsidRPr="00315822" w:rsidRDefault="00315822" w:rsidP="00315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(</w:t>
      </w:r>
      <w:r w:rsidR="00F1793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61/MF/2020</w:t>
      </w:r>
      <w:r w:rsidRPr="0031582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)</w:t>
      </w:r>
    </w:p>
    <w:p w:rsidR="00315822" w:rsidRPr="00315822" w:rsidRDefault="00315822" w:rsidP="00315822">
      <w:pPr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2669"/>
        <w:gridCol w:w="3989"/>
        <w:gridCol w:w="3691"/>
      </w:tblGrid>
      <w:tr w:rsidR="00315822" w:rsidRPr="00315822" w:rsidTr="004139C9">
        <w:tc>
          <w:tcPr>
            <w:tcW w:w="2669" w:type="dxa"/>
          </w:tcPr>
          <w:p w:rsidR="00315822" w:rsidRPr="00315822" w:rsidRDefault="00315822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Participantul la avizare</w:t>
            </w:r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(expertizare)/consultare publică</w:t>
            </w:r>
          </w:p>
        </w:tc>
        <w:tc>
          <w:tcPr>
            <w:tcW w:w="3989" w:type="dxa"/>
          </w:tcPr>
          <w:p w:rsidR="00315822" w:rsidRPr="00315822" w:rsidRDefault="00315822" w:rsidP="00F17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Conţinutul</w:t>
            </w:r>
            <w:proofErr w:type="spellEnd"/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obiecţiei</w:t>
            </w:r>
            <w:proofErr w:type="spellEnd"/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/</w:t>
            </w:r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propunerii (recomandării)</w:t>
            </w: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</w:p>
        </w:tc>
        <w:tc>
          <w:tcPr>
            <w:tcW w:w="3691" w:type="dxa"/>
          </w:tcPr>
          <w:p w:rsidR="00315822" w:rsidRPr="00315822" w:rsidRDefault="00315822" w:rsidP="00413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</w:t>
            </w:r>
            <w:r w:rsidRPr="003158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autorului proiectului</w:t>
            </w: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</w:p>
        </w:tc>
      </w:tr>
      <w:tr w:rsidR="00315822" w:rsidRPr="00315822" w:rsidTr="004139C9">
        <w:tc>
          <w:tcPr>
            <w:tcW w:w="2669" w:type="dxa"/>
          </w:tcPr>
          <w:p w:rsidR="00315822" w:rsidRPr="00315822" w:rsidRDefault="00315822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Cancelaria de Stat</w:t>
            </w:r>
          </w:p>
        </w:tc>
        <w:tc>
          <w:tcPr>
            <w:tcW w:w="3989" w:type="dxa"/>
          </w:tcPr>
          <w:p w:rsidR="00315822" w:rsidRDefault="00315822" w:rsidP="003158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conformitate cu art.30 din Legea nr.100/2017 cu privire la actele normative, propunem ajustarea notei informative la compartimentele:</w:t>
            </w:r>
          </w:p>
          <w:p w:rsidR="00315822" w:rsidRDefault="00315822" w:rsidP="003158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 condițiile</w:t>
            </w:r>
            <w:r w:rsidRPr="003158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ce au impus elaborarea proiectului </w:t>
            </w:r>
            <w:proofErr w:type="spellStart"/>
            <w:r w:rsidRPr="003158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şi</w:t>
            </w:r>
            <w:proofErr w:type="spellEnd"/>
            <w:r w:rsidRPr="003158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finalitățile urmărite</w:t>
            </w: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cu prezentarea unor informații suplimentare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privind </w:t>
            </w: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”comasarea unor subdiviziuni separate într-o subdiviziune sau modificarea denumirii unor subdiviziuni”</w:t>
            </w:r>
            <w:r w:rsidRPr="00315822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;</w:t>
            </w:r>
          </w:p>
          <w:p w:rsidR="00315822" w:rsidRPr="00315822" w:rsidRDefault="00315822" w:rsidP="003158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- </w:t>
            </w:r>
            <w:r w:rsidRPr="0031582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fundamentarea </w:t>
            </w:r>
            <w:proofErr w:type="spellStart"/>
            <w:r w:rsidRPr="0031582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economico</w:t>
            </w:r>
            <w:proofErr w:type="spellEnd"/>
            <w:r w:rsidRPr="00315822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-financiară, </w:t>
            </w: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deoarece, deși autorul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menționează</w:t>
            </w: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că adoptarea proiectului de </w:t>
            </w:r>
            <w:proofErr w:type="spellStart"/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hotărîre</w:t>
            </w:r>
            <w:proofErr w:type="spellEnd"/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nu implică cheltuieli financiare  suplimentare din bugetul de stat, practica arată că s</w:t>
            </w:r>
            <w:r w:rsidRPr="003158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chimbările de structură și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de </w:t>
            </w:r>
            <w:r w:rsidRPr="003158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>reorganizare a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 autorităților publice presupun</w:t>
            </w:r>
            <w:r w:rsidRPr="003158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 și achitarea garanțiilor sociale pentru funcționarii publici care vor refuza transferul.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>Totodată, c</w:t>
            </w:r>
            <w:r w:rsidRPr="003158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heltuieli suplimentare vor fi și din motivul că, în conformitate cu Legea nr.270/2018 privind sistemul unitar de salarizare în sistemul bugetar, funcționarii publici din autoritățile publice din subordinea ministerelor au clase de salarizare mai mici </w:t>
            </w:r>
            <w:proofErr w:type="spellStart"/>
            <w:r w:rsidRPr="003158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>decît</w:t>
            </w:r>
            <w:proofErr w:type="spellEnd"/>
            <w:r w:rsidRPr="003158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 funcționarii publici din ministere.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Subsecvent, evocăm că, vor interveni costuri suplimentare inclusiv în contextul că proiectul prevede modificări în </w:t>
            </w:r>
            <w:r w:rsidRPr="003158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structura aparatului Ministerului Finanțelor, cum ar fi crearea unor subdiviziuni noi (Serviciul integritate instituțională),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sau </w:t>
            </w:r>
            <w:r w:rsidRPr="003158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>modificarea statutului subdiviziunii (Secția asistență externă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MD"/>
              </w:rPr>
              <w:t xml:space="preserve"> se va transforma în direcție).</w:t>
            </w:r>
          </w:p>
          <w:p w:rsidR="00315822" w:rsidRPr="00315822" w:rsidRDefault="00315822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691" w:type="dxa"/>
          </w:tcPr>
          <w:p w:rsidR="00315822" w:rsidRPr="00315822" w:rsidRDefault="00637660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</w:t>
            </w:r>
          </w:p>
        </w:tc>
      </w:tr>
      <w:tr w:rsidR="00315822" w:rsidRPr="00315822" w:rsidTr="004139C9">
        <w:tc>
          <w:tcPr>
            <w:tcW w:w="2669" w:type="dxa"/>
          </w:tcPr>
          <w:p w:rsidR="00315822" w:rsidRPr="00315822" w:rsidRDefault="00315822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1582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Ministerul Justiției</w:t>
            </w:r>
          </w:p>
        </w:tc>
        <w:tc>
          <w:tcPr>
            <w:tcW w:w="3989" w:type="dxa"/>
          </w:tcPr>
          <w:p w:rsidR="00315822" w:rsidRDefault="00F17932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Pct.2 din proiect se va revizui prin numerotarea propunerilor de modificare în conformitate cu art.52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alin.(3) din Legea nr.100/2017 cu privire la actele normative.</w:t>
            </w:r>
          </w:p>
          <w:p w:rsidR="00F17932" w:rsidRDefault="00F17932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907DB" w:rsidRPr="00315822" w:rsidRDefault="003907DB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Intrarea în vigoare a actului normativ la data publicării trebuie să fie argumentată în nota informativă.</w:t>
            </w:r>
          </w:p>
        </w:tc>
        <w:tc>
          <w:tcPr>
            <w:tcW w:w="3691" w:type="dxa"/>
          </w:tcPr>
          <w:p w:rsidR="00315822" w:rsidRDefault="003907DB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acceptă</w:t>
            </w:r>
          </w:p>
          <w:p w:rsidR="006F4D33" w:rsidRDefault="006F4D33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F4D33" w:rsidRDefault="006F4D33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F4D33" w:rsidRDefault="006F4D33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F4D33" w:rsidRDefault="006F4D33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F4D33" w:rsidRDefault="006F4D33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F4D33" w:rsidRPr="00315822" w:rsidRDefault="006F4D33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acceptă</w:t>
            </w:r>
          </w:p>
        </w:tc>
      </w:tr>
      <w:tr w:rsidR="00637660" w:rsidRPr="00315822" w:rsidTr="004139C9">
        <w:tc>
          <w:tcPr>
            <w:tcW w:w="2669" w:type="dxa"/>
          </w:tcPr>
          <w:p w:rsidR="00637660" w:rsidRPr="00315822" w:rsidRDefault="00637660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Centrul Național Anticorupție</w:t>
            </w:r>
          </w:p>
        </w:tc>
        <w:tc>
          <w:tcPr>
            <w:tcW w:w="3989" w:type="dxa"/>
          </w:tcPr>
          <w:p w:rsidR="00637660" w:rsidRDefault="00637660" w:rsidP="00C13C7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Există riscul periclitării desfășurării eficiente a activității Agenției Achiziții Publice prin diminuarea semnificativă a numărului de personal al acesteia.</w:t>
            </w:r>
          </w:p>
        </w:tc>
        <w:tc>
          <w:tcPr>
            <w:tcW w:w="3691" w:type="dxa"/>
          </w:tcPr>
          <w:p w:rsidR="00637660" w:rsidRDefault="00637660" w:rsidP="00390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 se acceptă</w:t>
            </w:r>
          </w:p>
          <w:p w:rsidR="00637660" w:rsidRDefault="00637660" w:rsidP="004139C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elaborarea proiectului </w:t>
            </w:r>
            <w:r w:rsidR="004139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fost determinat numărul de personal, necesar pentru continuarea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activității </w:t>
            </w:r>
            <w:r w:rsidR="004139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eficiente 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Agenției Achiziții Publice. </w:t>
            </w:r>
            <w:bookmarkStart w:id="0" w:name="_GoBack"/>
            <w:bookmarkEnd w:id="0"/>
          </w:p>
          <w:p w:rsidR="004139C9" w:rsidRPr="008F5F29" w:rsidRDefault="004139C9" w:rsidP="008F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 de altă, necesitatea de majorare a statelor de personal la Ministerul Finanțelor este </w:t>
            </w:r>
            <w:r w:rsidR="008F5F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condiționată de faptul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că, în urma reformei administrației publice centrale din anul 2017, numărul personalului Min</w:t>
            </w:r>
            <w:r w:rsidR="008F5F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isterului Finanțelor a fost micș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</w:t>
            </w:r>
            <w:r w:rsidR="008F5F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at de la 540 de unități la 317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fiind totodată </w:t>
            </w:r>
            <w:r w:rsidR="008F5F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menținute atribuțiile, precum și acordate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atribuții noi, cum ar </w:t>
            </w:r>
            <w:r w:rsidR="008F5F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elaborarea politicii în cadrul Programului de stat ”Prima casă” și implementarea acesteia, trecerea domeniului de asistență tehnică externă etc.</w:t>
            </w:r>
          </w:p>
        </w:tc>
      </w:tr>
    </w:tbl>
    <w:p w:rsidR="00315822" w:rsidRPr="00315822" w:rsidRDefault="00315822" w:rsidP="00315822">
      <w:pPr>
        <w:rPr>
          <w:sz w:val="24"/>
          <w:szCs w:val="24"/>
          <w:lang w:val="ro-MD"/>
        </w:rPr>
      </w:pPr>
    </w:p>
    <w:p w:rsidR="00183B5C" w:rsidRPr="00315822" w:rsidRDefault="00183B5C">
      <w:pPr>
        <w:rPr>
          <w:sz w:val="24"/>
          <w:szCs w:val="24"/>
          <w:lang w:val="ro-MD"/>
        </w:rPr>
      </w:pPr>
    </w:p>
    <w:sectPr w:rsidR="00183B5C" w:rsidRPr="00315822" w:rsidSect="004240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CC6"/>
    <w:multiLevelType w:val="hybridMultilevel"/>
    <w:tmpl w:val="CE2042CC"/>
    <w:lvl w:ilvl="0" w:tplc="5A609B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F9"/>
    <w:rsid w:val="001050F9"/>
    <w:rsid w:val="00183B5C"/>
    <w:rsid w:val="00315822"/>
    <w:rsid w:val="003907DB"/>
    <w:rsid w:val="004139C9"/>
    <w:rsid w:val="0042405B"/>
    <w:rsid w:val="005967A2"/>
    <w:rsid w:val="00637660"/>
    <w:rsid w:val="006F4D33"/>
    <w:rsid w:val="007F2BE1"/>
    <w:rsid w:val="008F5F29"/>
    <w:rsid w:val="00F0236E"/>
    <w:rsid w:val="00F1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D24C"/>
  <w15:chartTrackingRefBased/>
  <w15:docId w15:val="{A0E172F5-3630-4F8E-A1B5-F8AB0F91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822"/>
    <w:pPr>
      <w:spacing w:after="0" w:line="240" w:lineRule="auto"/>
      <w:ind w:left="720"/>
      <w:contextualSpacing/>
    </w:pPr>
    <w:rPr>
      <w:lang w:val="ro-RO"/>
    </w:rPr>
  </w:style>
  <w:style w:type="character" w:styleId="a5">
    <w:name w:val="annotation reference"/>
    <w:basedOn w:val="a0"/>
    <w:uiPriority w:val="99"/>
    <w:semiHidden/>
    <w:unhideWhenUsed/>
    <w:rsid w:val="003158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582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582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158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1582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1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5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7</cp:revision>
  <cp:lastPrinted>2020-02-19T11:09:00Z</cp:lastPrinted>
  <dcterms:created xsi:type="dcterms:W3CDTF">2020-02-14T10:25:00Z</dcterms:created>
  <dcterms:modified xsi:type="dcterms:W3CDTF">2020-02-19T11:10:00Z</dcterms:modified>
</cp:coreProperties>
</file>