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2C8" w:rsidRDefault="003502C8" w:rsidP="003502C8">
      <w:pPr>
        <w:pStyle w:val="Antet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NOTĂ INFORMATIVĂ</w:t>
      </w:r>
    </w:p>
    <w:p w:rsidR="003502C8" w:rsidRDefault="003502C8" w:rsidP="003502C8">
      <w:pPr>
        <w:pStyle w:val="Antet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la</w:t>
      </w:r>
      <w:proofErr w:type="gram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proiectul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hotărîrii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Guvernului</w:t>
      </w:r>
      <w:proofErr w:type="spellEnd"/>
      <w:r>
        <w:rPr>
          <w:b/>
          <w:sz w:val="28"/>
          <w:szCs w:val="28"/>
          <w:lang w:val="en-US"/>
        </w:rPr>
        <w:t xml:space="preserve"> „</w:t>
      </w:r>
      <w:proofErr w:type="spellStart"/>
      <w:r>
        <w:rPr>
          <w:b/>
          <w:sz w:val="28"/>
          <w:szCs w:val="28"/>
          <w:lang w:val="en-US"/>
        </w:rPr>
        <w:t>Privind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aprobarea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cuantumului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salariului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mediu</w:t>
      </w:r>
      <w:proofErr w:type="spellEnd"/>
      <w:r>
        <w:rPr>
          <w:b/>
          <w:sz w:val="28"/>
          <w:szCs w:val="28"/>
          <w:lang w:val="en-US"/>
        </w:rPr>
        <w:t xml:space="preserve"> lunar </w:t>
      </w:r>
      <w:proofErr w:type="spellStart"/>
      <w:r>
        <w:rPr>
          <w:b/>
          <w:sz w:val="28"/>
          <w:szCs w:val="28"/>
          <w:lang w:val="en-US"/>
        </w:rPr>
        <w:t>pe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economie</w:t>
      </w:r>
      <w:proofErr w:type="spellEnd"/>
      <w:r>
        <w:rPr>
          <w:b/>
          <w:sz w:val="28"/>
          <w:szCs w:val="28"/>
          <w:lang w:val="en-US"/>
        </w:rPr>
        <w:t xml:space="preserve">, </w:t>
      </w:r>
      <w:proofErr w:type="spellStart"/>
      <w:r>
        <w:rPr>
          <w:b/>
          <w:sz w:val="28"/>
          <w:szCs w:val="28"/>
          <w:lang w:val="en-US"/>
        </w:rPr>
        <w:t>prognozat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pentru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anul</w:t>
      </w:r>
      <w:proofErr w:type="spellEnd"/>
      <w:r>
        <w:rPr>
          <w:b/>
          <w:sz w:val="28"/>
          <w:szCs w:val="28"/>
          <w:lang w:val="en-US"/>
        </w:rPr>
        <w:t xml:space="preserve"> 20</w:t>
      </w:r>
      <w:r w:rsidR="00DC5650">
        <w:rPr>
          <w:b/>
          <w:sz w:val="28"/>
          <w:szCs w:val="28"/>
          <w:lang w:val="en-US"/>
        </w:rPr>
        <w:t>20</w:t>
      </w:r>
      <w:r>
        <w:rPr>
          <w:b/>
          <w:sz w:val="28"/>
          <w:szCs w:val="28"/>
          <w:lang w:val="en-US"/>
        </w:rPr>
        <w:t>”</w:t>
      </w:r>
    </w:p>
    <w:p w:rsidR="003502C8" w:rsidRDefault="003502C8" w:rsidP="003502C8">
      <w:pPr>
        <w:jc w:val="center"/>
        <w:rPr>
          <w:sz w:val="28"/>
          <w:szCs w:val="28"/>
        </w:rPr>
      </w:pPr>
    </w:p>
    <w:tbl>
      <w:tblPr>
        <w:tblStyle w:val="GrilTabel"/>
        <w:tblW w:w="10065" w:type="dxa"/>
        <w:tblInd w:w="-176" w:type="dxa"/>
        <w:tblLook w:val="04A0"/>
      </w:tblPr>
      <w:tblGrid>
        <w:gridCol w:w="10065"/>
      </w:tblGrid>
      <w:tr w:rsidR="003502C8" w:rsidTr="003502C8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2C8" w:rsidRDefault="003502C8" w:rsidP="000D7333">
            <w:pPr>
              <w:pStyle w:val="Listparagraf"/>
              <w:numPr>
                <w:ilvl w:val="0"/>
                <w:numId w:val="1"/>
              </w:num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Denumirea autorului și, după caz, a participanților la elaborarea proiectului</w:t>
            </w:r>
          </w:p>
          <w:p w:rsidR="003502C8" w:rsidRDefault="003502C8" w:rsidP="00DC56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Proiectul hotărârii Guvernului „Privind aprobarea cuantumului salariului mediu lunar pe economie, prognozat pentru anul 20</w:t>
            </w:r>
            <w:r w:rsidR="00DC5650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” este elaborat de către Ministerul Sănătății, Muncii și Protecției Sociale, fiind responsabil de politica salarială în sectorul real.</w:t>
            </w:r>
          </w:p>
        </w:tc>
      </w:tr>
      <w:tr w:rsidR="003502C8" w:rsidTr="003502C8">
        <w:trPr>
          <w:trHeight w:val="3320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2C8" w:rsidRDefault="003502C8" w:rsidP="000D7333">
            <w:pPr>
              <w:pStyle w:val="Listparagraf"/>
              <w:numPr>
                <w:ilvl w:val="0"/>
                <w:numId w:val="1"/>
              </w:num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Condițiile ce au impus elaborarea proiectului actului normativ și finalitățile urmărite</w:t>
            </w:r>
          </w:p>
          <w:p w:rsidR="00441CBC" w:rsidRDefault="003502C8">
            <w:pPr>
              <w:pStyle w:val="Listparagraf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Proiectul de </w:t>
            </w:r>
            <w:proofErr w:type="spellStart"/>
            <w:r>
              <w:rPr>
                <w:sz w:val="28"/>
                <w:szCs w:val="28"/>
                <w:lang w:eastAsia="en-US"/>
              </w:rPr>
              <w:t>hotărîre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este elaborat în scopul: </w:t>
            </w:r>
          </w:p>
          <w:p w:rsidR="00AC7597" w:rsidRDefault="00AC7597">
            <w:pPr>
              <w:pStyle w:val="Listparagraf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- determinării plafon</w:t>
            </w:r>
            <w:r w:rsidR="006D1036">
              <w:rPr>
                <w:color w:val="000000"/>
                <w:sz w:val="28"/>
                <w:szCs w:val="28"/>
                <w:lang w:eastAsia="en-US"/>
              </w:rPr>
              <w:t>ului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bazei de calcul a indemnizațiilor de asigurări sociale;</w:t>
            </w:r>
          </w:p>
          <w:p w:rsidR="003502C8" w:rsidRDefault="003502C8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- calculării contribuțiilor de asigurări sociale de stat obligatorii de către angajator pentru asigurarea socială a angajaților</w:t>
            </w:r>
            <w:r w:rsidR="00B44B9B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săi, care întrunesc condițiile stipulate în art. 24 alin.(21) din Legea nr.1164/1997 pentru punerea în aplicare a titlurilor I și II ale Codului fiscal;</w:t>
            </w:r>
          </w:p>
          <w:p w:rsidR="003502C8" w:rsidRDefault="00B44B9B" w:rsidP="00B44B9B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- calculării</w:t>
            </w:r>
            <w:r w:rsidR="003502C8">
              <w:rPr>
                <w:color w:val="000000"/>
                <w:sz w:val="28"/>
                <w:szCs w:val="28"/>
                <w:lang w:eastAsia="en-US"/>
              </w:rPr>
              <w:t xml:space="preserve"> contribuțiilor de asigurări sociale de stat obligatorii din ajutorul material acordat din mijloacele sindicatelor și patronatelor din sumele ce depășesc salariul mediu lunar pe economie, prognozat pentru anul 20</w:t>
            </w:r>
            <w:r w:rsidR="006445A1">
              <w:rPr>
                <w:color w:val="000000"/>
                <w:sz w:val="28"/>
                <w:szCs w:val="28"/>
                <w:lang w:eastAsia="en-US"/>
              </w:rPr>
              <w:t>20</w:t>
            </w:r>
            <w:r w:rsidR="003502C8">
              <w:rPr>
                <w:color w:val="000000"/>
                <w:sz w:val="28"/>
                <w:szCs w:val="28"/>
                <w:lang w:eastAsia="en-US"/>
              </w:rPr>
              <w:t>.</w:t>
            </w:r>
          </w:p>
        </w:tc>
      </w:tr>
      <w:tr w:rsidR="003502C8" w:rsidTr="003502C8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2C8" w:rsidRDefault="003502C8" w:rsidP="000D7333">
            <w:pPr>
              <w:pStyle w:val="Listparagraf"/>
              <w:numPr>
                <w:ilvl w:val="0"/>
                <w:numId w:val="1"/>
              </w:num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Descrierea gradului de compatibilitate pentru proiectele care au ca scop armonizarea legislației naționale cu legislația Uniunii Europene</w:t>
            </w:r>
          </w:p>
          <w:p w:rsidR="003502C8" w:rsidRDefault="003502C8">
            <w:pPr>
              <w:rPr>
                <w:sz w:val="28"/>
                <w:szCs w:val="28"/>
                <w:lang w:eastAsia="en-US"/>
              </w:rPr>
            </w:pPr>
          </w:p>
        </w:tc>
      </w:tr>
      <w:tr w:rsidR="003502C8" w:rsidTr="003502C8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2C8" w:rsidRDefault="003502C8" w:rsidP="000D7333">
            <w:pPr>
              <w:pStyle w:val="Listparagraf"/>
              <w:numPr>
                <w:ilvl w:val="0"/>
                <w:numId w:val="1"/>
              </w:num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Principalele prevederi ale proiectului și evidențierea elementelor noi</w:t>
            </w:r>
          </w:p>
          <w:p w:rsidR="003502C8" w:rsidRDefault="003502C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Proiectul de </w:t>
            </w:r>
            <w:proofErr w:type="spellStart"/>
            <w:r>
              <w:rPr>
                <w:sz w:val="28"/>
                <w:szCs w:val="28"/>
                <w:lang w:eastAsia="en-US"/>
              </w:rPr>
              <w:t>hotărîre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este elaborat în scopul utilizării în modul stabilit de legislație a cuantumului salariului mediu lunar pe economie, prognozat pentru anul 20</w:t>
            </w:r>
            <w:r w:rsidR="00DC5650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</w:p>
          <w:p w:rsidR="003502C8" w:rsidRDefault="003502C8" w:rsidP="003E351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În proiect se propune stabilirea cuantumului salariului mediu lunar pe economie, prognozat pentru anul 20</w:t>
            </w:r>
            <w:r w:rsidR="00DC5650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 xml:space="preserve"> în mărime de </w:t>
            </w:r>
            <w:r w:rsidR="003E3511">
              <w:rPr>
                <w:sz w:val="28"/>
                <w:szCs w:val="28"/>
                <w:lang w:eastAsia="en-US"/>
              </w:rPr>
              <w:t xml:space="preserve">7953 </w:t>
            </w:r>
            <w:r>
              <w:rPr>
                <w:sz w:val="28"/>
                <w:szCs w:val="28"/>
                <w:lang w:eastAsia="en-US"/>
              </w:rPr>
              <w:t>lei, conform prognozei indicatorilor macroeconomici pentru anii 20</w:t>
            </w:r>
            <w:r w:rsidR="00DC5650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-202</w:t>
            </w:r>
            <w:r w:rsidR="00DC5650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 xml:space="preserve">, estimate de către Ministerul Economiei și Infrastructurii.  </w:t>
            </w:r>
          </w:p>
        </w:tc>
      </w:tr>
      <w:tr w:rsidR="003502C8" w:rsidTr="003502C8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2C8" w:rsidRDefault="003502C8" w:rsidP="000D7333">
            <w:pPr>
              <w:pStyle w:val="Listparagraf"/>
              <w:numPr>
                <w:ilvl w:val="0"/>
                <w:numId w:val="1"/>
              </w:num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Fundamentarea economico-financiară</w:t>
            </w:r>
          </w:p>
          <w:p w:rsidR="003502C8" w:rsidRDefault="003502C8" w:rsidP="00006D3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Implementarea prevederilor proiectului nu necesită mijloace financiare suplimentare.</w:t>
            </w:r>
          </w:p>
        </w:tc>
      </w:tr>
      <w:tr w:rsidR="003502C8" w:rsidTr="003502C8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2C8" w:rsidRDefault="003502C8" w:rsidP="000D7333">
            <w:pPr>
              <w:pStyle w:val="Listparagraf"/>
              <w:numPr>
                <w:ilvl w:val="0"/>
                <w:numId w:val="1"/>
              </w:num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Modul de încorporare  a actului în cadrul normativ în vigoare</w:t>
            </w:r>
          </w:p>
          <w:p w:rsidR="003502C8" w:rsidRDefault="003502C8" w:rsidP="00006D3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Implementarea prevederilor proiectului nu necesită elaborarea altor acte normative.</w:t>
            </w:r>
          </w:p>
        </w:tc>
      </w:tr>
      <w:tr w:rsidR="003502C8" w:rsidTr="003502C8">
        <w:trPr>
          <w:trHeight w:val="418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2C8" w:rsidRDefault="003502C8" w:rsidP="000D7333">
            <w:pPr>
              <w:pStyle w:val="Listparagraf"/>
              <w:numPr>
                <w:ilvl w:val="0"/>
                <w:numId w:val="1"/>
              </w:num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Avizarea și consultarea publică a proiectului</w:t>
            </w:r>
          </w:p>
          <w:p w:rsidR="003502C8" w:rsidRDefault="003502C8" w:rsidP="00DC565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În scopul respectării prevederilor Legii nr.239/2008 privind transparența în procesul decizional, proiectul hotărârii Guvernului „Privind aprobarea cuantumului salariului mediu lunar pe economie, prognozat pentru anul 20</w:t>
            </w:r>
            <w:r w:rsidR="00DC5650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” este plasat pe pagina web oficială a Ministerului Sănătății, Muncii și Protecției Sociale (</w:t>
            </w:r>
            <w:hyperlink r:id="rId5" w:history="1">
              <w:r>
                <w:rPr>
                  <w:rStyle w:val="Hyperlink"/>
                  <w:sz w:val="28"/>
                  <w:szCs w:val="28"/>
                  <w:lang w:eastAsia="en-US"/>
                </w:rPr>
                <w:t>www.msmps.gov.md</w:t>
              </w:r>
            </w:hyperlink>
            <w:r>
              <w:rPr>
                <w:sz w:val="28"/>
                <w:szCs w:val="28"/>
                <w:lang w:eastAsia="en-US"/>
              </w:rPr>
              <w:t xml:space="preserve">), directoriul „Transparență”, secțiunea „Proiecte supuse </w:t>
            </w:r>
            <w:r>
              <w:rPr>
                <w:sz w:val="28"/>
                <w:szCs w:val="28"/>
                <w:lang w:eastAsia="en-US"/>
              </w:rPr>
              <w:lastRenderedPageBreak/>
              <w:t>consultărilor publice”.</w:t>
            </w:r>
          </w:p>
        </w:tc>
      </w:tr>
      <w:tr w:rsidR="003502C8" w:rsidTr="003502C8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2C8" w:rsidRDefault="003502C8" w:rsidP="00DC5650">
            <w:pPr>
              <w:pStyle w:val="Listparagraf"/>
              <w:numPr>
                <w:ilvl w:val="0"/>
                <w:numId w:val="1"/>
              </w:num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Constatările expertizei anticorupție</w:t>
            </w:r>
          </w:p>
          <w:p w:rsidR="00DC5650" w:rsidRPr="00DC5650" w:rsidRDefault="00DC5650" w:rsidP="00DC5650">
            <w:pPr>
              <w:pStyle w:val="Listparagraf"/>
              <w:ind w:left="751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3502C8" w:rsidTr="003502C8">
        <w:trPr>
          <w:trHeight w:val="500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2C8" w:rsidRDefault="003502C8" w:rsidP="000D7333">
            <w:pPr>
              <w:pStyle w:val="Listparagraf"/>
              <w:numPr>
                <w:ilvl w:val="0"/>
                <w:numId w:val="1"/>
              </w:num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Consultările expertizei de compatibilitate</w:t>
            </w:r>
          </w:p>
        </w:tc>
      </w:tr>
      <w:tr w:rsidR="003502C8" w:rsidTr="003502C8">
        <w:trPr>
          <w:trHeight w:val="70"/>
        </w:trPr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2C8" w:rsidRDefault="003502C8" w:rsidP="000D7333">
            <w:pPr>
              <w:pStyle w:val="Listparagraf"/>
              <w:numPr>
                <w:ilvl w:val="0"/>
                <w:numId w:val="1"/>
              </w:num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Constatările expertizei juridice</w:t>
            </w:r>
          </w:p>
          <w:p w:rsidR="003502C8" w:rsidRDefault="003502C8">
            <w:pPr>
              <w:rPr>
                <w:sz w:val="28"/>
                <w:szCs w:val="28"/>
                <w:lang w:eastAsia="en-US"/>
              </w:rPr>
            </w:pPr>
          </w:p>
        </w:tc>
      </w:tr>
      <w:tr w:rsidR="003502C8" w:rsidTr="003502C8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2C8" w:rsidRDefault="003502C8" w:rsidP="000D7333">
            <w:pPr>
              <w:pStyle w:val="Listparagraf"/>
              <w:numPr>
                <w:ilvl w:val="0"/>
                <w:numId w:val="1"/>
              </w:num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Constatările </w:t>
            </w:r>
          </w:p>
          <w:p w:rsidR="003502C8" w:rsidRDefault="003502C8">
            <w:pPr>
              <w:pStyle w:val="Listparagraf"/>
              <w:ind w:left="751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3502C8" w:rsidRDefault="003502C8" w:rsidP="003502C8">
      <w:pPr>
        <w:rPr>
          <w:b/>
          <w:sz w:val="28"/>
          <w:szCs w:val="28"/>
        </w:rPr>
      </w:pPr>
    </w:p>
    <w:p w:rsidR="00EB4D53" w:rsidRDefault="00EB4D53" w:rsidP="003502C8">
      <w:pPr>
        <w:rPr>
          <w:b/>
          <w:sz w:val="28"/>
          <w:szCs w:val="28"/>
        </w:rPr>
      </w:pPr>
    </w:p>
    <w:p w:rsidR="003502C8" w:rsidRDefault="00CD0FFB" w:rsidP="003502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EB4D53">
        <w:rPr>
          <w:b/>
          <w:sz w:val="28"/>
          <w:szCs w:val="28"/>
        </w:rPr>
        <w:t xml:space="preserve">Ministru                                         </w:t>
      </w:r>
      <w:r w:rsidR="003E3511">
        <w:rPr>
          <w:b/>
          <w:sz w:val="28"/>
          <w:szCs w:val="28"/>
        </w:rPr>
        <w:t xml:space="preserve">                      Viorica DUMBRĂVEANU</w:t>
      </w:r>
    </w:p>
    <w:sectPr w:rsidR="003502C8" w:rsidSect="00983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C1797"/>
    <w:multiLevelType w:val="hybridMultilevel"/>
    <w:tmpl w:val="B148A4D0"/>
    <w:lvl w:ilvl="0" w:tplc="0418000F">
      <w:start w:val="1"/>
      <w:numFmt w:val="decimal"/>
      <w:lvlText w:val="%1."/>
      <w:lvlJc w:val="left"/>
      <w:pPr>
        <w:ind w:left="751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2C8"/>
    <w:rsid w:val="00006D3A"/>
    <w:rsid w:val="00093A27"/>
    <w:rsid w:val="003502C8"/>
    <w:rsid w:val="003E3511"/>
    <w:rsid w:val="00441CBC"/>
    <w:rsid w:val="006445A1"/>
    <w:rsid w:val="006668F8"/>
    <w:rsid w:val="006D1036"/>
    <w:rsid w:val="00983EF8"/>
    <w:rsid w:val="00AC7597"/>
    <w:rsid w:val="00B44B9B"/>
    <w:rsid w:val="00CD0FFB"/>
    <w:rsid w:val="00DA005E"/>
    <w:rsid w:val="00DC5650"/>
    <w:rsid w:val="00EB4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3502C8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iPriority w:val="99"/>
    <w:semiHidden/>
    <w:unhideWhenUsed/>
    <w:rsid w:val="003502C8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3502C8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3502C8"/>
    <w:pPr>
      <w:ind w:left="720"/>
      <w:contextualSpacing/>
    </w:pPr>
  </w:style>
  <w:style w:type="table" w:styleId="GrilTabel">
    <w:name w:val="Table Grid"/>
    <w:basedOn w:val="TabelNormal"/>
    <w:uiPriority w:val="59"/>
    <w:rsid w:val="003502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6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smps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429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 Social</dc:creator>
  <cp:keywords/>
  <dc:description/>
  <cp:lastModifiedBy>Asistent Social</cp:lastModifiedBy>
  <cp:revision>10</cp:revision>
  <dcterms:created xsi:type="dcterms:W3CDTF">2019-11-07T12:33:00Z</dcterms:created>
  <dcterms:modified xsi:type="dcterms:W3CDTF">2019-11-27T07:55:00Z</dcterms:modified>
</cp:coreProperties>
</file>