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B17AED" w:rsidRDefault="00615BBD" w:rsidP="00965410">
      <w:pPr>
        <w:pStyle w:val="Style1"/>
        <w:widowControl/>
        <w:spacing w:line="240" w:lineRule="auto"/>
        <w:ind w:left="389"/>
        <w:rPr>
          <w:rStyle w:val="FontStyle36"/>
          <w:lang w:val="ro-RO" w:eastAsia="ro-RO"/>
        </w:rPr>
      </w:pPr>
      <w:r w:rsidRPr="00B17AED">
        <w:rPr>
          <w:rStyle w:val="FontStyle36"/>
          <w:lang w:val="ro-RO" w:eastAsia="ro-RO"/>
        </w:rPr>
        <w:t xml:space="preserve">Analiza </w:t>
      </w:r>
      <w:r w:rsidR="00254029" w:rsidRPr="00B17AED">
        <w:rPr>
          <w:rStyle w:val="FontStyle36"/>
          <w:lang w:val="ro-RO" w:eastAsia="ro-RO"/>
        </w:rPr>
        <w:t>I</w:t>
      </w:r>
      <w:r w:rsidR="0030006C" w:rsidRPr="00B17AED">
        <w:rPr>
          <w:rStyle w:val="FontStyle36"/>
          <w:lang w:val="ro-RO" w:eastAsia="ro-RO"/>
        </w:rPr>
        <w:t xml:space="preserve">mpactului </w:t>
      </w:r>
      <w:r w:rsidR="00254029" w:rsidRPr="00B17AED">
        <w:rPr>
          <w:rStyle w:val="FontStyle36"/>
          <w:lang w:val="ro-RO" w:eastAsia="ro-RO"/>
        </w:rPr>
        <w:t>de Reglementare</w:t>
      </w:r>
      <w:r w:rsidRPr="00B17AED">
        <w:rPr>
          <w:rStyle w:val="FontStyle36"/>
          <w:lang w:val="ro-RO" w:eastAsia="ro-RO"/>
        </w:rPr>
        <w:t xml:space="preserve"> </w:t>
      </w:r>
    </w:p>
    <w:p w:rsidR="0030006C" w:rsidRPr="00B17AED" w:rsidRDefault="00615BBD" w:rsidP="00965410">
      <w:pPr>
        <w:pStyle w:val="Style1"/>
        <w:widowControl/>
        <w:spacing w:line="240" w:lineRule="auto"/>
        <w:ind w:left="389"/>
        <w:rPr>
          <w:rStyle w:val="FontStyle36"/>
          <w:lang w:val="ro-RO" w:eastAsia="ro-RO"/>
        </w:rPr>
      </w:pPr>
      <w:r w:rsidRPr="00B17AED">
        <w:rPr>
          <w:rStyle w:val="FontStyle36"/>
          <w:lang w:val="ro-RO" w:eastAsia="ro-RO"/>
        </w:rPr>
        <w:t xml:space="preserve">a proiectului </w:t>
      </w:r>
      <w:proofErr w:type="spellStart"/>
      <w:r w:rsidR="0013098B" w:rsidRPr="00B17AED">
        <w:rPr>
          <w:rStyle w:val="FontStyle36"/>
          <w:lang w:val="ro-RO" w:eastAsia="ro-RO"/>
        </w:rPr>
        <w:t>Hotărîrii</w:t>
      </w:r>
      <w:proofErr w:type="spellEnd"/>
      <w:r w:rsidR="0013098B" w:rsidRPr="00B17AED">
        <w:rPr>
          <w:rStyle w:val="FontStyle36"/>
          <w:lang w:val="ro-RO" w:eastAsia="ro-RO"/>
        </w:rPr>
        <w:t xml:space="preserve"> de Guvern </w:t>
      </w:r>
      <w:r w:rsidR="009474E8" w:rsidRPr="009474E8">
        <w:rPr>
          <w:rStyle w:val="FontStyle36"/>
          <w:lang w:val="ro-RO" w:eastAsia="ro-RO"/>
        </w:rPr>
        <w:t>cu privire la aprobarea proiectului de Lege pentru modificarea unor acte legislative</w:t>
      </w:r>
    </w:p>
    <w:p w:rsidR="00965410" w:rsidRPr="00B17AED" w:rsidRDefault="00965410" w:rsidP="00965410">
      <w:pPr>
        <w:pStyle w:val="Style1"/>
        <w:widowControl/>
        <w:spacing w:line="240" w:lineRule="auto"/>
        <w:ind w:left="389"/>
        <w:rPr>
          <w:rStyle w:val="FontStyle36"/>
          <w:lang w:val="ro-RO" w:eastAsia="ro-RO"/>
        </w:rPr>
      </w:pPr>
    </w:p>
    <w:p w:rsidR="00965410" w:rsidRPr="00B17AED" w:rsidRDefault="00965410" w:rsidP="00965410">
      <w:pPr>
        <w:pStyle w:val="Style1"/>
        <w:widowControl/>
        <w:spacing w:line="240" w:lineRule="auto"/>
        <w:ind w:left="389"/>
        <w:rPr>
          <w:sz w:val="2"/>
          <w:szCs w:val="2"/>
          <w:lang w:val="ro-RO"/>
        </w:rPr>
      </w:pPr>
    </w:p>
    <w:tbl>
      <w:tblPr>
        <w:tblStyle w:val="af0"/>
        <w:tblW w:w="9639" w:type="dxa"/>
        <w:tblInd w:w="108" w:type="dxa"/>
        <w:tblLayout w:type="fixed"/>
        <w:tblLook w:val="04A0" w:firstRow="1" w:lastRow="0" w:firstColumn="1" w:lastColumn="0" w:noHBand="0" w:noVBand="1"/>
      </w:tblPr>
      <w:tblGrid>
        <w:gridCol w:w="3106"/>
        <w:gridCol w:w="6518"/>
        <w:gridCol w:w="15"/>
      </w:tblGrid>
      <w:tr w:rsidR="0030006C" w:rsidRPr="00B17AED" w:rsidTr="00891B25">
        <w:trPr>
          <w:gridAfter w:val="1"/>
          <w:wAfter w:w="15" w:type="dxa"/>
        </w:trPr>
        <w:tc>
          <w:tcPr>
            <w:tcW w:w="3106" w:type="dxa"/>
          </w:tcPr>
          <w:p w:rsidR="0030006C" w:rsidRPr="00B17AED" w:rsidRDefault="0030006C" w:rsidP="00E41592">
            <w:pPr>
              <w:pStyle w:val="Style5"/>
              <w:widowControl/>
              <w:spacing w:line="274" w:lineRule="exact"/>
              <w:ind w:firstLine="0"/>
              <w:rPr>
                <w:rStyle w:val="FontStyle42"/>
                <w:lang w:val="ro-RO" w:eastAsia="ro-RO"/>
              </w:rPr>
            </w:pPr>
            <w:r w:rsidRPr="00B17AED">
              <w:rPr>
                <w:rStyle w:val="FontStyle42"/>
                <w:lang w:val="ro-RO" w:eastAsia="ro-RO"/>
              </w:rPr>
              <w:t>Titlul analizei impactului</w:t>
            </w:r>
          </w:p>
          <w:p w:rsidR="0030006C" w:rsidRPr="00B17AED" w:rsidRDefault="0030006C" w:rsidP="00E41592">
            <w:pPr>
              <w:pStyle w:val="Style4"/>
              <w:widowControl/>
              <w:spacing w:line="274" w:lineRule="exact"/>
              <w:rPr>
                <w:rStyle w:val="FontStyle43"/>
                <w:lang w:val="ro-RO" w:eastAsia="ro-RO"/>
              </w:rPr>
            </w:pPr>
            <w:r w:rsidRPr="00B17AED">
              <w:rPr>
                <w:rStyle w:val="FontStyle43"/>
                <w:lang w:val="ro-RO" w:eastAsia="ro-RO"/>
              </w:rPr>
              <w:t>(poate conţine titlul propunerii de act normativ)</w:t>
            </w:r>
          </w:p>
        </w:tc>
        <w:tc>
          <w:tcPr>
            <w:tcW w:w="6518" w:type="dxa"/>
          </w:tcPr>
          <w:p w:rsidR="0030006C" w:rsidRPr="00B17AED" w:rsidRDefault="0030006C" w:rsidP="004B34B8">
            <w:pPr>
              <w:pStyle w:val="Style5"/>
              <w:widowControl/>
              <w:spacing w:line="274" w:lineRule="exact"/>
              <w:jc w:val="both"/>
              <w:rPr>
                <w:rStyle w:val="FontStyle42"/>
                <w:lang w:val="ro-RO" w:eastAsia="ro-RO"/>
              </w:rPr>
            </w:pPr>
            <w:r w:rsidRPr="00B17AED">
              <w:rPr>
                <w:rStyle w:val="FontStyle42"/>
                <w:lang w:val="ro-RO" w:eastAsia="ro-RO"/>
              </w:rPr>
              <w:t xml:space="preserve">Analiza Impactului de Reglementare efectuată la proiectul de </w:t>
            </w:r>
            <w:proofErr w:type="spellStart"/>
            <w:r w:rsidR="004A2CE0" w:rsidRPr="00B17AED">
              <w:rPr>
                <w:rStyle w:val="FontStyle42"/>
                <w:lang w:val="ro-RO" w:eastAsia="ro-RO"/>
              </w:rPr>
              <w:t>Hotărîrii</w:t>
            </w:r>
            <w:proofErr w:type="spellEnd"/>
            <w:r w:rsidR="004A2CE0" w:rsidRPr="00B17AED">
              <w:rPr>
                <w:rStyle w:val="FontStyle42"/>
                <w:lang w:val="ro-RO" w:eastAsia="ro-RO"/>
              </w:rPr>
              <w:t xml:space="preserve"> de Guvern </w:t>
            </w:r>
            <w:r w:rsidR="009474E8" w:rsidRPr="009474E8">
              <w:rPr>
                <w:rStyle w:val="FontStyle42"/>
                <w:lang w:val="ro-RO" w:eastAsia="ro-RO"/>
              </w:rPr>
              <w:t>cu privire la aprobarea proiectului de Lege pentru modificarea unor acte legislative</w:t>
            </w:r>
          </w:p>
        </w:tc>
      </w:tr>
      <w:tr w:rsidR="0030006C" w:rsidRPr="00B17AED" w:rsidTr="00891B25">
        <w:trPr>
          <w:gridAfter w:val="1"/>
          <w:wAfter w:w="15" w:type="dxa"/>
        </w:trPr>
        <w:tc>
          <w:tcPr>
            <w:tcW w:w="3106" w:type="dxa"/>
          </w:tcPr>
          <w:p w:rsidR="0030006C" w:rsidRPr="00B17AED" w:rsidRDefault="0030006C" w:rsidP="00E41592">
            <w:pPr>
              <w:pStyle w:val="Style5"/>
              <w:widowControl/>
              <w:spacing w:line="240" w:lineRule="auto"/>
              <w:ind w:firstLine="0"/>
              <w:rPr>
                <w:rStyle w:val="FontStyle42"/>
                <w:lang w:val="ro-RO" w:eastAsia="ro-RO"/>
              </w:rPr>
            </w:pPr>
            <w:r w:rsidRPr="00B17AED">
              <w:rPr>
                <w:rStyle w:val="FontStyle42"/>
                <w:lang w:val="ro-RO" w:eastAsia="ro-RO"/>
              </w:rPr>
              <w:t>Data:</w:t>
            </w:r>
          </w:p>
        </w:tc>
        <w:tc>
          <w:tcPr>
            <w:tcW w:w="6518" w:type="dxa"/>
          </w:tcPr>
          <w:p w:rsidR="0030006C" w:rsidRPr="00B17AED" w:rsidRDefault="001110B7" w:rsidP="00E23EBF">
            <w:pPr>
              <w:pStyle w:val="Style5"/>
              <w:widowControl/>
              <w:spacing w:line="240" w:lineRule="auto"/>
              <w:ind w:left="734" w:hanging="734"/>
              <w:rPr>
                <w:rStyle w:val="FontStyle42"/>
                <w:lang w:val="ro-RO" w:eastAsia="ro-RO"/>
              </w:rPr>
            </w:pPr>
            <w:r w:rsidRPr="00B17AED">
              <w:rPr>
                <w:rStyle w:val="FontStyle42"/>
                <w:lang w:val="ro-RO" w:eastAsia="ro-RO"/>
              </w:rPr>
              <w:t>14.11.2019</w:t>
            </w:r>
          </w:p>
        </w:tc>
      </w:tr>
      <w:tr w:rsidR="0030006C" w:rsidRPr="00B17AED" w:rsidTr="00891B25">
        <w:trPr>
          <w:gridAfter w:val="1"/>
          <w:wAfter w:w="15" w:type="dxa"/>
        </w:trPr>
        <w:tc>
          <w:tcPr>
            <w:tcW w:w="3106" w:type="dxa"/>
          </w:tcPr>
          <w:p w:rsidR="0030006C" w:rsidRPr="00B17AED" w:rsidRDefault="0030006C" w:rsidP="00E41592">
            <w:pPr>
              <w:pStyle w:val="Style8"/>
              <w:widowControl/>
              <w:ind w:left="10" w:hanging="10"/>
              <w:rPr>
                <w:rStyle w:val="FontStyle42"/>
                <w:lang w:val="ro-RO" w:eastAsia="ro-RO"/>
              </w:rPr>
            </w:pPr>
            <w:r w:rsidRPr="00B17AED">
              <w:rPr>
                <w:rStyle w:val="FontStyle42"/>
                <w:lang w:val="ro-RO" w:eastAsia="ro-RO"/>
              </w:rPr>
              <w:t>Autoritatea administraţiei publice autor:</w:t>
            </w:r>
          </w:p>
        </w:tc>
        <w:tc>
          <w:tcPr>
            <w:tcW w:w="6518" w:type="dxa"/>
          </w:tcPr>
          <w:p w:rsidR="0030006C" w:rsidRPr="00B17AED" w:rsidRDefault="0030006C" w:rsidP="004B34B8">
            <w:pPr>
              <w:pStyle w:val="Style5"/>
              <w:widowControl/>
              <w:spacing w:line="240" w:lineRule="auto"/>
              <w:ind w:left="720" w:hanging="720"/>
              <w:jc w:val="both"/>
              <w:rPr>
                <w:rStyle w:val="FontStyle42"/>
                <w:lang w:val="ro-RO" w:eastAsia="ro-RO"/>
              </w:rPr>
            </w:pPr>
            <w:r w:rsidRPr="00B17AED">
              <w:rPr>
                <w:rStyle w:val="FontStyle42"/>
                <w:lang w:val="ro-RO" w:eastAsia="ro-RO"/>
              </w:rPr>
              <w:t>Ministerul Agriculturii, Dezvoltării Regionale și Mediului</w:t>
            </w:r>
          </w:p>
        </w:tc>
      </w:tr>
      <w:tr w:rsidR="0030006C" w:rsidRPr="00B17AED" w:rsidTr="00891B25">
        <w:trPr>
          <w:gridAfter w:val="1"/>
          <w:wAfter w:w="15" w:type="dxa"/>
        </w:trPr>
        <w:tc>
          <w:tcPr>
            <w:tcW w:w="3106" w:type="dxa"/>
          </w:tcPr>
          <w:p w:rsidR="0030006C" w:rsidRPr="00B17AED" w:rsidRDefault="0030006C" w:rsidP="00E41592">
            <w:pPr>
              <w:pStyle w:val="Style5"/>
              <w:widowControl/>
              <w:spacing w:line="240" w:lineRule="auto"/>
              <w:ind w:firstLine="0"/>
              <w:rPr>
                <w:rStyle w:val="FontStyle42"/>
                <w:lang w:val="ro-RO" w:eastAsia="ro-RO"/>
              </w:rPr>
            </w:pPr>
            <w:r w:rsidRPr="00B17AED">
              <w:rPr>
                <w:rStyle w:val="FontStyle42"/>
                <w:lang w:val="ro-RO" w:eastAsia="ro-RO"/>
              </w:rPr>
              <w:t>Subdiviziunea:</w:t>
            </w:r>
          </w:p>
        </w:tc>
        <w:tc>
          <w:tcPr>
            <w:tcW w:w="6518" w:type="dxa"/>
          </w:tcPr>
          <w:p w:rsidR="0030006C" w:rsidRPr="004B34B8" w:rsidRDefault="001B4C83" w:rsidP="004B34B8">
            <w:pPr>
              <w:pStyle w:val="Style5"/>
              <w:widowControl/>
              <w:spacing w:line="278" w:lineRule="exact"/>
              <w:ind w:firstLine="0"/>
              <w:jc w:val="both"/>
              <w:rPr>
                <w:rStyle w:val="FontStyle42"/>
                <w:lang w:val="ro-RO" w:eastAsia="ro-RO"/>
              </w:rPr>
            </w:pPr>
            <w:r w:rsidRPr="004B34B8">
              <w:rPr>
                <w:rStyle w:val="FontStyle42"/>
                <w:lang w:val="ro-RO" w:eastAsia="ro-RO"/>
              </w:rPr>
              <w:t>Direcția politici în domeniul medicină veterinară și siguranța alimentelor de origine animală</w:t>
            </w:r>
          </w:p>
        </w:tc>
      </w:tr>
      <w:tr w:rsidR="0030006C" w:rsidRPr="00B17AED" w:rsidTr="00891B25">
        <w:trPr>
          <w:gridAfter w:val="1"/>
          <w:wAfter w:w="15" w:type="dxa"/>
        </w:trPr>
        <w:tc>
          <w:tcPr>
            <w:tcW w:w="3106" w:type="dxa"/>
          </w:tcPr>
          <w:p w:rsidR="0030006C" w:rsidRPr="00B17AED" w:rsidRDefault="0030006C" w:rsidP="00E41592">
            <w:pPr>
              <w:pStyle w:val="Style8"/>
              <w:widowControl/>
              <w:ind w:left="5" w:hanging="5"/>
              <w:rPr>
                <w:rStyle w:val="FontStyle42"/>
                <w:lang w:val="ro-RO" w:eastAsia="ro-RO"/>
              </w:rPr>
            </w:pPr>
            <w:r w:rsidRPr="00B17AED">
              <w:rPr>
                <w:rStyle w:val="FontStyle42"/>
                <w:lang w:val="ro-RO" w:eastAsia="ro-RO"/>
              </w:rPr>
              <w:t>Persoana responsabilă şi informaţia de contact:</w:t>
            </w:r>
          </w:p>
        </w:tc>
        <w:tc>
          <w:tcPr>
            <w:tcW w:w="6518" w:type="dxa"/>
          </w:tcPr>
          <w:p w:rsidR="0030006C" w:rsidRPr="00B17AED" w:rsidRDefault="001B4C83" w:rsidP="00E41592">
            <w:pPr>
              <w:pStyle w:val="Style8"/>
              <w:widowControl/>
              <w:spacing w:line="274" w:lineRule="exact"/>
              <w:ind w:left="5" w:hanging="5"/>
              <w:rPr>
                <w:rStyle w:val="FontStyle42"/>
                <w:lang w:val="ro-RO" w:eastAsia="ro-RO"/>
              </w:rPr>
            </w:pPr>
            <w:r w:rsidRPr="00B17AED">
              <w:rPr>
                <w:rStyle w:val="FontStyle42"/>
                <w:lang w:val="ro-RO" w:eastAsia="ro-RO"/>
              </w:rPr>
              <w:t>Mereuță Albina</w:t>
            </w:r>
          </w:p>
          <w:p w:rsidR="001B4C83" w:rsidRPr="00B17AED" w:rsidRDefault="001B4C83" w:rsidP="00E41592">
            <w:pPr>
              <w:pStyle w:val="Style8"/>
              <w:widowControl/>
              <w:spacing w:line="274" w:lineRule="exact"/>
              <w:ind w:left="5" w:hanging="5"/>
              <w:rPr>
                <w:rStyle w:val="FontStyle42"/>
                <w:lang w:val="ro-RO" w:eastAsia="ro-RO"/>
              </w:rPr>
            </w:pPr>
            <w:r w:rsidRPr="00B17AED">
              <w:rPr>
                <w:rStyle w:val="FontStyle42"/>
                <w:lang w:val="ro-RO" w:eastAsia="ro-RO"/>
              </w:rPr>
              <w:t>Tel. 022 204 585, e-mail: albina.mereuta@madrm.gov.md</w:t>
            </w:r>
          </w:p>
        </w:tc>
      </w:tr>
      <w:tr w:rsidR="0030006C" w:rsidRPr="00B17AED" w:rsidTr="00A839D0">
        <w:trPr>
          <w:gridAfter w:val="1"/>
          <w:wAfter w:w="15" w:type="dxa"/>
          <w:trHeight w:val="351"/>
        </w:trPr>
        <w:tc>
          <w:tcPr>
            <w:tcW w:w="9624" w:type="dxa"/>
            <w:gridSpan w:val="2"/>
          </w:tcPr>
          <w:p w:rsidR="0030006C" w:rsidRPr="00B17AED" w:rsidRDefault="0030006C" w:rsidP="00E41592">
            <w:pPr>
              <w:pStyle w:val="Style5"/>
              <w:widowControl/>
              <w:spacing w:line="240" w:lineRule="auto"/>
              <w:ind w:firstLine="0"/>
              <w:rPr>
                <w:rStyle w:val="FontStyle42"/>
                <w:lang w:val="ro-RO" w:eastAsia="ro-RO"/>
              </w:rPr>
            </w:pPr>
            <w:r w:rsidRPr="00B17AED">
              <w:rPr>
                <w:rStyle w:val="FontStyle42"/>
                <w:lang w:val="ro-RO" w:eastAsia="ro-RO"/>
              </w:rPr>
              <w:t>Componentele analizei impactului de reglementare</w:t>
            </w:r>
          </w:p>
        </w:tc>
      </w:tr>
      <w:tr w:rsidR="00DC1912" w:rsidRPr="00B17AED" w:rsidTr="00891B25">
        <w:tc>
          <w:tcPr>
            <w:tcW w:w="9639" w:type="dxa"/>
            <w:gridSpan w:val="3"/>
          </w:tcPr>
          <w:p w:rsidR="00DC1912" w:rsidRPr="00B17AED" w:rsidRDefault="00DC1912" w:rsidP="00BB626C">
            <w:pPr>
              <w:pStyle w:val="Style9"/>
              <w:widowControl/>
              <w:spacing w:before="19" w:line="240" w:lineRule="auto"/>
              <w:ind w:firstLine="0"/>
              <w:rPr>
                <w:rStyle w:val="FontStyle43"/>
                <w:lang w:val="ro-RO" w:eastAsia="ro-RO"/>
              </w:rPr>
            </w:pPr>
            <w:r w:rsidRPr="00B17AED">
              <w:rPr>
                <w:rStyle w:val="FontStyle42"/>
                <w:lang w:val="ro-RO" w:eastAsia="ro-RO"/>
              </w:rPr>
              <w:t>1.Definirea problemei</w:t>
            </w:r>
            <w:r w:rsidRPr="00B17AED">
              <w:rPr>
                <w:rStyle w:val="FontStyle43"/>
                <w:lang w:val="ro-RO" w:eastAsia="ro-RO"/>
              </w:rPr>
              <w:t xml:space="preserve"> </w:t>
            </w:r>
          </w:p>
        </w:tc>
      </w:tr>
      <w:tr w:rsidR="00DC1912" w:rsidRPr="00B17AED" w:rsidTr="00F627C4">
        <w:trPr>
          <w:trHeight w:val="551"/>
        </w:trPr>
        <w:tc>
          <w:tcPr>
            <w:tcW w:w="9639" w:type="dxa"/>
            <w:gridSpan w:val="3"/>
          </w:tcPr>
          <w:p w:rsidR="00BE6FBE" w:rsidRPr="00B17AED" w:rsidRDefault="003E2628" w:rsidP="00BE6FBE">
            <w:pPr>
              <w:pStyle w:val="Style7"/>
              <w:widowControl/>
              <w:tabs>
                <w:tab w:val="left" w:leader="underscore" w:pos="9374"/>
              </w:tabs>
              <w:ind w:firstLine="601"/>
              <w:jc w:val="both"/>
              <w:rPr>
                <w:rStyle w:val="FontStyle43"/>
                <w:color w:val="000000" w:themeColor="text1"/>
                <w:lang w:val="ro-RO" w:eastAsia="ro-RO"/>
              </w:rPr>
            </w:pPr>
            <w:r>
              <w:rPr>
                <w:rStyle w:val="FontStyle43"/>
                <w:lang w:val="ro-RO" w:eastAsia="ro-RO"/>
              </w:rPr>
              <w:t xml:space="preserve">Nivelul scăzut de informare și însăși </w:t>
            </w:r>
            <w:r w:rsidRPr="00B17AED">
              <w:rPr>
                <w:rStyle w:val="FontStyle43"/>
                <w:color w:val="000000" w:themeColor="text1"/>
                <w:lang w:val="ro-RO" w:eastAsia="ro-RO"/>
              </w:rPr>
              <w:t>informarea incompletă a consumatorului</w:t>
            </w:r>
            <w:r>
              <w:rPr>
                <w:rStyle w:val="FontStyle43"/>
                <w:color w:val="000000" w:themeColor="text1"/>
                <w:lang w:val="ro-RO" w:eastAsia="ro-RO"/>
              </w:rPr>
              <w:t>, n</w:t>
            </w:r>
            <w:r w:rsidR="00DC1912" w:rsidRPr="00B17AED">
              <w:rPr>
                <w:rStyle w:val="FontStyle43"/>
                <w:lang w:val="ro-RO" w:eastAsia="ro-RO"/>
              </w:rPr>
              <w:t>ecorespunderea condiţiilor de etichetare a produselor alimentare cu cerinţele comunitare sunt problemele persistente la situația actuală în Republica Moldova pe domeniul respectiv.</w:t>
            </w:r>
            <w:r w:rsidR="00BE6FBE" w:rsidRPr="00B17AED">
              <w:rPr>
                <w:rStyle w:val="FontStyle43"/>
                <w:color w:val="FF0000"/>
                <w:lang w:val="ro-RO" w:eastAsia="ro-RO"/>
              </w:rPr>
              <w:t xml:space="preserve"> </w:t>
            </w:r>
          </w:p>
          <w:p w:rsidR="00B44622" w:rsidRPr="00B17AED" w:rsidRDefault="00BE6FBE" w:rsidP="00B44622">
            <w:pPr>
              <w:pStyle w:val="Style7"/>
              <w:widowControl/>
              <w:tabs>
                <w:tab w:val="left" w:leader="underscore" w:pos="9374"/>
              </w:tabs>
              <w:ind w:firstLine="601"/>
              <w:jc w:val="both"/>
              <w:rPr>
                <w:rStyle w:val="FontStyle43"/>
                <w:color w:val="000000" w:themeColor="text1"/>
                <w:lang w:val="ro-RO" w:eastAsia="ro-RO"/>
              </w:rPr>
            </w:pPr>
            <w:r w:rsidRPr="00B17AED">
              <w:rPr>
                <w:rStyle w:val="FontStyle43"/>
                <w:color w:val="000000" w:themeColor="text1"/>
                <w:lang w:val="ro-RO" w:eastAsia="ro-RO"/>
              </w:rPr>
              <w:t>În prezent s-au depistat mai multe impedimente și în implementarea Legii nr.279/2017 privind informarea consumatorului cu privire la produsele alimentare în special în ceea ce privește marcarea datei de fabricare și a datei durabilității minimale, prezentarea declarației nutriționale etc.</w:t>
            </w:r>
            <w:r w:rsidR="00B44622" w:rsidRPr="00B17AED">
              <w:rPr>
                <w:rStyle w:val="FontStyle43"/>
                <w:color w:val="000000" w:themeColor="text1"/>
                <w:lang w:val="ro-RO" w:eastAsia="ro-RO"/>
              </w:rPr>
              <w:t xml:space="preserve"> </w:t>
            </w:r>
          </w:p>
          <w:p w:rsidR="00AC487E" w:rsidRPr="00B17AED" w:rsidRDefault="006A13B0" w:rsidP="00B44622">
            <w:pPr>
              <w:pStyle w:val="Style7"/>
              <w:widowControl/>
              <w:tabs>
                <w:tab w:val="left" w:leader="underscore" w:pos="9374"/>
              </w:tabs>
              <w:ind w:firstLine="601"/>
              <w:jc w:val="both"/>
              <w:rPr>
                <w:rStyle w:val="FontStyle43"/>
                <w:color w:val="000000" w:themeColor="text1"/>
                <w:lang w:val="ro-RO" w:eastAsia="ro-RO"/>
              </w:rPr>
            </w:pPr>
            <w:r w:rsidRPr="00B17AED">
              <w:rPr>
                <w:rStyle w:val="FontStyle43"/>
                <w:color w:val="000000" w:themeColor="text1"/>
                <w:lang w:val="ro-RO" w:eastAsia="ro-RO"/>
              </w:rPr>
              <w:t>N</w:t>
            </w:r>
            <w:r w:rsidR="00AC487E" w:rsidRPr="00B17AED">
              <w:rPr>
                <w:rStyle w:val="FontStyle43"/>
                <w:color w:val="000000" w:themeColor="text1"/>
                <w:lang w:val="ro-RO" w:eastAsia="ro-RO"/>
              </w:rPr>
              <w:t xml:space="preserve">econformitățile legislației în ceea ce privește etichetarea produselor alimentare </w:t>
            </w:r>
            <w:r w:rsidRPr="00B17AED">
              <w:rPr>
                <w:rStyle w:val="FontStyle43"/>
                <w:color w:val="000000" w:themeColor="text1"/>
                <w:lang w:val="ro-RO" w:eastAsia="ro-RO"/>
              </w:rPr>
              <w:t>duce</w:t>
            </w:r>
            <w:r w:rsidR="00AC487E" w:rsidRPr="00B17AED">
              <w:rPr>
                <w:rStyle w:val="FontStyle43"/>
                <w:color w:val="000000" w:themeColor="text1"/>
                <w:lang w:val="ro-RO" w:eastAsia="ro-RO"/>
              </w:rPr>
              <w:t xml:space="preserve"> la </w:t>
            </w:r>
            <w:r w:rsidR="003E2628">
              <w:rPr>
                <w:rStyle w:val="FontStyle43"/>
                <w:color w:val="000000" w:themeColor="text1"/>
                <w:lang w:val="ro-RO" w:eastAsia="ro-RO"/>
              </w:rPr>
              <w:t>informarea necorespunzătoare</w:t>
            </w:r>
            <w:r w:rsidR="00AC487E" w:rsidRPr="00B17AED">
              <w:rPr>
                <w:rStyle w:val="FontStyle43"/>
                <w:color w:val="000000" w:themeColor="text1"/>
                <w:lang w:val="ro-RO" w:eastAsia="ro-RO"/>
              </w:rPr>
              <w:t xml:space="preserve"> a consumatorului, care </w:t>
            </w:r>
            <w:r w:rsidRPr="00B17AED">
              <w:rPr>
                <w:rStyle w:val="FontStyle43"/>
                <w:color w:val="000000" w:themeColor="text1"/>
                <w:lang w:val="ro-RO" w:eastAsia="ro-RO"/>
              </w:rPr>
              <w:t>este</w:t>
            </w:r>
            <w:r w:rsidR="00AC487E" w:rsidRPr="00B17AED">
              <w:rPr>
                <w:rStyle w:val="FontStyle43"/>
                <w:color w:val="000000" w:themeColor="text1"/>
                <w:lang w:val="ro-RO" w:eastAsia="ro-RO"/>
              </w:rPr>
              <w:t xml:space="preserve"> cauzat</w:t>
            </w:r>
            <w:r w:rsidRPr="00B17AED">
              <w:rPr>
                <w:rStyle w:val="FontStyle43"/>
                <w:color w:val="000000" w:themeColor="text1"/>
                <w:lang w:val="ro-RO" w:eastAsia="ro-RO"/>
              </w:rPr>
              <w:t>ă</w:t>
            </w:r>
            <w:r w:rsidR="00AC487E" w:rsidRPr="00B17AED">
              <w:rPr>
                <w:rStyle w:val="FontStyle43"/>
                <w:color w:val="000000" w:themeColor="text1"/>
                <w:lang w:val="ro-RO" w:eastAsia="ro-RO"/>
              </w:rPr>
              <w:t xml:space="preserve"> de unele viduri </w:t>
            </w:r>
            <w:r w:rsidRPr="00B17AED">
              <w:rPr>
                <w:rStyle w:val="FontStyle43"/>
                <w:color w:val="000000" w:themeColor="text1"/>
                <w:lang w:val="ro-RO" w:eastAsia="ro-RO"/>
              </w:rPr>
              <w:t xml:space="preserve">din legislația națională </w:t>
            </w:r>
            <w:r w:rsidR="00AC487E" w:rsidRPr="00B17AED">
              <w:rPr>
                <w:rStyle w:val="FontStyle43"/>
                <w:color w:val="000000" w:themeColor="text1"/>
                <w:lang w:val="ro-RO" w:eastAsia="ro-RO"/>
              </w:rPr>
              <w:t>ca exemplu modalitatea de menționare a datei de fabricare și a termenului de valabilitate pe ambalaj, modalitatea de indicare a datei durabilității minimale pentru diferite tipuri de produs în fu</w:t>
            </w:r>
            <w:r w:rsidRPr="00B17AED">
              <w:rPr>
                <w:rStyle w:val="FontStyle43"/>
                <w:color w:val="000000" w:themeColor="text1"/>
                <w:lang w:val="ro-RO" w:eastAsia="ro-RO"/>
              </w:rPr>
              <w:t>ncție de durata de valabilitate, etc.</w:t>
            </w:r>
          </w:p>
          <w:p w:rsidR="00AC487E" w:rsidRPr="00B17AED" w:rsidRDefault="00AC487E" w:rsidP="00B44622">
            <w:pPr>
              <w:pStyle w:val="Style7"/>
              <w:widowControl/>
              <w:tabs>
                <w:tab w:val="left" w:leader="underscore" w:pos="9374"/>
              </w:tabs>
              <w:ind w:firstLine="601"/>
              <w:jc w:val="both"/>
              <w:rPr>
                <w:rStyle w:val="FontStyle43"/>
                <w:color w:val="000000" w:themeColor="text1"/>
                <w:lang w:val="ro-RO" w:eastAsia="ro-RO"/>
              </w:rPr>
            </w:pPr>
            <w:r w:rsidRPr="00B17AED">
              <w:rPr>
                <w:rStyle w:val="FontStyle43"/>
                <w:color w:val="000000" w:themeColor="text1"/>
                <w:lang w:val="ro-RO" w:eastAsia="ro-RO"/>
              </w:rPr>
              <w:t xml:space="preserve">În același context, menționăm că de situația creată actualmente sunt afectați </w:t>
            </w:r>
            <w:proofErr w:type="spellStart"/>
            <w:r w:rsidRPr="00B17AED">
              <w:rPr>
                <w:rStyle w:val="FontStyle43"/>
                <w:color w:val="000000" w:themeColor="text1"/>
                <w:lang w:val="ro-RO" w:eastAsia="ro-RO"/>
              </w:rPr>
              <w:t>atît</w:t>
            </w:r>
            <w:proofErr w:type="spellEnd"/>
            <w:r w:rsidRPr="00B17AED">
              <w:rPr>
                <w:rStyle w:val="FontStyle43"/>
                <w:color w:val="000000" w:themeColor="text1"/>
                <w:lang w:val="ro-RO" w:eastAsia="ro-RO"/>
              </w:rPr>
              <w:t xml:space="preserve"> operatorii din domeniul alimentar </w:t>
            </w:r>
            <w:proofErr w:type="spellStart"/>
            <w:r w:rsidRPr="00B17AED">
              <w:rPr>
                <w:rStyle w:val="FontStyle43"/>
                <w:color w:val="000000" w:themeColor="text1"/>
                <w:lang w:val="ro-RO" w:eastAsia="ro-RO"/>
              </w:rPr>
              <w:t>cît</w:t>
            </w:r>
            <w:proofErr w:type="spellEnd"/>
            <w:r w:rsidRPr="00B17AED">
              <w:rPr>
                <w:rStyle w:val="FontStyle43"/>
                <w:color w:val="000000" w:themeColor="text1"/>
                <w:lang w:val="ro-RO" w:eastAsia="ro-RO"/>
              </w:rPr>
              <w:t xml:space="preserve"> și </w:t>
            </w:r>
            <w:r w:rsidR="00DF514A" w:rsidRPr="00B17AED">
              <w:rPr>
                <w:rStyle w:val="FontStyle43"/>
                <w:color w:val="000000" w:themeColor="text1"/>
                <w:lang w:val="ro-RO" w:eastAsia="ro-RO"/>
              </w:rPr>
              <w:t>consumatorii.</w:t>
            </w:r>
          </w:p>
          <w:p w:rsidR="00B44622" w:rsidRPr="00B17AED" w:rsidRDefault="00DF514A" w:rsidP="00B44622">
            <w:pPr>
              <w:pStyle w:val="Style7"/>
              <w:widowControl/>
              <w:tabs>
                <w:tab w:val="left" w:leader="underscore" w:pos="9374"/>
              </w:tabs>
              <w:ind w:firstLine="601"/>
              <w:jc w:val="both"/>
              <w:rPr>
                <w:rStyle w:val="FontStyle43"/>
                <w:color w:val="000000" w:themeColor="text1"/>
                <w:lang w:val="ro-RO" w:eastAsia="ro-RO"/>
              </w:rPr>
            </w:pPr>
            <w:r w:rsidRPr="00B17AED">
              <w:rPr>
                <w:rStyle w:val="FontStyle43"/>
                <w:color w:val="000000" w:themeColor="text1"/>
                <w:lang w:val="ro-RO" w:eastAsia="ro-RO"/>
              </w:rPr>
              <w:t>Totodată relatăm faptul că e</w:t>
            </w:r>
            <w:r w:rsidR="00B44622" w:rsidRPr="00B17AED">
              <w:rPr>
                <w:rStyle w:val="FontStyle43"/>
                <w:color w:val="000000" w:themeColor="text1"/>
                <w:lang w:val="ro-RO" w:eastAsia="ro-RO"/>
              </w:rPr>
              <w:t>tichetarea neconformă a produselor alimentare încalcă dreptul consumatorilor la informaţii privind protecţia sănătăţii şi utilizarea sigură a unui produs alimentar. În mod special, acestea se referă la informaţii privind data durabilităţii minimale, condiţiile de păstrare şi de siguranţă a utilizării, informaţii privind caracteristicile nutriţionale, care să permită consumatorilor, inclusiv celor care urmează un regim alimentar special, să aleagă în cunoştinţă de cauză.</w:t>
            </w:r>
          </w:p>
          <w:p w:rsidR="00BC4CDA" w:rsidRPr="00B17AED" w:rsidRDefault="00DF514A" w:rsidP="00BC4CDA">
            <w:pPr>
              <w:pStyle w:val="Style7"/>
              <w:widowControl/>
              <w:tabs>
                <w:tab w:val="left" w:leader="underscore" w:pos="9374"/>
              </w:tabs>
              <w:ind w:firstLine="601"/>
              <w:jc w:val="both"/>
              <w:rPr>
                <w:rStyle w:val="FontStyle43"/>
                <w:color w:val="000000" w:themeColor="text1"/>
                <w:lang w:val="ro-RO" w:eastAsia="ro-RO"/>
              </w:rPr>
            </w:pPr>
            <w:r w:rsidRPr="00B17AED">
              <w:rPr>
                <w:rStyle w:val="FontStyle43"/>
                <w:color w:val="000000" w:themeColor="text1"/>
                <w:lang w:val="ro-RO" w:eastAsia="ro-RO"/>
              </w:rPr>
              <w:t xml:space="preserve">Prevederile Anexei nr. X a Regulamentului 1169/2011 stabilește și modalitatea de etichetare a  datei de durabilitate minimală pentru produsele alimentare care după </w:t>
            </w:r>
            <w:r w:rsidR="00BC4CDA" w:rsidRPr="00B17AED">
              <w:rPr>
                <w:rStyle w:val="FontStyle43"/>
                <w:color w:val="000000" w:themeColor="text1"/>
                <w:lang w:val="ro-RO" w:eastAsia="ro-RO"/>
              </w:rPr>
              <w:t xml:space="preserve">tipul și </w:t>
            </w:r>
            <w:r w:rsidRPr="00B17AED">
              <w:rPr>
                <w:rStyle w:val="FontStyle43"/>
                <w:color w:val="000000" w:themeColor="text1"/>
                <w:lang w:val="ro-RO" w:eastAsia="ro-RO"/>
              </w:rPr>
              <w:t>compoziția acestora au o durată de valabilitate mai scurtă sau mai lungă. Astfel, lipsa acest</w:t>
            </w:r>
            <w:r w:rsidR="00BC4CDA" w:rsidRPr="00B17AED">
              <w:rPr>
                <w:rStyle w:val="FontStyle43"/>
                <w:color w:val="000000" w:themeColor="text1"/>
                <w:lang w:val="ro-RO" w:eastAsia="ro-RO"/>
              </w:rPr>
              <w:t>or</w:t>
            </w:r>
            <w:r w:rsidRPr="00B17AED">
              <w:rPr>
                <w:rStyle w:val="FontStyle43"/>
                <w:color w:val="000000" w:themeColor="text1"/>
                <w:lang w:val="ro-RO" w:eastAsia="ro-RO"/>
              </w:rPr>
              <w:t xml:space="preserve"> prevederi va complica într-o oarecare măsură etichetarea anumitor produse alimentare.</w:t>
            </w:r>
          </w:p>
          <w:p w:rsidR="00C06303" w:rsidRPr="00B17AED" w:rsidRDefault="00C06303" w:rsidP="00B44622">
            <w:pPr>
              <w:pStyle w:val="Style7"/>
              <w:widowControl/>
              <w:tabs>
                <w:tab w:val="left" w:leader="underscore" w:pos="9374"/>
              </w:tabs>
              <w:ind w:firstLine="601"/>
              <w:jc w:val="both"/>
              <w:rPr>
                <w:rStyle w:val="FontStyle43"/>
                <w:color w:val="000000" w:themeColor="text1"/>
                <w:lang w:val="ro-RO" w:eastAsia="ro-RO"/>
              </w:rPr>
            </w:pPr>
            <w:r w:rsidRPr="00B17AED">
              <w:rPr>
                <w:rStyle w:val="FontStyle43"/>
                <w:color w:val="000000" w:themeColor="text1"/>
                <w:lang w:val="ro-RO" w:eastAsia="ro-RO"/>
              </w:rPr>
              <w:t xml:space="preserve">O altă problemă identificată în prezent este imposibilitatea de a efectua determinările sau analizele de laborator pentru determinarea </w:t>
            </w:r>
            <w:proofErr w:type="spellStart"/>
            <w:r w:rsidRPr="00B17AED">
              <w:rPr>
                <w:rStyle w:val="FontStyle43"/>
                <w:color w:val="000000" w:themeColor="text1"/>
                <w:lang w:val="ro-RO" w:eastAsia="ro-RO"/>
              </w:rPr>
              <w:t>hidroxip</w:t>
            </w:r>
            <w:r w:rsidR="00671DFB" w:rsidRPr="00B17AED">
              <w:rPr>
                <w:rStyle w:val="FontStyle43"/>
                <w:color w:val="000000" w:themeColor="text1"/>
                <w:lang w:val="ro-RO" w:eastAsia="ro-RO"/>
              </w:rPr>
              <w:t>r</w:t>
            </w:r>
            <w:r w:rsidRPr="00B17AED">
              <w:rPr>
                <w:rStyle w:val="FontStyle43"/>
                <w:color w:val="000000" w:themeColor="text1"/>
                <w:lang w:val="ro-RO" w:eastAsia="ro-RO"/>
              </w:rPr>
              <w:t>olinei</w:t>
            </w:r>
            <w:proofErr w:type="spellEnd"/>
            <w:r w:rsidR="002975E9" w:rsidRPr="00B17AED">
              <w:rPr>
                <w:rStyle w:val="FontStyle43"/>
                <w:color w:val="000000" w:themeColor="text1"/>
                <w:lang w:val="ro-RO" w:eastAsia="ro-RO"/>
              </w:rPr>
              <w:t xml:space="preserve"> (conținutul de </w:t>
            </w:r>
            <w:proofErr w:type="spellStart"/>
            <w:r w:rsidR="002975E9" w:rsidRPr="00B17AED">
              <w:rPr>
                <w:rStyle w:val="FontStyle43"/>
                <w:color w:val="000000" w:themeColor="text1"/>
                <w:lang w:val="ro-RO" w:eastAsia="ro-RO"/>
              </w:rPr>
              <w:t>hidroxiprolină</w:t>
            </w:r>
            <w:proofErr w:type="spellEnd"/>
            <w:r w:rsidR="002975E9" w:rsidRPr="00B17AED">
              <w:rPr>
                <w:rStyle w:val="FontStyle43"/>
                <w:color w:val="000000" w:themeColor="text1"/>
                <w:lang w:val="ro-RO" w:eastAsia="ro-RO"/>
              </w:rPr>
              <w:t xml:space="preserve"> - utilizat ca indicator pentru a determina cantitatea de colagen și/sau gelatină</w:t>
            </w:r>
            <w:r w:rsidR="009C7399" w:rsidRPr="00B17AED">
              <w:rPr>
                <w:rStyle w:val="FontStyle43"/>
                <w:color w:val="000000" w:themeColor="text1"/>
                <w:lang w:val="ro-RO" w:eastAsia="ro-RO"/>
              </w:rPr>
              <w:t xml:space="preserve"> în ț</w:t>
            </w:r>
            <w:r w:rsidR="002975E9" w:rsidRPr="00B17AED">
              <w:rPr>
                <w:rStyle w:val="FontStyle43"/>
                <w:color w:val="000000" w:themeColor="text1"/>
                <w:lang w:val="ro-RO" w:eastAsia="ro-RO"/>
              </w:rPr>
              <w:t>esutul muscular</w:t>
            </w:r>
            <w:r w:rsidR="009C7399" w:rsidRPr="00B17AED">
              <w:rPr>
                <w:rStyle w:val="FontStyle43"/>
                <w:color w:val="000000" w:themeColor="text1"/>
                <w:lang w:val="ro-RO" w:eastAsia="ro-RO"/>
              </w:rPr>
              <w:t xml:space="preserve"> pentru produsele din carne</w:t>
            </w:r>
            <w:r w:rsidR="002975E9" w:rsidRPr="00B17AED">
              <w:rPr>
                <w:rStyle w:val="FontStyle43"/>
                <w:color w:val="000000" w:themeColor="text1"/>
                <w:lang w:val="ro-RO" w:eastAsia="ro-RO"/>
              </w:rPr>
              <w:t>)</w:t>
            </w:r>
            <w:r w:rsidRPr="00B17AED">
              <w:rPr>
                <w:rStyle w:val="FontStyle43"/>
                <w:color w:val="000000" w:themeColor="text1"/>
                <w:lang w:val="ro-RO" w:eastAsia="ro-RO"/>
              </w:rPr>
              <w:t>, necesar</w:t>
            </w:r>
            <w:r w:rsidR="009C7399" w:rsidRPr="00B17AED">
              <w:rPr>
                <w:rStyle w:val="FontStyle43"/>
                <w:color w:val="000000" w:themeColor="text1"/>
                <w:lang w:val="ro-RO" w:eastAsia="ro-RO"/>
              </w:rPr>
              <w:t>ă</w:t>
            </w:r>
            <w:r w:rsidRPr="00B17AED">
              <w:rPr>
                <w:rStyle w:val="FontStyle43"/>
                <w:color w:val="000000" w:themeColor="text1"/>
                <w:lang w:val="ro-RO" w:eastAsia="ro-RO"/>
              </w:rPr>
              <w:t xml:space="preserve"> pentru </w:t>
            </w:r>
            <w:r w:rsidR="008F308D" w:rsidRPr="00B17AED">
              <w:rPr>
                <w:rStyle w:val="FontStyle43"/>
                <w:color w:val="000000" w:themeColor="text1"/>
                <w:lang w:val="ro-RO" w:eastAsia="ro-RO"/>
              </w:rPr>
              <w:t xml:space="preserve">declararea </w:t>
            </w:r>
            <w:r w:rsidRPr="00B17AED">
              <w:rPr>
                <w:rStyle w:val="FontStyle43"/>
                <w:color w:val="000000" w:themeColor="text1"/>
                <w:lang w:val="ro-RO" w:eastAsia="ro-RO"/>
              </w:rPr>
              <w:t>nutrițional</w:t>
            </w:r>
            <w:r w:rsidR="009C7399" w:rsidRPr="00B17AED">
              <w:rPr>
                <w:rStyle w:val="FontStyle43"/>
                <w:color w:val="000000" w:themeColor="text1"/>
                <w:lang w:val="ro-RO" w:eastAsia="ro-RO"/>
              </w:rPr>
              <w:t>ă</w:t>
            </w:r>
            <w:r w:rsidRPr="00B17AED">
              <w:rPr>
                <w:rStyle w:val="FontStyle43"/>
                <w:color w:val="000000" w:themeColor="text1"/>
                <w:lang w:val="ro-RO" w:eastAsia="ro-RO"/>
              </w:rPr>
              <w:t xml:space="preserve"> a produsului alimentar</w:t>
            </w:r>
            <w:r w:rsidR="002975E9" w:rsidRPr="00B17AED">
              <w:rPr>
                <w:rStyle w:val="FontStyle43"/>
                <w:color w:val="000000" w:themeColor="text1"/>
                <w:lang w:val="ro-RO" w:eastAsia="ro-RO"/>
              </w:rPr>
              <w:t>.</w:t>
            </w:r>
            <w:r w:rsidR="009C7399" w:rsidRPr="00B17AED">
              <w:rPr>
                <w:rStyle w:val="FontStyle43"/>
                <w:color w:val="000000" w:themeColor="text1"/>
                <w:lang w:val="ro-RO" w:eastAsia="ro-RO"/>
              </w:rPr>
              <w:t xml:space="preserve"> Astfel, prezentul proiect de lege extinde termenul de intrare în vigoare a prevederilor ce țin de prezentarea declarației nutriționale pe etichetă</w:t>
            </w:r>
            <w:r w:rsidR="008F308D" w:rsidRPr="00B17AED">
              <w:rPr>
                <w:rStyle w:val="FontStyle43"/>
                <w:color w:val="000000" w:themeColor="text1"/>
                <w:lang w:val="ro-RO" w:eastAsia="ro-RO"/>
              </w:rPr>
              <w:t xml:space="preserve"> (prevederile art.41, alin.(1) din Legea nr.279/2017)</w:t>
            </w:r>
            <w:r w:rsidR="00D7619A" w:rsidRPr="00B17AED">
              <w:rPr>
                <w:rStyle w:val="FontStyle43"/>
                <w:color w:val="000000" w:themeColor="text1"/>
                <w:lang w:val="ro-RO" w:eastAsia="ro-RO"/>
              </w:rPr>
              <w:t>, pentru dotarea și</w:t>
            </w:r>
            <w:r w:rsidR="008F308D" w:rsidRPr="00B17AED">
              <w:rPr>
                <w:rStyle w:val="FontStyle43"/>
                <w:color w:val="000000" w:themeColor="text1"/>
                <w:lang w:val="ro-RO" w:eastAsia="ro-RO"/>
              </w:rPr>
              <w:t xml:space="preserve"> acreditarea laboratorului I.P ”Centru Republican de Diagnostic Veterinar” la metodele de analiză necesare de a fi efectuate pentru implementarea Legii nr.279/2017.</w:t>
            </w:r>
          </w:p>
          <w:p w:rsidR="00DC1912" w:rsidRPr="00B17AED" w:rsidRDefault="00BE6FBE" w:rsidP="00DD4797">
            <w:pPr>
              <w:pStyle w:val="Style7"/>
              <w:widowControl/>
              <w:tabs>
                <w:tab w:val="left" w:leader="underscore" w:pos="9374"/>
              </w:tabs>
              <w:ind w:firstLine="601"/>
              <w:jc w:val="both"/>
              <w:rPr>
                <w:rStyle w:val="FontStyle42"/>
                <w:b w:val="0"/>
                <w:lang w:val="ro-RO" w:eastAsia="ro-RO"/>
              </w:rPr>
            </w:pPr>
            <w:r w:rsidRPr="00B17AED">
              <w:rPr>
                <w:rStyle w:val="FontStyle43"/>
                <w:lang w:val="ro-RO" w:eastAsia="ro-RO"/>
              </w:rPr>
              <w:t>La fel, c</w:t>
            </w:r>
            <w:r w:rsidR="00DC1912" w:rsidRPr="00B17AED">
              <w:rPr>
                <w:rStyle w:val="FontStyle43"/>
                <w:lang w:val="ro-RO" w:eastAsia="ro-RO"/>
              </w:rPr>
              <w:t xml:space="preserve">a urmare aprobării Legii nr.306/2018 privind siguranța alimentelor se abrogă </w:t>
            </w:r>
            <w:r w:rsidR="00DC1912" w:rsidRPr="00B17AED">
              <w:rPr>
                <w:rStyle w:val="FontStyle42"/>
                <w:b w:val="0"/>
                <w:lang w:val="ro-RO" w:eastAsia="ro-RO"/>
              </w:rPr>
              <w:t xml:space="preserve">Legea nr.78/2004 și Legea nr.113/2012, </w:t>
            </w:r>
            <w:proofErr w:type="spellStart"/>
            <w:r w:rsidR="00DC1912" w:rsidRPr="00B17AED">
              <w:rPr>
                <w:rStyle w:val="FontStyle42"/>
                <w:b w:val="0"/>
                <w:lang w:val="ro-RO" w:eastAsia="ro-RO"/>
              </w:rPr>
              <w:t>întrucît</w:t>
            </w:r>
            <w:proofErr w:type="spellEnd"/>
            <w:r w:rsidR="00DC1912" w:rsidRPr="00B17AED">
              <w:rPr>
                <w:rStyle w:val="FontStyle42"/>
                <w:b w:val="0"/>
                <w:lang w:val="ro-RO" w:eastAsia="ro-RO"/>
              </w:rPr>
              <w:t xml:space="preserve"> actul nou aprobat cuprinde în sine prevederile ajustate a acestor 2 legi menționate.</w:t>
            </w:r>
          </w:p>
          <w:p w:rsidR="00DC1912" w:rsidRPr="00B17AED" w:rsidRDefault="00DC1912" w:rsidP="00DD4797">
            <w:pPr>
              <w:pStyle w:val="Style9"/>
              <w:widowControl/>
              <w:tabs>
                <w:tab w:val="left" w:leader="underscore" w:pos="9374"/>
              </w:tabs>
              <w:spacing w:line="274" w:lineRule="exact"/>
              <w:ind w:firstLine="601"/>
              <w:rPr>
                <w:rStyle w:val="FontStyle43"/>
                <w:lang w:val="ro-RO" w:eastAsia="ro-RO"/>
              </w:rPr>
            </w:pPr>
            <w:r w:rsidRPr="00B17AED">
              <w:rPr>
                <w:rStyle w:val="FontStyle43"/>
                <w:lang w:val="ro-RO" w:eastAsia="ro-RO"/>
              </w:rPr>
              <w:t xml:space="preserve">În acest context, constatăm că cadrul normativ național trebuie ajustat și perfecționat prin prisma tuturor referințelor direcționate către </w:t>
            </w:r>
            <w:r w:rsidRPr="00B17AED">
              <w:rPr>
                <w:rStyle w:val="FontStyle42"/>
                <w:b w:val="0"/>
                <w:lang w:val="ro-RO" w:eastAsia="ro-RO"/>
              </w:rPr>
              <w:t>Legea nr.78/2004 și Legea nr.113/2012.</w:t>
            </w:r>
          </w:p>
          <w:p w:rsidR="00DC1912" w:rsidRPr="00B17AED" w:rsidRDefault="00DC1912" w:rsidP="00DD4797">
            <w:pPr>
              <w:pStyle w:val="Style7"/>
              <w:widowControl/>
              <w:tabs>
                <w:tab w:val="left" w:leader="underscore" w:pos="9374"/>
              </w:tabs>
              <w:ind w:firstLine="601"/>
              <w:jc w:val="both"/>
              <w:rPr>
                <w:rStyle w:val="FontStyle42"/>
                <w:b w:val="0"/>
                <w:lang w:val="ro-RO" w:eastAsia="ro-RO"/>
              </w:rPr>
            </w:pPr>
            <w:r w:rsidRPr="00B17AED">
              <w:rPr>
                <w:rStyle w:val="FontStyle42"/>
                <w:b w:val="0"/>
                <w:lang w:val="ro-RO" w:eastAsia="ro-RO"/>
              </w:rPr>
              <w:t xml:space="preserve">De asemenea, există riscul unei abordări eronate și dificile din partea operatorilor din domeniul </w:t>
            </w:r>
            <w:r w:rsidRPr="00B17AED">
              <w:rPr>
                <w:rStyle w:val="FontStyle42"/>
                <w:b w:val="0"/>
                <w:lang w:val="ro-RO" w:eastAsia="ro-RO"/>
              </w:rPr>
              <w:lastRenderedPageBreak/>
              <w:t>alimentar a prevederilor a căror temei servesc Legea nr.78/2004 și Legea nr.113/2012.</w:t>
            </w:r>
          </w:p>
          <w:p w:rsidR="00DC1912" w:rsidRPr="00B17AED" w:rsidRDefault="00DC1912" w:rsidP="00DD4797">
            <w:pPr>
              <w:pStyle w:val="Style7"/>
              <w:widowControl/>
              <w:tabs>
                <w:tab w:val="left" w:leader="underscore" w:pos="9374"/>
              </w:tabs>
              <w:ind w:firstLine="601"/>
              <w:jc w:val="both"/>
              <w:rPr>
                <w:rStyle w:val="FontStyle43"/>
                <w:lang w:val="ro-RO" w:eastAsia="ro-RO"/>
              </w:rPr>
            </w:pPr>
            <w:r w:rsidRPr="00B17AED">
              <w:rPr>
                <w:rStyle w:val="FontStyle42"/>
                <w:b w:val="0"/>
                <w:lang w:val="ro-RO" w:eastAsia="ro-RO"/>
              </w:rPr>
              <w:t xml:space="preserve">În acest sens menționăm că actualul cadrul normativ defectuos va duce la </w:t>
            </w:r>
            <w:r w:rsidRPr="00B17AED">
              <w:rPr>
                <w:rStyle w:val="FontStyle43"/>
                <w:lang w:val="ro-RO" w:eastAsia="ro-RO"/>
              </w:rPr>
              <w:t xml:space="preserve">aplicarea și implementarea incorectă prevederilor menționate </w:t>
            </w:r>
            <w:r w:rsidRPr="00B17AED">
              <w:rPr>
                <w:rStyle w:val="FontStyle42"/>
                <w:b w:val="0"/>
                <w:lang w:val="ro-RO" w:eastAsia="ro-RO"/>
              </w:rPr>
              <w:t>ceea ce în final va afecta</w:t>
            </w:r>
            <w:r w:rsidRPr="00B17AED">
              <w:rPr>
                <w:rStyle w:val="FontStyle43"/>
                <w:lang w:val="ro-RO" w:eastAsia="ro-RO"/>
              </w:rPr>
              <w:t xml:space="preserve"> siguranţa alimentelor și va pune în pericol viața și sănătatea consumatorilor. </w:t>
            </w:r>
          </w:p>
          <w:p w:rsidR="00984159" w:rsidRPr="00B17AED" w:rsidRDefault="00C73680" w:rsidP="00D979B4">
            <w:pPr>
              <w:ind w:firstLine="601"/>
              <w:jc w:val="both"/>
              <w:rPr>
                <w:rStyle w:val="FontStyle43"/>
                <w:lang w:val="ro-RO" w:eastAsia="ro-RO"/>
              </w:rPr>
            </w:pPr>
            <w:r w:rsidRPr="00B17AED">
              <w:rPr>
                <w:rStyle w:val="FontStyle43"/>
                <w:lang w:val="ro-RO" w:eastAsia="ro-RO"/>
              </w:rPr>
              <w:t>O altă dimensiune abordată de acest proiect sunt unele cerințe de transportare pe cale maritimă a uleiurilor și grăsimilor lichide destinate consumu</w:t>
            </w:r>
            <w:r w:rsidR="00984159" w:rsidRPr="00B17AED">
              <w:rPr>
                <w:rStyle w:val="FontStyle43"/>
                <w:lang w:val="ro-RO" w:eastAsia="ro-RO"/>
              </w:rPr>
              <w:t>lui uman.</w:t>
            </w:r>
          </w:p>
          <w:p w:rsidR="004F121F" w:rsidRDefault="00984159" w:rsidP="001110B7">
            <w:pPr>
              <w:ind w:firstLine="601"/>
              <w:jc w:val="both"/>
              <w:rPr>
                <w:rStyle w:val="FontStyle43"/>
                <w:lang w:val="ro-RO" w:eastAsia="ro-RO"/>
              </w:rPr>
            </w:pPr>
            <w:r w:rsidRPr="00B17AED">
              <w:rPr>
                <w:rStyle w:val="FontStyle43"/>
                <w:lang w:val="ro-RO" w:eastAsia="ro-RO"/>
              </w:rPr>
              <w:t xml:space="preserve">Apariția riscului de contaminare a uleiurilor lichide transportate în vrac, scăderea gradului de garantare a inofensivității și a calității acestora impun ajustarea și armonizarea cadrului normativ </w:t>
            </w:r>
            <w:r w:rsidR="00671DFB" w:rsidRPr="00B17AED">
              <w:rPr>
                <w:rStyle w:val="FontStyle43"/>
                <w:lang w:val="ro-RO" w:eastAsia="ro-RO"/>
              </w:rPr>
              <w:t>național cu normele UE. Mai exact aceasta presupune armonizarea Legii nr.296/2017 cu privire la Cerințele generale de igienă a produselor alimentare</w:t>
            </w:r>
            <w:r w:rsidR="00D979B4" w:rsidRPr="00B17AED">
              <w:rPr>
                <w:rStyle w:val="FontStyle43"/>
                <w:lang w:val="ro-RO" w:eastAsia="ro-RO"/>
              </w:rPr>
              <w:t xml:space="preserve"> cu prevederile Regulamentului UE nr.579/2014 de acordare a unei derogări în ceea ce privește transportul maritim al uleiurilor și al grăsimilor lichide. </w:t>
            </w:r>
            <w:r w:rsidR="00C73680" w:rsidRPr="00B17AED">
              <w:rPr>
                <w:rStyle w:val="FontStyle43"/>
                <w:lang w:val="ro-RO" w:eastAsia="ro-RO"/>
              </w:rPr>
              <w:t>În special aceste reglementări se referă la transportarea (în vrac) în rezervoare sau containerele care sunt încărcate pe navele maritime.</w:t>
            </w:r>
            <w:r w:rsidR="001110B7" w:rsidRPr="00B17AED">
              <w:rPr>
                <w:rStyle w:val="FontStyle43"/>
                <w:lang w:val="ro-RO" w:eastAsia="ro-RO"/>
              </w:rPr>
              <w:t xml:space="preserve"> </w:t>
            </w:r>
            <w:r w:rsidR="00C73680" w:rsidRPr="00B17AED">
              <w:rPr>
                <w:rStyle w:val="FontStyle43"/>
                <w:lang w:val="ro-RO" w:eastAsia="ro-RO"/>
              </w:rPr>
              <w:t>În acest</w:t>
            </w:r>
            <w:r w:rsidR="005D2EE5" w:rsidRPr="00B17AED">
              <w:rPr>
                <w:rStyle w:val="FontStyle43"/>
                <w:lang w:val="ro-RO" w:eastAsia="ro-RO"/>
              </w:rPr>
              <w:t xml:space="preserve">, menționăm faptul că pe parcursul anului 2019 până în prezent, în Republica Moldova s-au importat prin postul de inspecție la frontieră (PIF) din Giurgiulești 175,86 de tone grăsimi vegetale (date prezentate în Diagrama nr.1). </w:t>
            </w:r>
          </w:p>
          <w:p w:rsidR="004B34B8" w:rsidRPr="00B17AED" w:rsidRDefault="004B34B8" w:rsidP="001110B7">
            <w:pPr>
              <w:ind w:firstLine="601"/>
              <w:jc w:val="both"/>
              <w:rPr>
                <w:rStyle w:val="FontStyle43"/>
                <w:lang w:val="ro-RO" w:eastAsia="ro-RO"/>
              </w:rPr>
            </w:pPr>
          </w:p>
          <w:p w:rsidR="005D2EE5" w:rsidRPr="00B17AED" w:rsidRDefault="004F121F" w:rsidP="004F121F">
            <w:pPr>
              <w:pStyle w:val="Style7"/>
              <w:widowControl/>
              <w:tabs>
                <w:tab w:val="left" w:leader="underscore" w:pos="9374"/>
              </w:tabs>
              <w:ind w:firstLine="601"/>
              <w:jc w:val="center"/>
              <w:rPr>
                <w:rStyle w:val="FontStyle43"/>
                <w:lang w:val="ro-RO" w:eastAsia="ro-RO"/>
              </w:rPr>
            </w:pPr>
            <w:r w:rsidRPr="00B17AED">
              <w:rPr>
                <w:noProof/>
              </w:rPr>
              <w:drawing>
                <wp:inline distT="0" distB="0" distL="0" distR="0" wp14:anchorId="5EE4EEE3" wp14:editId="0FAD53EF">
                  <wp:extent cx="4572000" cy="32861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121F" w:rsidRPr="00B17AED" w:rsidRDefault="00C73680" w:rsidP="00C73680">
            <w:pPr>
              <w:pStyle w:val="Style7"/>
              <w:widowControl/>
              <w:tabs>
                <w:tab w:val="left" w:leader="underscore" w:pos="9374"/>
              </w:tabs>
              <w:ind w:firstLine="601"/>
              <w:jc w:val="center"/>
              <w:rPr>
                <w:rStyle w:val="FontStyle43"/>
                <w:lang w:val="ro-RO" w:eastAsia="ro-RO"/>
              </w:rPr>
            </w:pPr>
            <w:r w:rsidRPr="00B17AED">
              <w:rPr>
                <w:rStyle w:val="FontStyle43"/>
                <w:lang w:val="ro-RO" w:eastAsia="ro-RO"/>
              </w:rPr>
              <w:t>Diagrama nr.1</w:t>
            </w:r>
          </w:p>
          <w:p w:rsidR="00BC246B" w:rsidRPr="00B17AED" w:rsidRDefault="00BC246B" w:rsidP="00C73680">
            <w:pPr>
              <w:pStyle w:val="Style7"/>
              <w:widowControl/>
              <w:tabs>
                <w:tab w:val="left" w:leader="underscore" w:pos="9374"/>
              </w:tabs>
              <w:ind w:firstLine="601"/>
              <w:jc w:val="center"/>
              <w:rPr>
                <w:rStyle w:val="FontStyle43"/>
                <w:lang w:val="ro-RO" w:eastAsia="ro-RO"/>
              </w:rPr>
            </w:pPr>
          </w:p>
          <w:p w:rsidR="00BC246B" w:rsidRPr="00B17AED" w:rsidRDefault="00BC246B" w:rsidP="00C73680">
            <w:pPr>
              <w:pStyle w:val="Style7"/>
              <w:widowControl/>
              <w:tabs>
                <w:tab w:val="left" w:leader="underscore" w:pos="9374"/>
              </w:tabs>
              <w:ind w:firstLine="601"/>
              <w:jc w:val="center"/>
              <w:rPr>
                <w:rStyle w:val="FontStyle43"/>
                <w:lang w:val="ro-RO" w:eastAsia="ro-RO"/>
              </w:rPr>
            </w:pPr>
          </w:p>
          <w:p w:rsidR="00C73680" w:rsidRDefault="00C73680" w:rsidP="00D979B4">
            <w:pPr>
              <w:pStyle w:val="Style7"/>
              <w:widowControl/>
              <w:tabs>
                <w:tab w:val="left" w:leader="underscore" w:pos="9374"/>
              </w:tabs>
              <w:ind w:firstLine="601"/>
              <w:jc w:val="both"/>
              <w:rPr>
                <w:rStyle w:val="FontStyle43"/>
                <w:lang w:val="ro-RO" w:eastAsia="ro-RO"/>
              </w:rPr>
            </w:pPr>
            <w:r w:rsidRPr="00B17AED">
              <w:rPr>
                <w:rStyle w:val="FontStyle43"/>
                <w:lang w:val="ro-RO" w:eastAsia="ro-RO"/>
              </w:rPr>
              <w:t xml:space="preserve">De asemenea, </w:t>
            </w:r>
            <w:r w:rsidR="00D979B4" w:rsidRPr="00B17AED">
              <w:rPr>
                <w:rStyle w:val="FontStyle43"/>
                <w:lang w:val="ro-RO" w:eastAsia="ro-RO"/>
              </w:rPr>
              <w:t xml:space="preserve">evidențiem faptul că pe parcursul anilor 2017-20108 s-a înregistrat </w:t>
            </w:r>
            <w:r w:rsidRPr="00B17AED">
              <w:rPr>
                <w:rStyle w:val="FontStyle43"/>
                <w:lang w:val="ro-RO" w:eastAsia="ro-RO"/>
              </w:rPr>
              <w:t xml:space="preserve">o creștere de circa 12 % a exportului </w:t>
            </w:r>
            <w:r w:rsidR="00D979B4" w:rsidRPr="00B17AED">
              <w:rPr>
                <w:rStyle w:val="FontStyle43"/>
                <w:lang w:val="ro-RO" w:eastAsia="ro-RO"/>
              </w:rPr>
              <w:t xml:space="preserve">de </w:t>
            </w:r>
            <w:r w:rsidRPr="00B17AED">
              <w:rPr>
                <w:rStyle w:val="FontStyle43"/>
                <w:lang w:val="ro-RO" w:eastAsia="ro-RO"/>
              </w:rPr>
              <w:t xml:space="preserve">ulei din semințe de floarea soarelui Republica Moldova </w:t>
            </w:r>
            <w:r w:rsidR="00D979B4" w:rsidRPr="00B17AED">
              <w:rPr>
                <w:rStyle w:val="FontStyle43"/>
                <w:lang w:val="ro-RO" w:eastAsia="ro-RO"/>
              </w:rPr>
              <w:t>pe cale maritimă, conform datelor prezentate în Diagrama nr.2.</w:t>
            </w:r>
          </w:p>
          <w:p w:rsidR="004B34B8" w:rsidRPr="00B17AED" w:rsidRDefault="004B34B8" w:rsidP="00D979B4">
            <w:pPr>
              <w:pStyle w:val="Style7"/>
              <w:widowControl/>
              <w:tabs>
                <w:tab w:val="left" w:leader="underscore" w:pos="9374"/>
              </w:tabs>
              <w:ind w:firstLine="601"/>
              <w:jc w:val="both"/>
              <w:rPr>
                <w:rStyle w:val="FontStyle43"/>
                <w:lang w:val="ro-RO" w:eastAsia="ro-RO"/>
              </w:rPr>
            </w:pPr>
          </w:p>
          <w:p w:rsidR="00D979B4" w:rsidRPr="00B17AED" w:rsidRDefault="00F627C4" w:rsidP="00D979B4">
            <w:pPr>
              <w:pStyle w:val="Style7"/>
              <w:widowControl/>
              <w:tabs>
                <w:tab w:val="left" w:leader="underscore" w:pos="9374"/>
              </w:tabs>
              <w:ind w:firstLine="601"/>
              <w:jc w:val="center"/>
              <w:rPr>
                <w:rStyle w:val="FontStyle43"/>
                <w:lang w:val="ro-RO" w:eastAsia="ro-RO"/>
              </w:rPr>
            </w:pPr>
            <w:r w:rsidRPr="00B17AED">
              <w:rPr>
                <w:noProof/>
              </w:rPr>
              <w:lastRenderedPageBreak/>
              <w:drawing>
                <wp:inline distT="0" distB="0" distL="0" distR="0" wp14:anchorId="0779A6A8" wp14:editId="60FB42A9">
                  <wp:extent cx="4572000" cy="34385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79B4" w:rsidRPr="00B17AED" w:rsidRDefault="00D979B4" w:rsidP="00D979B4">
            <w:pPr>
              <w:pStyle w:val="Style7"/>
              <w:widowControl/>
              <w:tabs>
                <w:tab w:val="left" w:leader="underscore" w:pos="9374"/>
              </w:tabs>
              <w:ind w:firstLine="601"/>
              <w:jc w:val="center"/>
              <w:rPr>
                <w:rStyle w:val="FontStyle43"/>
                <w:lang w:val="ro-RO" w:eastAsia="ro-RO"/>
              </w:rPr>
            </w:pPr>
            <w:r w:rsidRPr="00B17AED">
              <w:rPr>
                <w:rStyle w:val="FontStyle43"/>
                <w:lang w:val="ro-RO" w:eastAsia="ro-RO"/>
              </w:rPr>
              <w:t>Diagrama nr.2</w:t>
            </w:r>
          </w:p>
          <w:p w:rsidR="00BC246B" w:rsidRPr="00B17AED" w:rsidRDefault="00BC246B" w:rsidP="00D979B4">
            <w:pPr>
              <w:pStyle w:val="Style7"/>
              <w:widowControl/>
              <w:tabs>
                <w:tab w:val="left" w:leader="underscore" w:pos="9374"/>
              </w:tabs>
              <w:ind w:firstLine="601"/>
              <w:jc w:val="center"/>
              <w:rPr>
                <w:rStyle w:val="FontStyle43"/>
                <w:lang w:val="ro-RO" w:eastAsia="ro-RO"/>
              </w:rPr>
            </w:pPr>
          </w:p>
          <w:p w:rsidR="00DC1912" w:rsidRPr="00B17AED" w:rsidRDefault="005D2EE5" w:rsidP="00DD4797">
            <w:pPr>
              <w:pStyle w:val="Style7"/>
              <w:widowControl/>
              <w:tabs>
                <w:tab w:val="left" w:leader="underscore" w:pos="9374"/>
              </w:tabs>
              <w:ind w:firstLine="601"/>
              <w:jc w:val="both"/>
              <w:rPr>
                <w:rStyle w:val="FontStyle43"/>
                <w:lang w:val="ro-RO" w:eastAsia="ro-RO"/>
              </w:rPr>
            </w:pPr>
            <w:r w:rsidRPr="00B17AED">
              <w:rPr>
                <w:rStyle w:val="FontStyle43"/>
                <w:lang w:val="ro-RO" w:eastAsia="ro-RO"/>
              </w:rPr>
              <w:t xml:space="preserve">În acest context, considerăm că este necesar ca prin </w:t>
            </w:r>
            <w:r w:rsidR="00DC1912" w:rsidRPr="00B17AED">
              <w:rPr>
                <w:rStyle w:val="FontStyle43"/>
                <w:lang w:val="ro-RO" w:eastAsia="ro-RO"/>
              </w:rPr>
              <w:t>proiectul dat să</w:t>
            </w:r>
            <w:r w:rsidRPr="00B17AED">
              <w:rPr>
                <w:rStyle w:val="FontStyle43"/>
                <w:lang w:val="ro-RO" w:eastAsia="ro-RO"/>
              </w:rPr>
              <w:t xml:space="preserve"> se</w:t>
            </w:r>
            <w:r w:rsidR="00DC1912" w:rsidRPr="00B17AED">
              <w:rPr>
                <w:rStyle w:val="FontStyle43"/>
                <w:lang w:val="ro-RO" w:eastAsia="ro-RO"/>
              </w:rPr>
              <w:t xml:space="preserve"> </w:t>
            </w:r>
            <w:r w:rsidR="00D979B4" w:rsidRPr="00B17AED">
              <w:rPr>
                <w:rStyle w:val="FontStyle43"/>
                <w:lang w:val="ro-RO" w:eastAsia="ro-RO"/>
              </w:rPr>
              <w:t>perfecționeze</w:t>
            </w:r>
            <w:r w:rsidR="00DC1912" w:rsidRPr="00B17AED">
              <w:rPr>
                <w:rStyle w:val="FontStyle43"/>
                <w:lang w:val="ro-RO" w:eastAsia="ro-RO"/>
              </w:rPr>
              <w:t xml:space="preserve"> cerințe</w:t>
            </w:r>
            <w:r w:rsidRPr="00B17AED">
              <w:rPr>
                <w:rStyle w:val="FontStyle43"/>
                <w:lang w:val="ro-RO" w:eastAsia="ro-RO"/>
              </w:rPr>
              <w:t>le</w:t>
            </w:r>
            <w:r w:rsidR="00DC1912" w:rsidRPr="00B17AED">
              <w:rPr>
                <w:rStyle w:val="FontStyle43"/>
                <w:lang w:val="ro-RO" w:eastAsia="ro-RO"/>
              </w:rPr>
              <w:t xml:space="preserve"> de transportare pe cale maritimă a uleiurilor și grăsimilor lichide </w:t>
            </w:r>
            <w:r w:rsidRPr="00B17AED">
              <w:rPr>
                <w:rStyle w:val="FontStyle43"/>
                <w:lang w:val="ro-RO" w:eastAsia="ro-RO"/>
              </w:rPr>
              <w:t>conform practicilor aplicate în</w:t>
            </w:r>
            <w:r w:rsidR="00DC1912" w:rsidRPr="00B17AED">
              <w:rPr>
                <w:rStyle w:val="FontStyle43"/>
                <w:lang w:val="ro-RO" w:eastAsia="ro-RO"/>
              </w:rPr>
              <w:t xml:space="preserve"> UE. </w:t>
            </w:r>
          </w:p>
          <w:p w:rsidR="00E23EAF" w:rsidRPr="00B17AED" w:rsidRDefault="00DC1912" w:rsidP="00D979B4">
            <w:pPr>
              <w:pStyle w:val="Style7"/>
              <w:tabs>
                <w:tab w:val="left" w:leader="underscore" w:pos="9374"/>
              </w:tabs>
              <w:ind w:firstLine="601"/>
              <w:jc w:val="both"/>
              <w:rPr>
                <w:rStyle w:val="FontStyle43"/>
                <w:lang w:val="ro-RO" w:eastAsia="ro-RO"/>
              </w:rPr>
            </w:pPr>
            <w:r w:rsidRPr="00B17AED">
              <w:rPr>
                <w:rStyle w:val="FontStyle43"/>
                <w:lang w:val="ro-RO" w:eastAsia="ro-RO"/>
              </w:rPr>
              <w:t>Lipsa unei astfel de intervenții în cadrul normativ național va crea dificultăți întru implementarea acestora de către operatori și ca consecință ar putea afecta competitivitatea produselor alimentare și ar pune în pericol protecţia sănătăţii umane şi a intereselor consumatorului privind siguranţa produselor alimentare achizițio</w:t>
            </w:r>
            <w:r w:rsidR="001266FD" w:rsidRPr="00B17AED">
              <w:rPr>
                <w:rStyle w:val="FontStyle43"/>
                <w:lang w:val="ro-RO" w:eastAsia="ro-RO"/>
              </w:rPr>
              <w:t>nate sau supuse comercializării și va avea un șir de efecte negative cum ar fi:</w:t>
            </w:r>
          </w:p>
          <w:p w:rsidR="001266FD" w:rsidRPr="00B17AED" w:rsidRDefault="001266FD" w:rsidP="001266FD">
            <w:pPr>
              <w:pStyle w:val="Style7"/>
              <w:numPr>
                <w:ilvl w:val="0"/>
                <w:numId w:val="10"/>
              </w:numPr>
              <w:tabs>
                <w:tab w:val="left" w:leader="underscore" w:pos="9374"/>
              </w:tabs>
              <w:rPr>
                <w:sz w:val="22"/>
                <w:szCs w:val="22"/>
                <w:lang w:val="ro-RO" w:eastAsia="ro-RO"/>
              </w:rPr>
            </w:pPr>
            <w:r w:rsidRPr="00B17AED">
              <w:rPr>
                <w:sz w:val="22"/>
                <w:szCs w:val="22"/>
                <w:lang w:val="ro-RO" w:eastAsia="ro-RO"/>
              </w:rPr>
              <w:t>Inducerea în eroare a consumatorului, neinformarea completă și veridică despre produsul alimentar supus comercializării;</w:t>
            </w:r>
          </w:p>
          <w:p w:rsidR="001266FD" w:rsidRPr="00B17AED" w:rsidRDefault="001266FD" w:rsidP="001266FD">
            <w:pPr>
              <w:pStyle w:val="Style7"/>
              <w:numPr>
                <w:ilvl w:val="0"/>
                <w:numId w:val="10"/>
              </w:numPr>
              <w:tabs>
                <w:tab w:val="left" w:leader="underscore" w:pos="9374"/>
              </w:tabs>
              <w:rPr>
                <w:sz w:val="22"/>
                <w:szCs w:val="22"/>
                <w:lang w:val="ro-RO" w:eastAsia="ro-RO"/>
              </w:rPr>
            </w:pPr>
            <w:r w:rsidRPr="00B17AED">
              <w:rPr>
                <w:sz w:val="22"/>
                <w:szCs w:val="22"/>
                <w:lang w:val="ro-RO" w:eastAsia="ro-RO"/>
              </w:rPr>
              <w:t>Etichetarea neconformă a produselor alimentare;</w:t>
            </w:r>
          </w:p>
          <w:p w:rsidR="001266FD" w:rsidRPr="00B17AED" w:rsidRDefault="001266FD" w:rsidP="001266FD">
            <w:pPr>
              <w:pStyle w:val="Style7"/>
              <w:numPr>
                <w:ilvl w:val="0"/>
                <w:numId w:val="10"/>
              </w:numPr>
              <w:tabs>
                <w:tab w:val="left" w:leader="underscore" w:pos="9374"/>
              </w:tabs>
              <w:rPr>
                <w:sz w:val="22"/>
                <w:szCs w:val="22"/>
                <w:lang w:val="ro-RO" w:eastAsia="ro-RO"/>
              </w:rPr>
            </w:pPr>
            <w:r w:rsidRPr="00B17AED">
              <w:rPr>
                <w:sz w:val="22"/>
                <w:szCs w:val="22"/>
                <w:lang w:val="ro-RO" w:eastAsia="ro-RO"/>
              </w:rPr>
              <w:t>Punerea în pericol a sănătății consumatorilor;</w:t>
            </w:r>
          </w:p>
          <w:p w:rsidR="001266FD" w:rsidRPr="00B17AED" w:rsidRDefault="001266FD" w:rsidP="001266FD">
            <w:pPr>
              <w:pStyle w:val="Style7"/>
              <w:numPr>
                <w:ilvl w:val="0"/>
                <w:numId w:val="10"/>
              </w:numPr>
              <w:tabs>
                <w:tab w:val="left" w:leader="underscore" w:pos="9374"/>
              </w:tabs>
              <w:rPr>
                <w:sz w:val="22"/>
                <w:szCs w:val="22"/>
                <w:lang w:val="ro-RO" w:eastAsia="ro-RO"/>
              </w:rPr>
            </w:pPr>
            <w:r w:rsidRPr="00B17AED">
              <w:rPr>
                <w:sz w:val="22"/>
                <w:szCs w:val="22"/>
                <w:lang w:val="ro-RO" w:eastAsia="ro-RO"/>
              </w:rPr>
              <w:t>Încălcarea drepturilor legitime a consumatorilor în privința informării cu privire la produsele alimentare;</w:t>
            </w:r>
          </w:p>
          <w:p w:rsidR="001266FD" w:rsidRPr="00B17AED" w:rsidRDefault="001266FD" w:rsidP="001266FD">
            <w:pPr>
              <w:pStyle w:val="Style7"/>
              <w:numPr>
                <w:ilvl w:val="0"/>
                <w:numId w:val="10"/>
              </w:numPr>
              <w:tabs>
                <w:tab w:val="left" w:leader="underscore" w:pos="9374"/>
              </w:tabs>
              <w:rPr>
                <w:sz w:val="22"/>
                <w:szCs w:val="22"/>
                <w:lang w:val="ro-RO" w:eastAsia="ro-RO"/>
              </w:rPr>
            </w:pPr>
            <w:r w:rsidRPr="00B17AED">
              <w:rPr>
                <w:sz w:val="22"/>
                <w:szCs w:val="22"/>
                <w:lang w:val="ro-RO" w:eastAsia="ro-RO"/>
              </w:rPr>
              <w:t>Va crea dificultăți în selectarea suplimentară a rezervoarelor destinate transportului pentru produsele alimentare;</w:t>
            </w:r>
          </w:p>
          <w:p w:rsidR="001266FD" w:rsidRPr="00E24F09" w:rsidRDefault="001266FD" w:rsidP="00E24F09">
            <w:pPr>
              <w:pStyle w:val="Style7"/>
              <w:numPr>
                <w:ilvl w:val="0"/>
                <w:numId w:val="10"/>
              </w:numPr>
              <w:tabs>
                <w:tab w:val="left" w:leader="underscore" w:pos="9374"/>
              </w:tabs>
              <w:rPr>
                <w:rStyle w:val="FontStyle43"/>
                <w:lang w:val="ro-RO" w:eastAsia="ro-RO"/>
              </w:rPr>
            </w:pPr>
            <w:r w:rsidRPr="00B17AED">
              <w:rPr>
                <w:sz w:val="22"/>
                <w:szCs w:val="22"/>
                <w:lang w:val="ro-RO" w:eastAsia="ro-RO"/>
              </w:rPr>
              <w:t>Va persista pericolul de contaminare a uleiurilor transportate în vrac pe cale maritimă.</w:t>
            </w:r>
          </w:p>
        </w:tc>
      </w:tr>
      <w:tr w:rsidR="00DC1912" w:rsidRPr="00B17AED" w:rsidTr="00891B25">
        <w:tc>
          <w:tcPr>
            <w:tcW w:w="9639" w:type="dxa"/>
            <w:gridSpan w:val="3"/>
          </w:tcPr>
          <w:p w:rsidR="00DC1912" w:rsidRPr="00B17AED" w:rsidRDefault="00DD4797" w:rsidP="00DD4797">
            <w:pPr>
              <w:pStyle w:val="Style9"/>
              <w:widowControl/>
              <w:tabs>
                <w:tab w:val="left" w:pos="993"/>
              </w:tabs>
              <w:spacing w:line="240" w:lineRule="auto"/>
              <w:ind w:firstLine="601"/>
              <w:rPr>
                <w:rStyle w:val="FontStyle42"/>
                <w:lang w:val="ro-RO" w:eastAsia="ro-RO"/>
              </w:rPr>
            </w:pPr>
            <w:r w:rsidRPr="00B17AED">
              <w:rPr>
                <w:rStyle w:val="FontStyle42"/>
                <w:lang w:val="ro-RO" w:eastAsia="ro-RO"/>
              </w:rPr>
              <w:lastRenderedPageBreak/>
              <w:t>2</w:t>
            </w:r>
            <w:r w:rsidR="00DC1912" w:rsidRPr="00B17AED">
              <w:rPr>
                <w:rStyle w:val="FontStyle42"/>
                <w:lang w:val="ro-RO" w:eastAsia="ro-RO"/>
              </w:rPr>
              <w:t>.Stabilirea obiectivelor</w:t>
            </w:r>
          </w:p>
        </w:tc>
      </w:tr>
      <w:tr w:rsidR="00083147" w:rsidRPr="00B17AED" w:rsidTr="00891B25">
        <w:trPr>
          <w:trHeight w:val="1695"/>
        </w:trPr>
        <w:tc>
          <w:tcPr>
            <w:tcW w:w="9639" w:type="dxa"/>
            <w:gridSpan w:val="3"/>
          </w:tcPr>
          <w:p w:rsidR="00083147" w:rsidRPr="00B17AED" w:rsidRDefault="00083147" w:rsidP="00BB626C">
            <w:pPr>
              <w:pStyle w:val="Style30"/>
              <w:widowControl/>
              <w:spacing w:line="274" w:lineRule="exact"/>
              <w:jc w:val="left"/>
              <w:rPr>
                <w:rStyle w:val="FontStyle43"/>
                <w:lang w:val="ro-RO" w:eastAsia="ro-RO"/>
              </w:rPr>
            </w:pPr>
            <w:r w:rsidRPr="00B17AED">
              <w:rPr>
                <w:rStyle w:val="FontStyle43"/>
                <w:lang w:val="ro-RO" w:eastAsia="ro-RO"/>
              </w:rPr>
              <w:t>Prezentul proiect de Lege implică următoarele obiective:</w:t>
            </w:r>
          </w:p>
          <w:p w:rsidR="00083147" w:rsidRPr="00B17AED" w:rsidRDefault="00083147" w:rsidP="00DD4797">
            <w:pPr>
              <w:pStyle w:val="Style9"/>
              <w:widowControl/>
              <w:numPr>
                <w:ilvl w:val="0"/>
                <w:numId w:val="3"/>
              </w:numPr>
              <w:tabs>
                <w:tab w:val="left" w:pos="885"/>
              </w:tabs>
              <w:spacing w:line="274" w:lineRule="exact"/>
              <w:ind w:left="34" w:firstLine="567"/>
              <w:rPr>
                <w:rStyle w:val="FontStyle41"/>
                <w:b w:val="0"/>
                <w:i w:val="0"/>
                <w:lang w:val="ro-RO" w:eastAsia="ro-RO"/>
              </w:rPr>
            </w:pPr>
            <w:r w:rsidRPr="00B17AED">
              <w:rPr>
                <w:rStyle w:val="FontStyle41"/>
                <w:lang w:val="ro-RO" w:eastAsia="ro-RO"/>
              </w:rPr>
              <w:t>Asigurarea unui înalt nivel al siguranţei produselor alimentare prin ajustarea cadrului normativ din domeniul siguranței produselor alimentare</w:t>
            </w:r>
            <w:r w:rsidRPr="00B17AED">
              <w:rPr>
                <w:rStyle w:val="FontStyle41"/>
                <w:b w:val="0"/>
                <w:i w:val="0"/>
                <w:lang w:val="ro-RO" w:eastAsia="ro-RO"/>
              </w:rPr>
              <w:t>;</w:t>
            </w:r>
          </w:p>
          <w:p w:rsidR="00083147" w:rsidRPr="00B17AED" w:rsidRDefault="00083147" w:rsidP="00DD4797">
            <w:pPr>
              <w:pStyle w:val="Style9"/>
              <w:spacing w:line="274" w:lineRule="exact"/>
              <w:ind w:left="34" w:firstLine="567"/>
              <w:rPr>
                <w:rStyle w:val="FontStyle43"/>
                <w:lang w:val="ro-RO" w:eastAsia="ro-RO"/>
              </w:rPr>
            </w:pPr>
            <w:r w:rsidRPr="00B17AED">
              <w:rPr>
                <w:rStyle w:val="FontStyle41"/>
                <w:b w:val="0"/>
                <w:i w:val="0"/>
                <w:lang w:val="ro-RO" w:eastAsia="ro-RO"/>
              </w:rPr>
              <w:t xml:space="preserve">Siguranța produselor alimentare poate fi afectată de implementarea defectuoasă a prevederilor existente </w:t>
            </w:r>
            <w:r w:rsidRPr="00B17AED">
              <w:rPr>
                <w:rStyle w:val="FontStyle42"/>
                <w:b w:val="0"/>
                <w:lang w:val="ro-RO" w:eastAsia="ro-RO"/>
              </w:rPr>
              <w:t>a căror temei servesc Legea nr.78/2004 și Legea nr.113/2012</w:t>
            </w:r>
            <w:r w:rsidRPr="00B17AED">
              <w:rPr>
                <w:rStyle w:val="FontStyle41"/>
                <w:b w:val="0"/>
                <w:i w:val="0"/>
                <w:lang w:val="ro-RO" w:eastAsia="ro-RO"/>
              </w:rPr>
              <w:t>. Cadrul normativ neajustat din domeniul alimentar îngreunează aplicabilitatea acestuia de către operatorii din domeniul alimentar.</w:t>
            </w:r>
          </w:p>
        </w:tc>
      </w:tr>
      <w:tr w:rsidR="00083147" w:rsidRPr="00B17AED" w:rsidTr="00891B25">
        <w:trPr>
          <w:trHeight w:val="1410"/>
        </w:trPr>
        <w:tc>
          <w:tcPr>
            <w:tcW w:w="9639" w:type="dxa"/>
            <w:gridSpan w:val="3"/>
          </w:tcPr>
          <w:p w:rsidR="00B01D14" w:rsidRPr="00B17AED" w:rsidRDefault="00B44622" w:rsidP="00F627C4">
            <w:pPr>
              <w:pStyle w:val="Style33"/>
              <w:widowControl/>
              <w:spacing w:line="274" w:lineRule="exact"/>
              <w:ind w:firstLine="601"/>
              <w:jc w:val="both"/>
              <w:rPr>
                <w:rStyle w:val="FontStyle41"/>
                <w:lang w:val="ro-RO" w:eastAsia="ro-RO"/>
              </w:rPr>
            </w:pPr>
            <w:r w:rsidRPr="00B17AED">
              <w:rPr>
                <w:rStyle w:val="FontStyle41"/>
                <w:lang w:val="ro-RO" w:eastAsia="ro-RO"/>
              </w:rPr>
              <w:t>2</w:t>
            </w:r>
            <w:r w:rsidR="00B01D14" w:rsidRPr="00B17AED">
              <w:rPr>
                <w:rStyle w:val="FontStyle41"/>
                <w:lang w:val="ro-RO" w:eastAsia="ro-RO"/>
              </w:rPr>
              <w:t>. Nivel înalt de protecţie a consumatorului în privinţa achiziţionării produselor alimentare sigure</w:t>
            </w:r>
            <w:r w:rsidR="001266FD" w:rsidRPr="00B17AED">
              <w:rPr>
                <w:rStyle w:val="FontStyle41"/>
                <w:lang w:val="ro-RO" w:eastAsia="ro-RO"/>
              </w:rPr>
              <w:t xml:space="preserve"> și furnizarea </w:t>
            </w:r>
            <w:r w:rsidR="001266FD" w:rsidRPr="00B17AED">
              <w:rPr>
                <w:rStyle w:val="FontStyle43"/>
                <w:b/>
                <w:i/>
                <w:lang w:val="ro-RO" w:eastAsia="ro-RO"/>
              </w:rPr>
              <w:t>informaţiilor referitoare la produsele alimentare</w:t>
            </w:r>
            <w:r w:rsidR="00B01D14" w:rsidRPr="00B17AED">
              <w:rPr>
                <w:rStyle w:val="FontStyle41"/>
                <w:lang w:val="ro-RO" w:eastAsia="ro-RO"/>
              </w:rPr>
              <w:t>;</w:t>
            </w:r>
          </w:p>
          <w:p w:rsidR="00083147" w:rsidRPr="00B17AED" w:rsidRDefault="001266FD" w:rsidP="00B01D14">
            <w:pPr>
              <w:pStyle w:val="Style9"/>
              <w:spacing w:line="274" w:lineRule="exact"/>
              <w:ind w:firstLine="601"/>
              <w:rPr>
                <w:rStyle w:val="FontStyle43"/>
                <w:lang w:val="ro-RO" w:eastAsia="ro-RO"/>
              </w:rPr>
            </w:pPr>
            <w:r w:rsidRPr="00B17AED">
              <w:rPr>
                <w:rStyle w:val="FontStyle43"/>
                <w:lang w:val="ro-RO" w:eastAsia="ro-RO"/>
              </w:rPr>
              <w:t xml:space="preserve">Aceasta va presupune asigurarea unui nivel ridicat de protecţie a sănătăţii şi intereselor consumatorilor, oferind consumatorilor finali o bază pentru a face o alegere în cunoştinţă de cauză şi pentru a utiliza în mod sigur produsele alimentare, </w:t>
            </w:r>
            <w:proofErr w:type="spellStart"/>
            <w:r w:rsidRPr="00B17AED">
              <w:rPr>
                <w:rStyle w:val="FontStyle43"/>
                <w:lang w:val="ro-RO" w:eastAsia="ro-RO"/>
              </w:rPr>
              <w:t>ţinînd</w:t>
            </w:r>
            <w:proofErr w:type="spellEnd"/>
            <w:r w:rsidRPr="00B17AED">
              <w:rPr>
                <w:rStyle w:val="FontStyle43"/>
                <w:lang w:val="ro-RO" w:eastAsia="ro-RO"/>
              </w:rPr>
              <w:t xml:space="preserve"> seama în special de consideraţii de ordin sanitar, economic, ecologic, social şi etic.</w:t>
            </w:r>
          </w:p>
        </w:tc>
      </w:tr>
      <w:tr w:rsidR="00DC1912" w:rsidRPr="00B17AED" w:rsidTr="00891B25">
        <w:tc>
          <w:tcPr>
            <w:tcW w:w="9639" w:type="dxa"/>
            <w:gridSpan w:val="3"/>
          </w:tcPr>
          <w:p w:rsidR="00DC1912" w:rsidRPr="00B17AED" w:rsidRDefault="00DD4797" w:rsidP="00B01D14">
            <w:pPr>
              <w:pStyle w:val="Style7"/>
              <w:widowControl/>
              <w:tabs>
                <w:tab w:val="left" w:leader="underscore" w:pos="9374"/>
              </w:tabs>
              <w:ind w:firstLine="601"/>
              <w:jc w:val="both"/>
              <w:rPr>
                <w:rStyle w:val="FontStyle42"/>
                <w:lang w:val="ro-RO" w:eastAsia="ro-RO"/>
              </w:rPr>
            </w:pPr>
            <w:r w:rsidRPr="00B17AED">
              <w:rPr>
                <w:rStyle w:val="FontStyle42"/>
                <w:lang w:val="ro-RO" w:eastAsia="ro-RO"/>
              </w:rPr>
              <w:t>3</w:t>
            </w:r>
            <w:r w:rsidR="00DC1912" w:rsidRPr="00B17AED">
              <w:rPr>
                <w:rStyle w:val="FontStyle42"/>
                <w:lang w:val="ro-RO" w:eastAsia="ro-RO"/>
              </w:rPr>
              <w:t>. Identificarea opţiunilor</w:t>
            </w:r>
          </w:p>
        </w:tc>
      </w:tr>
      <w:tr w:rsidR="00DD4797" w:rsidRPr="00B17AED" w:rsidTr="00891B25">
        <w:trPr>
          <w:trHeight w:val="270"/>
        </w:trPr>
        <w:tc>
          <w:tcPr>
            <w:tcW w:w="9639" w:type="dxa"/>
            <w:gridSpan w:val="3"/>
          </w:tcPr>
          <w:p w:rsidR="00DD4797" w:rsidRPr="00B17AED" w:rsidRDefault="00DD4797" w:rsidP="00DD4797">
            <w:pPr>
              <w:pStyle w:val="Style15"/>
              <w:widowControl/>
              <w:spacing w:line="240" w:lineRule="auto"/>
              <w:ind w:firstLine="601"/>
              <w:rPr>
                <w:rStyle w:val="FontStyle43"/>
                <w:lang w:val="ro-RO" w:eastAsia="ro-RO"/>
              </w:rPr>
            </w:pPr>
            <w:r w:rsidRPr="00B17AED">
              <w:rPr>
                <w:rStyle w:val="FontStyle43"/>
                <w:lang w:val="ro-RO" w:eastAsia="ro-RO"/>
              </w:rPr>
              <w:t>Opţiunile propuse sunt următoarele:</w:t>
            </w:r>
          </w:p>
          <w:p w:rsidR="00DD4797" w:rsidRPr="00B17AED" w:rsidRDefault="00DD4797" w:rsidP="00DD4797">
            <w:pPr>
              <w:pStyle w:val="Style15"/>
              <w:spacing w:line="240" w:lineRule="auto"/>
              <w:ind w:firstLine="601"/>
              <w:rPr>
                <w:rStyle w:val="FontStyle43"/>
                <w:lang w:val="ro-RO" w:eastAsia="ro-RO"/>
              </w:rPr>
            </w:pPr>
            <w:r w:rsidRPr="00B17AED">
              <w:rPr>
                <w:rStyle w:val="FontStyle43"/>
                <w:b/>
                <w:lang w:val="ro-RO" w:eastAsia="ro-RO"/>
              </w:rPr>
              <w:lastRenderedPageBreak/>
              <w:t>Opţiunea I - "a nu face nimic";</w:t>
            </w:r>
          </w:p>
          <w:p w:rsidR="00DD4797" w:rsidRPr="00B17AED" w:rsidRDefault="006A13B0" w:rsidP="001266FD">
            <w:pPr>
              <w:pStyle w:val="Style15"/>
              <w:spacing w:line="240" w:lineRule="auto"/>
              <w:ind w:firstLine="601"/>
              <w:jc w:val="both"/>
              <w:rPr>
                <w:rStyle w:val="FontStyle43"/>
                <w:lang w:val="ro-RO" w:eastAsia="ro-RO"/>
              </w:rPr>
            </w:pPr>
            <w:r w:rsidRPr="00B17AED">
              <w:rPr>
                <w:rStyle w:val="FontStyle43"/>
                <w:lang w:val="ro-RO" w:eastAsia="ro-RO"/>
              </w:rPr>
              <w:t>S</w:t>
            </w:r>
            <w:r w:rsidR="00BB385C" w:rsidRPr="00B17AED">
              <w:rPr>
                <w:rStyle w:val="FontStyle43"/>
                <w:lang w:val="ro-RO" w:eastAsia="ro-RO"/>
              </w:rPr>
              <w:t xml:space="preserve">ituația ”a nu face nimic” </w:t>
            </w:r>
            <w:r w:rsidR="001266FD" w:rsidRPr="00B17AED">
              <w:rPr>
                <w:rStyle w:val="FontStyle43"/>
                <w:lang w:val="ro-RO" w:eastAsia="ro-RO"/>
              </w:rPr>
              <w:t>este descrisă la compartimentul ”</w:t>
            </w:r>
            <w:r w:rsidR="001266FD" w:rsidRPr="00B17AED">
              <w:rPr>
                <w:rStyle w:val="FontStyle43"/>
                <w:i/>
                <w:lang w:val="ro-RO" w:eastAsia="ro-RO"/>
              </w:rPr>
              <w:t>Definirea problemei</w:t>
            </w:r>
            <w:r w:rsidR="001266FD" w:rsidRPr="00B17AED">
              <w:rPr>
                <w:rStyle w:val="FontStyle43"/>
                <w:lang w:val="ro-RO" w:eastAsia="ro-RO"/>
              </w:rPr>
              <w:t>”.</w:t>
            </w:r>
          </w:p>
          <w:p w:rsidR="00DD4797" w:rsidRPr="00B17AED" w:rsidRDefault="00DD4797" w:rsidP="00DD4797">
            <w:pPr>
              <w:pStyle w:val="Style9"/>
              <w:widowControl/>
              <w:spacing w:line="240" w:lineRule="auto"/>
              <w:ind w:firstLine="601"/>
              <w:jc w:val="left"/>
              <w:rPr>
                <w:rStyle w:val="FontStyle43"/>
                <w:b/>
                <w:lang w:val="ro-RO" w:eastAsia="ro-RO"/>
              </w:rPr>
            </w:pPr>
            <w:r w:rsidRPr="00B17AED">
              <w:rPr>
                <w:rStyle w:val="FontStyle43"/>
                <w:b/>
                <w:lang w:val="ro-RO" w:eastAsia="ro-RO"/>
              </w:rPr>
              <w:t xml:space="preserve">Opţiunea II - aprobarea </w:t>
            </w:r>
            <w:r w:rsidR="001110B7" w:rsidRPr="00B17AED">
              <w:rPr>
                <w:rStyle w:val="FontStyle43"/>
                <w:b/>
                <w:lang w:val="ro-RO" w:eastAsia="ro-RO"/>
              </w:rPr>
              <w:t xml:space="preserve">proiectului </w:t>
            </w:r>
            <w:proofErr w:type="spellStart"/>
            <w:r w:rsidR="001110B7" w:rsidRPr="00B17AED">
              <w:rPr>
                <w:rStyle w:val="FontStyle43"/>
                <w:b/>
                <w:lang w:val="ro-RO" w:eastAsia="ro-RO"/>
              </w:rPr>
              <w:t>Hotărîrii</w:t>
            </w:r>
            <w:proofErr w:type="spellEnd"/>
            <w:r w:rsidR="001110B7" w:rsidRPr="00B17AED">
              <w:rPr>
                <w:rStyle w:val="FontStyle43"/>
                <w:b/>
                <w:lang w:val="ro-RO" w:eastAsia="ro-RO"/>
              </w:rPr>
              <w:t xml:space="preserve"> de Guvern cu privire la aprobarea proiectului de lege </w:t>
            </w:r>
            <w:r w:rsidR="009474E8">
              <w:rPr>
                <w:rStyle w:val="FontStyle43"/>
                <w:b/>
                <w:lang w:val="ro-RO" w:eastAsia="ro-RO"/>
              </w:rPr>
              <w:t>pentru</w:t>
            </w:r>
            <w:r w:rsidR="001110B7" w:rsidRPr="00B17AED">
              <w:rPr>
                <w:rStyle w:val="FontStyle43"/>
                <w:b/>
                <w:lang w:val="ro-RO" w:eastAsia="ro-RO"/>
              </w:rPr>
              <w:t xml:space="preserve"> modificarea unor acte legislative</w:t>
            </w:r>
            <w:r w:rsidRPr="00B17AED">
              <w:rPr>
                <w:rStyle w:val="FontStyle43"/>
                <w:b/>
                <w:lang w:val="ro-RO" w:eastAsia="ro-RO"/>
              </w:rPr>
              <w:t>;</w:t>
            </w:r>
          </w:p>
          <w:p w:rsidR="00DD4797" w:rsidRPr="00B17AED" w:rsidRDefault="00DD4797" w:rsidP="00DD4797">
            <w:pPr>
              <w:pStyle w:val="Style9"/>
              <w:widowControl/>
              <w:spacing w:line="240" w:lineRule="auto"/>
              <w:ind w:firstLine="601"/>
              <w:rPr>
                <w:rStyle w:val="FontStyle43"/>
                <w:lang w:val="ro-RO" w:eastAsia="ro-RO"/>
              </w:rPr>
            </w:pPr>
            <w:r w:rsidRPr="00B17AED">
              <w:rPr>
                <w:rStyle w:val="FontStyle43"/>
                <w:lang w:val="ro-RO" w:eastAsia="ro-RO"/>
              </w:rPr>
              <w:t xml:space="preserve">Proiectul de lege prenotat are ca scop excluderea neconformităților a unor prevederi din legislaţia naţională, ca urmare a abrogării prevederilor Legii 78/2004 și a Legii 113/2012, totodată </w:t>
            </w:r>
            <w:proofErr w:type="spellStart"/>
            <w:r w:rsidRPr="00B17AED">
              <w:rPr>
                <w:rStyle w:val="FontStyle43"/>
                <w:lang w:val="ro-RO" w:eastAsia="ro-RO"/>
              </w:rPr>
              <w:t>luînd</w:t>
            </w:r>
            <w:proofErr w:type="spellEnd"/>
            <w:r w:rsidRPr="00B17AED">
              <w:rPr>
                <w:rStyle w:val="FontStyle43"/>
                <w:lang w:val="ro-RO" w:eastAsia="ro-RO"/>
              </w:rPr>
              <w:t xml:space="preserve"> în considerare ultimele completări ale cadrului normativ în domeniul siguranței alimentare. </w:t>
            </w:r>
          </w:p>
          <w:p w:rsidR="00DD4797" w:rsidRPr="00B17AED" w:rsidRDefault="00DD4797" w:rsidP="00DD4797">
            <w:pPr>
              <w:pStyle w:val="Style9"/>
              <w:widowControl/>
              <w:ind w:firstLine="601"/>
              <w:rPr>
                <w:rStyle w:val="FontStyle43"/>
                <w:lang w:val="ro-RO" w:eastAsia="ro-RO"/>
              </w:rPr>
            </w:pPr>
            <w:r w:rsidRPr="00B17AED">
              <w:rPr>
                <w:rStyle w:val="FontStyle43"/>
                <w:lang w:val="ro-RO" w:eastAsia="ro-RO"/>
              </w:rPr>
              <w:t xml:space="preserve">Principiul de bază al politicii privind siguranţa alimentelor este aplicarea unei abordări integrate, care include toate etapele lanţului alimentar. Îmbunătăţirea cadrului normativ în acest domeniu va permite atingerea celui mai înalt grad de protecţie a sănătăţii publice şi a intereselor consumatorilor şi va favoriza efectuarea exporturilor de produse alimentare şi animale vii din Republica Moldova către Uniunea Europeană şi alte ţări ale lumii. </w:t>
            </w:r>
          </w:p>
          <w:p w:rsidR="00DD4797" w:rsidRPr="00B17AED" w:rsidRDefault="00DD4797" w:rsidP="00DD4797">
            <w:pPr>
              <w:pStyle w:val="Style9"/>
              <w:widowControl/>
              <w:ind w:firstLine="601"/>
              <w:rPr>
                <w:rStyle w:val="FontStyle43"/>
                <w:lang w:val="ro-RO" w:eastAsia="ro-RO"/>
              </w:rPr>
            </w:pPr>
            <w:r w:rsidRPr="00B17AED">
              <w:rPr>
                <w:rStyle w:val="FontStyle43"/>
                <w:lang w:val="ro-RO" w:eastAsia="ro-RO"/>
              </w:rPr>
              <w:t>În acest context, menționăm că proiectul prenotat este elaborat în vederea realizării prevederilor art.34, alin.(2) a Legii nr.306/2018.</w:t>
            </w:r>
          </w:p>
          <w:p w:rsidR="00DD4797" w:rsidRPr="00B17AED" w:rsidRDefault="00DD4797" w:rsidP="00DD4797">
            <w:pPr>
              <w:pStyle w:val="Style9"/>
              <w:widowControl/>
              <w:ind w:firstLine="601"/>
              <w:rPr>
                <w:rStyle w:val="FontStyle43"/>
                <w:lang w:val="ro-RO" w:eastAsia="ro-RO"/>
              </w:rPr>
            </w:pPr>
            <w:r w:rsidRPr="00B17AED">
              <w:rPr>
                <w:rStyle w:val="FontStyle43"/>
                <w:lang w:val="ro-RO" w:eastAsia="ro-RO"/>
              </w:rPr>
              <w:t>De asemenea, prezentul proiect vine în executarea poziţiei 181 din Planul naţional de acţiuni pentru implementarea Acordului de Asociere Republica Moldova–Uniunea Europeană în perioada 2017–2019, aprobat prin Hotărârea de Guvern nr.1472 din 30 decembrie 2016.</w:t>
            </w:r>
          </w:p>
          <w:p w:rsidR="00F627C4" w:rsidRPr="00B17AED" w:rsidRDefault="00DD4797" w:rsidP="00DD4797">
            <w:pPr>
              <w:pStyle w:val="Style9"/>
              <w:widowControl/>
              <w:ind w:firstLine="601"/>
              <w:rPr>
                <w:rStyle w:val="FontStyle43"/>
                <w:lang w:val="ro-RO" w:eastAsia="ro-RO"/>
              </w:rPr>
            </w:pPr>
            <w:r w:rsidRPr="00B17AED">
              <w:rPr>
                <w:rStyle w:val="FontStyle43"/>
                <w:lang w:val="ro-RO" w:eastAsia="ro-RO"/>
              </w:rPr>
              <w:t>Prevederile acestui proiect de lege sunt armonizate cu prevederile</w:t>
            </w:r>
            <w:r w:rsidR="00F627C4" w:rsidRPr="00B17AED">
              <w:rPr>
                <w:rStyle w:val="FontStyle43"/>
                <w:lang w:val="ro-RO" w:eastAsia="ro-RO"/>
              </w:rPr>
              <w:t>:</w:t>
            </w:r>
          </w:p>
          <w:p w:rsidR="00DD4797" w:rsidRPr="00B17AED" w:rsidRDefault="00DD4797" w:rsidP="00F627C4">
            <w:pPr>
              <w:pStyle w:val="Style9"/>
              <w:widowControl/>
              <w:numPr>
                <w:ilvl w:val="0"/>
                <w:numId w:val="6"/>
              </w:numPr>
              <w:tabs>
                <w:tab w:val="left" w:pos="601"/>
                <w:tab w:val="left" w:pos="885"/>
              </w:tabs>
              <w:ind w:left="34" w:firstLine="567"/>
              <w:rPr>
                <w:rStyle w:val="FontStyle43"/>
                <w:lang w:val="ro-RO" w:eastAsia="ro-RO"/>
              </w:rPr>
            </w:pPr>
            <w:r w:rsidRPr="00B17AED">
              <w:rPr>
                <w:rStyle w:val="FontStyle43"/>
                <w:lang w:val="ro-RO" w:eastAsia="ro-RO"/>
              </w:rPr>
              <w:t>Regulamentului (UE) nr.579/2014 al Comisiei din 28 mai 2014 de acordare a unei derogări de la anumite dispoziții ale anexei II la Regulamentul (CE) nr. 852/2004 al Parlamentului European și al Consiliului în ceea ce privește transportul maritim al ulei</w:t>
            </w:r>
            <w:r w:rsidR="00F627C4" w:rsidRPr="00B17AED">
              <w:rPr>
                <w:rStyle w:val="FontStyle43"/>
                <w:lang w:val="ro-RO" w:eastAsia="ro-RO"/>
              </w:rPr>
              <w:t>urilor și al grăsimilor lichide;</w:t>
            </w:r>
          </w:p>
          <w:p w:rsidR="00F627C4" w:rsidRPr="00B17AED" w:rsidRDefault="00F627C4" w:rsidP="00F627C4">
            <w:pPr>
              <w:pStyle w:val="Style9"/>
              <w:widowControl/>
              <w:numPr>
                <w:ilvl w:val="0"/>
                <w:numId w:val="6"/>
              </w:numPr>
              <w:tabs>
                <w:tab w:val="left" w:pos="601"/>
                <w:tab w:val="left" w:pos="885"/>
              </w:tabs>
              <w:ind w:left="34" w:firstLine="567"/>
              <w:rPr>
                <w:rStyle w:val="FontStyle43"/>
                <w:lang w:val="ro-RO" w:eastAsia="ro-RO"/>
              </w:rPr>
            </w:pPr>
            <w:r w:rsidRPr="00B17AED">
              <w:rPr>
                <w:rStyle w:val="FontStyle43"/>
                <w:lang w:val="ro-RO" w:eastAsia="ro-RO"/>
              </w:rPr>
              <w:t>Regulamentului (UE) nr.1169/2011 al Parlamentului European și al Consiliului din 25 octombrie 2011 privind informarea consumatorilor cu privire la produsele alimentare, de modificare a Regulamentelor (CE) nr.1924/2006 și (CE) nr.1925/2006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DD4797" w:rsidRPr="00B17AED" w:rsidRDefault="00DD4797" w:rsidP="00745C2C">
            <w:pPr>
              <w:pStyle w:val="Style9"/>
              <w:widowControl/>
              <w:ind w:firstLine="601"/>
              <w:rPr>
                <w:rStyle w:val="FontStyle43"/>
                <w:lang w:val="ro-RO" w:eastAsia="ro-RO"/>
              </w:rPr>
            </w:pPr>
            <w:r w:rsidRPr="00B17AED">
              <w:rPr>
                <w:rStyle w:val="FontStyle43"/>
                <w:lang w:val="ro-RO" w:eastAsia="ro-RO"/>
              </w:rPr>
              <w:t>Gradul de compatibilitate a act</w:t>
            </w:r>
            <w:r w:rsidR="00F627C4" w:rsidRPr="00B17AED">
              <w:rPr>
                <w:rStyle w:val="FontStyle43"/>
                <w:lang w:val="ro-RO" w:eastAsia="ro-RO"/>
              </w:rPr>
              <w:t>elor</w:t>
            </w:r>
            <w:r w:rsidRPr="00B17AED">
              <w:rPr>
                <w:rStyle w:val="FontStyle43"/>
                <w:lang w:val="ro-RO" w:eastAsia="ro-RO"/>
              </w:rPr>
              <w:t xml:space="preserve"> UE cu proiectul de lege în cauză este reflectat în tabelul de concordanță elaborat conform prevederilor </w:t>
            </w:r>
            <w:proofErr w:type="spellStart"/>
            <w:r w:rsidRPr="00B17AED">
              <w:rPr>
                <w:rStyle w:val="FontStyle43"/>
                <w:lang w:val="ro-RO" w:eastAsia="ro-RO"/>
              </w:rPr>
              <w:t>Hotărîrii</w:t>
            </w:r>
            <w:proofErr w:type="spellEnd"/>
            <w:r w:rsidRPr="00B17AED">
              <w:rPr>
                <w:rStyle w:val="FontStyle43"/>
                <w:lang w:val="ro-RO" w:eastAsia="ro-RO"/>
              </w:rPr>
              <w:t xml:space="preserve"> de Guvern nr.</w:t>
            </w:r>
            <w:r w:rsidR="00745C2C" w:rsidRPr="00B17AED">
              <w:rPr>
                <w:rStyle w:val="FontStyle43"/>
                <w:lang w:val="ro-RO" w:eastAsia="ro-RO"/>
              </w:rPr>
              <w:t>1171/2018 pentru aprobarea Regulamentului privind armonizarea legislației Republicii Moldova cu legislația Uniunii Europene</w:t>
            </w:r>
            <w:r w:rsidRPr="00B17AED">
              <w:rPr>
                <w:rStyle w:val="FontStyle43"/>
                <w:lang w:val="ro-RO" w:eastAsia="ro-RO"/>
              </w:rPr>
              <w:t>.</w:t>
            </w:r>
          </w:p>
          <w:p w:rsidR="00DD4797" w:rsidRPr="00B17AED" w:rsidRDefault="00DD4797" w:rsidP="00DD4797">
            <w:pPr>
              <w:pStyle w:val="Style29"/>
              <w:widowControl/>
              <w:tabs>
                <w:tab w:val="left" w:pos="142"/>
                <w:tab w:val="left" w:pos="284"/>
                <w:tab w:val="left" w:pos="993"/>
              </w:tabs>
              <w:spacing w:line="274" w:lineRule="exact"/>
              <w:ind w:firstLine="601"/>
              <w:jc w:val="both"/>
              <w:rPr>
                <w:rStyle w:val="FontStyle41"/>
                <w:b w:val="0"/>
                <w:i w:val="0"/>
                <w:lang w:val="ro-RO" w:eastAsia="ro-RO"/>
              </w:rPr>
            </w:pPr>
            <w:r w:rsidRPr="00B17AED">
              <w:rPr>
                <w:rStyle w:val="FontStyle41"/>
                <w:b w:val="0"/>
                <w:i w:val="0"/>
                <w:lang w:val="ro-RO" w:eastAsia="ro-RO"/>
              </w:rPr>
              <w:t>Proiectul prenotat rectifică referințele direcționate</w:t>
            </w:r>
            <w:r w:rsidR="003D5CA5" w:rsidRPr="00B17AED">
              <w:rPr>
                <w:rStyle w:val="FontStyle41"/>
                <w:b w:val="0"/>
                <w:i w:val="0"/>
                <w:lang w:val="ro-RO" w:eastAsia="ro-RO"/>
              </w:rPr>
              <w:t xml:space="preserve"> </w:t>
            </w:r>
            <w:r w:rsidRPr="00B17AED">
              <w:rPr>
                <w:rStyle w:val="FontStyle41"/>
                <w:b w:val="0"/>
                <w:i w:val="0"/>
                <w:lang w:val="ro-RO" w:eastAsia="ro-RO"/>
              </w:rPr>
              <w:t>către Legea nr.78/2004 și Legea nr.113/2012</w:t>
            </w:r>
            <w:r w:rsidR="0014048A" w:rsidRPr="00B17AED">
              <w:rPr>
                <w:rStyle w:val="FontStyle41"/>
                <w:b w:val="0"/>
                <w:i w:val="0"/>
                <w:lang w:val="ro-RO" w:eastAsia="ro-RO"/>
              </w:rPr>
              <w:t xml:space="preserve"> a </w:t>
            </w:r>
            <w:r w:rsidR="003D5CA5" w:rsidRPr="00B17AED">
              <w:rPr>
                <w:rStyle w:val="FontStyle41"/>
                <w:b w:val="0"/>
                <w:i w:val="0"/>
                <w:lang w:val="ro-RO" w:eastAsia="ro-RO"/>
              </w:rPr>
              <w:t xml:space="preserve">în contextul </w:t>
            </w:r>
            <w:r w:rsidR="0014048A" w:rsidRPr="00B17AED">
              <w:rPr>
                <w:rStyle w:val="FontStyle41"/>
                <w:b w:val="0"/>
                <w:i w:val="0"/>
                <w:lang w:val="ro-RO" w:eastAsia="ro-RO"/>
              </w:rPr>
              <w:t>următoarelor acte normative:</w:t>
            </w:r>
          </w:p>
          <w:p w:rsidR="0014048A" w:rsidRPr="00B17AED" w:rsidRDefault="0014048A" w:rsidP="0014048A">
            <w:pPr>
              <w:pStyle w:val="Style29"/>
              <w:widowControl/>
              <w:numPr>
                <w:ilvl w:val="0"/>
                <w:numId w:val="7"/>
              </w:numPr>
              <w:tabs>
                <w:tab w:val="left" w:pos="142"/>
                <w:tab w:val="left" w:pos="284"/>
                <w:tab w:val="left" w:pos="993"/>
              </w:tabs>
              <w:spacing w:line="274" w:lineRule="exact"/>
              <w:ind w:left="-108" w:firstLine="709"/>
              <w:jc w:val="both"/>
              <w:rPr>
                <w:rStyle w:val="FontStyle41"/>
                <w:b w:val="0"/>
                <w:i w:val="0"/>
                <w:lang w:val="ro-RO" w:eastAsia="ro-RO"/>
              </w:rPr>
            </w:pPr>
            <w:r w:rsidRPr="00B17AED">
              <w:rPr>
                <w:rStyle w:val="FontStyle41"/>
                <w:b w:val="0"/>
                <w:i w:val="0"/>
                <w:lang w:val="ro-RO" w:eastAsia="ro-RO"/>
              </w:rPr>
              <w:t xml:space="preserve">Legea nr.420/2006 privind activitatea de reglementare tehnică </w:t>
            </w:r>
          </w:p>
          <w:p w:rsidR="0014048A" w:rsidRPr="00B17AED" w:rsidRDefault="0014048A" w:rsidP="0014048A">
            <w:pPr>
              <w:pStyle w:val="Style29"/>
              <w:widowControl/>
              <w:numPr>
                <w:ilvl w:val="0"/>
                <w:numId w:val="7"/>
              </w:numPr>
              <w:tabs>
                <w:tab w:val="left" w:pos="142"/>
                <w:tab w:val="left" w:pos="284"/>
                <w:tab w:val="left" w:pos="993"/>
              </w:tabs>
              <w:spacing w:line="274" w:lineRule="exact"/>
              <w:ind w:left="-108" w:firstLine="709"/>
              <w:jc w:val="both"/>
              <w:rPr>
                <w:rStyle w:val="FontStyle41"/>
                <w:b w:val="0"/>
                <w:i w:val="0"/>
                <w:lang w:val="ro-RO" w:eastAsia="ro-RO"/>
              </w:rPr>
            </w:pPr>
            <w:r w:rsidRPr="00B17AED">
              <w:rPr>
                <w:rStyle w:val="FontStyle41"/>
                <w:b w:val="0"/>
                <w:i w:val="0"/>
                <w:lang w:val="ro-RO" w:eastAsia="ro-RO"/>
              </w:rPr>
              <w:t xml:space="preserve">Legea nr.221/2007 privind activitatea sanitar-veterinară </w:t>
            </w:r>
          </w:p>
          <w:p w:rsidR="0014048A" w:rsidRPr="00B17AED" w:rsidRDefault="0014048A" w:rsidP="0014048A">
            <w:pPr>
              <w:pStyle w:val="Style29"/>
              <w:widowControl/>
              <w:numPr>
                <w:ilvl w:val="0"/>
                <w:numId w:val="7"/>
              </w:numPr>
              <w:tabs>
                <w:tab w:val="left" w:pos="142"/>
                <w:tab w:val="left" w:pos="284"/>
                <w:tab w:val="left" w:pos="993"/>
              </w:tabs>
              <w:spacing w:line="274" w:lineRule="exact"/>
              <w:ind w:left="-108" w:firstLine="709"/>
              <w:jc w:val="both"/>
              <w:rPr>
                <w:rStyle w:val="FontStyle41"/>
                <w:b w:val="0"/>
                <w:i w:val="0"/>
                <w:lang w:val="ro-RO" w:eastAsia="ro-RO"/>
              </w:rPr>
            </w:pPr>
            <w:r w:rsidRPr="00B17AED">
              <w:rPr>
                <w:rStyle w:val="FontStyle41"/>
                <w:b w:val="0"/>
                <w:i w:val="0"/>
                <w:lang w:val="ro-RO" w:eastAsia="ro-RO"/>
              </w:rPr>
              <w:t>Legea nr.10/2009 privind supravegherea de stat a sănătăţii publice</w:t>
            </w:r>
          </w:p>
          <w:p w:rsidR="0014048A" w:rsidRPr="00B17AED" w:rsidRDefault="0014048A" w:rsidP="0014048A">
            <w:pPr>
              <w:pStyle w:val="Style29"/>
              <w:widowControl/>
              <w:numPr>
                <w:ilvl w:val="0"/>
                <w:numId w:val="7"/>
              </w:numPr>
              <w:tabs>
                <w:tab w:val="left" w:pos="142"/>
                <w:tab w:val="left" w:pos="284"/>
                <w:tab w:val="left" w:pos="993"/>
              </w:tabs>
              <w:spacing w:line="274" w:lineRule="exact"/>
              <w:ind w:left="-108" w:firstLine="709"/>
              <w:jc w:val="both"/>
              <w:rPr>
                <w:rStyle w:val="FontStyle41"/>
                <w:b w:val="0"/>
                <w:i w:val="0"/>
                <w:lang w:val="ro-RO" w:eastAsia="ro-RO"/>
              </w:rPr>
            </w:pPr>
            <w:r w:rsidRPr="00B17AED">
              <w:rPr>
                <w:rStyle w:val="FontStyle41"/>
                <w:b w:val="0"/>
                <w:i w:val="0"/>
                <w:lang w:val="ro-RO" w:eastAsia="ro-RO"/>
              </w:rPr>
              <w:t>Legea nr.50/2013 cu privire la controalele oficiale pentru verificarea conformităţii cu legislaţia privind hrana pentru animale şi produsele alimentare şi cu normele de sănătate şi de bunăstare a animalelor</w:t>
            </w:r>
            <w:r w:rsidR="003D5CA5" w:rsidRPr="00B17AED">
              <w:rPr>
                <w:rStyle w:val="FontStyle41"/>
                <w:b w:val="0"/>
                <w:i w:val="0"/>
                <w:lang w:val="ro-RO" w:eastAsia="ro-RO"/>
              </w:rPr>
              <w:t>.</w:t>
            </w:r>
          </w:p>
          <w:p w:rsidR="00DD4797" w:rsidRPr="00B17AED" w:rsidRDefault="00DD4797" w:rsidP="00DD4797">
            <w:pPr>
              <w:pStyle w:val="Style29"/>
              <w:widowControl/>
              <w:tabs>
                <w:tab w:val="left" w:pos="142"/>
                <w:tab w:val="left" w:pos="284"/>
                <w:tab w:val="left" w:pos="993"/>
              </w:tabs>
              <w:spacing w:line="274" w:lineRule="exact"/>
              <w:ind w:firstLine="601"/>
              <w:jc w:val="both"/>
              <w:rPr>
                <w:sz w:val="22"/>
                <w:szCs w:val="22"/>
                <w:lang w:val="ro-RO"/>
              </w:rPr>
            </w:pPr>
            <w:r w:rsidRPr="00B17AED">
              <w:rPr>
                <w:sz w:val="22"/>
                <w:szCs w:val="22"/>
                <w:lang w:val="ro-RO"/>
              </w:rPr>
              <w:t>De asemenea, proiectul de lege vine cu noi completări privind etichetarea produselor alimentare reglementată de Legea nr.279/2017. În special, aceste prevederi vor reflecta modalitatea de marcare a datei de fabricare și a durabilității minimale.</w:t>
            </w:r>
            <w:r w:rsidR="00671DFB" w:rsidRPr="00B17AED">
              <w:rPr>
                <w:sz w:val="22"/>
                <w:szCs w:val="22"/>
                <w:lang w:val="ro-RO"/>
              </w:rPr>
              <w:t xml:space="preserve"> </w:t>
            </w:r>
          </w:p>
          <w:p w:rsidR="00671DFB" w:rsidRPr="00B17AED" w:rsidRDefault="00671DFB" w:rsidP="00DD4797">
            <w:pPr>
              <w:pStyle w:val="Style29"/>
              <w:widowControl/>
              <w:tabs>
                <w:tab w:val="left" w:pos="142"/>
                <w:tab w:val="left" w:pos="284"/>
                <w:tab w:val="left" w:pos="993"/>
              </w:tabs>
              <w:spacing w:line="274" w:lineRule="exact"/>
              <w:ind w:firstLine="601"/>
              <w:jc w:val="both"/>
              <w:rPr>
                <w:color w:val="000000" w:themeColor="text1"/>
                <w:sz w:val="22"/>
                <w:szCs w:val="22"/>
                <w:lang w:val="ro-RO"/>
              </w:rPr>
            </w:pPr>
            <w:r w:rsidRPr="00B17AED">
              <w:rPr>
                <w:sz w:val="22"/>
                <w:szCs w:val="22"/>
                <w:lang w:val="ro-RO"/>
              </w:rPr>
              <w:t xml:space="preserve">La fel, proiectul de lege modifică </w:t>
            </w:r>
            <w:r w:rsidRPr="00B17AED">
              <w:rPr>
                <w:rStyle w:val="FontStyle43"/>
                <w:color w:val="000000" w:themeColor="text1"/>
                <w:lang w:val="ro-RO" w:eastAsia="ro-RO"/>
              </w:rPr>
              <w:t>prevederile art.41, alin.(1) din Legea nr.279/2017, prin extinderea termenului de intrare în vigoare a acestuia cu încă 18 luni de la termenul stabilit anterior.</w:t>
            </w:r>
            <w:r w:rsidR="001A1807" w:rsidRPr="00B17AED">
              <w:rPr>
                <w:rStyle w:val="FontStyle43"/>
                <w:color w:val="000000" w:themeColor="text1"/>
                <w:lang w:val="ro-RO" w:eastAsia="ro-RO"/>
              </w:rPr>
              <w:t xml:space="preserve"> Ca urmare acestei prevederi se va acorda timp pentru dotarea și acreditarea laboratorului I.P CRDV la metodele de analiză necesare pentru prezentarea declarației nutriționale corespunzătoare pe eticheta produsului alimentar. Astfel, operatorii din domeniul alimentar vor putea să se conformeze și să implementeze cu succes prevederile Legii nr.279/2017.</w:t>
            </w:r>
          </w:p>
          <w:p w:rsidR="00DD4797" w:rsidRPr="00B17AED" w:rsidRDefault="00DD4797" w:rsidP="00DD4797">
            <w:pPr>
              <w:pStyle w:val="Style29"/>
              <w:widowControl/>
              <w:tabs>
                <w:tab w:val="left" w:pos="142"/>
                <w:tab w:val="left" w:pos="284"/>
                <w:tab w:val="left" w:pos="993"/>
              </w:tabs>
              <w:spacing w:line="274" w:lineRule="exact"/>
              <w:ind w:firstLine="601"/>
              <w:jc w:val="both"/>
              <w:rPr>
                <w:sz w:val="22"/>
                <w:szCs w:val="22"/>
                <w:lang w:val="ro-RO"/>
              </w:rPr>
            </w:pPr>
            <w:r w:rsidRPr="00B17AED">
              <w:rPr>
                <w:sz w:val="22"/>
                <w:szCs w:val="22"/>
                <w:lang w:val="ro-RO"/>
              </w:rPr>
              <w:t>Totodată, menționăm și completarea Legii nr.296/2017 cu cerințe noi privind transportul pe cale maritimă a uleiurilor și a grăsimilor lichide</w:t>
            </w:r>
            <w:r w:rsidR="004D5890">
              <w:rPr>
                <w:sz w:val="22"/>
                <w:szCs w:val="22"/>
                <w:lang w:val="ro-RO"/>
              </w:rPr>
              <w:t xml:space="preserve"> destinate consumului uman</w:t>
            </w:r>
            <w:r w:rsidRPr="00B17AED">
              <w:rPr>
                <w:sz w:val="22"/>
                <w:szCs w:val="22"/>
                <w:lang w:val="ro-RO"/>
              </w:rPr>
              <w:t xml:space="preserve"> </w:t>
            </w:r>
            <w:r w:rsidR="004D5890">
              <w:rPr>
                <w:sz w:val="22"/>
                <w:szCs w:val="22"/>
                <w:lang w:val="ro-RO"/>
              </w:rPr>
              <w:t xml:space="preserve">(a următoarelor poziții tarifare 1501-1504 și 1507-1518) </w:t>
            </w:r>
            <w:r w:rsidRPr="00B17AED">
              <w:rPr>
                <w:sz w:val="22"/>
                <w:szCs w:val="22"/>
                <w:lang w:val="ro-RO"/>
              </w:rPr>
              <w:t>conform normelor UE.</w:t>
            </w:r>
            <w:r w:rsidR="001A1807" w:rsidRPr="00B17AED">
              <w:rPr>
                <w:sz w:val="22"/>
                <w:szCs w:val="22"/>
                <w:lang w:val="ro-RO"/>
              </w:rPr>
              <w:t xml:space="preserve"> Completarea se referă la </w:t>
            </w:r>
            <w:r w:rsidR="00491D14" w:rsidRPr="00B17AED">
              <w:rPr>
                <w:sz w:val="22"/>
                <w:szCs w:val="22"/>
                <w:lang w:val="ro-RO"/>
              </w:rPr>
              <w:t>o derogare de la cerința generală ca produsele alimentare să fie transportate doar în rezervoare sau containere destinate doar pentru produsele alimentare.</w:t>
            </w:r>
            <w:r w:rsidR="005930BA" w:rsidRPr="00B17AED">
              <w:rPr>
                <w:sz w:val="22"/>
                <w:szCs w:val="22"/>
                <w:lang w:val="ro-RO"/>
              </w:rPr>
              <w:t xml:space="preserve"> Aceste prevederi vor facilita transportul pe cale maritimă a uleiurilor destinate </w:t>
            </w:r>
            <w:r w:rsidR="005930BA" w:rsidRPr="00B17AED">
              <w:rPr>
                <w:sz w:val="22"/>
                <w:szCs w:val="22"/>
                <w:lang w:val="ro-RO"/>
              </w:rPr>
              <w:lastRenderedPageBreak/>
              <w:t>consumului u</w:t>
            </w:r>
            <w:r w:rsidR="00BC246B" w:rsidRPr="00B17AED">
              <w:rPr>
                <w:sz w:val="22"/>
                <w:szCs w:val="22"/>
                <w:lang w:val="ro-RO"/>
              </w:rPr>
              <w:t>man și alinierea la cerințele UE.</w:t>
            </w:r>
          </w:p>
          <w:p w:rsidR="001266FD" w:rsidRPr="00B17AED" w:rsidRDefault="00BC246B" w:rsidP="00DD4797">
            <w:pPr>
              <w:pStyle w:val="Style29"/>
              <w:widowControl/>
              <w:tabs>
                <w:tab w:val="left" w:pos="142"/>
                <w:tab w:val="left" w:pos="284"/>
                <w:tab w:val="left" w:pos="993"/>
              </w:tabs>
              <w:spacing w:line="274" w:lineRule="exact"/>
              <w:ind w:firstLine="601"/>
              <w:jc w:val="both"/>
              <w:rPr>
                <w:sz w:val="22"/>
                <w:szCs w:val="22"/>
                <w:lang w:val="ro-RO"/>
              </w:rPr>
            </w:pPr>
            <w:r w:rsidRPr="00B17AED">
              <w:rPr>
                <w:sz w:val="22"/>
                <w:szCs w:val="22"/>
                <w:lang w:val="ro-RO"/>
              </w:rPr>
              <w:t xml:space="preserve">În ceea ce privește </w:t>
            </w:r>
            <w:r w:rsidR="001266FD" w:rsidRPr="00B17AED">
              <w:rPr>
                <w:sz w:val="22"/>
                <w:szCs w:val="22"/>
                <w:lang w:val="ro-RO"/>
              </w:rPr>
              <w:t xml:space="preserve">completările care vor fi operate </w:t>
            </w:r>
            <w:r w:rsidR="005930BA" w:rsidRPr="00B17AED">
              <w:rPr>
                <w:sz w:val="22"/>
                <w:szCs w:val="22"/>
                <w:lang w:val="ro-RO"/>
              </w:rPr>
              <w:t>în Legea nr.279/2017 prin intermediul prezentului proiect de lege va exclude riscurile și problemele create în vederea etichetării produselor alimentare la nivel de cadru normativ care la moment lipsesc și necesită a fi ajustate unele prevederi, ca rezultat aceasta va permite operatorilor din domeniul alimentar să implementeze cu succes cerințele prezentei legi și va respecta dreptul consumatorilor la informația deplină asupra produsului achiziționat.</w:t>
            </w:r>
          </w:p>
          <w:p w:rsidR="00491D14" w:rsidRPr="00B17AED" w:rsidRDefault="00EE01CF" w:rsidP="00DD4797">
            <w:pPr>
              <w:pStyle w:val="Style29"/>
              <w:widowControl/>
              <w:tabs>
                <w:tab w:val="left" w:pos="142"/>
                <w:tab w:val="left" w:pos="284"/>
                <w:tab w:val="left" w:pos="993"/>
              </w:tabs>
              <w:spacing w:line="274" w:lineRule="exact"/>
              <w:ind w:firstLine="601"/>
              <w:jc w:val="both"/>
              <w:rPr>
                <w:sz w:val="22"/>
                <w:szCs w:val="22"/>
                <w:lang w:val="ro-RO"/>
              </w:rPr>
            </w:pPr>
            <w:r w:rsidRPr="00B17AED">
              <w:rPr>
                <w:sz w:val="22"/>
                <w:szCs w:val="22"/>
                <w:lang w:val="ro-RO"/>
              </w:rPr>
              <w:t>Întru</w:t>
            </w:r>
            <w:r w:rsidR="00491D14" w:rsidRPr="00B17AED">
              <w:rPr>
                <w:sz w:val="22"/>
                <w:szCs w:val="22"/>
                <w:lang w:val="ro-RO"/>
              </w:rPr>
              <w:t xml:space="preserve"> respectarea </w:t>
            </w:r>
            <w:r w:rsidRPr="00B17AED">
              <w:rPr>
                <w:sz w:val="22"/>
                <w:szCs w:val="22"/>
                <w:lang w:val="ro-RO"/>
              </w:rPr>
              <w:t xml:space="preserve">prevederile art.54, alin.(1) </w:t>
            </w:r>
            <w:proofErr w:type="spellStart"/>
            <w:r w:rsidRPr="00B17AED">
              <w:rPr>
                <w:sz w:val="22"/>
                <w:szCs w:val="22"/>
                <w:lang w:val="ro-RO"/>
              </w:rPr>
              <w:t>lit.c</w:t>
            </w:r>
            <w:proofErr w:type="spellEnd"/>
            <w:r w:rsidRPr="00B17AED">
              <w:rPr>
                <w:sz w:val="22"/>
                <w:szCs w:val="22"/>
                <w:lang w:val="ro-RO"/>
              </w:rPr>
              <w:t>) și d)</w:t>
            </w:r>
            <w:r w:rsidR="00491D14" w:rsidRPr="00B17AED">
              <w:rPr>
                <w:sz w:val="22"/>
                <w:szCs w:val="22"/>
                <w:lang w:val="ro-RO"/>
              </w:rPr>
              <w:t xml:space="preserve"> din Legea nr.100/2017</w:t>
            </w:r>
            <w:r w:rsidRPr="00B17AED">
              <w:rPr>
                <w:sz w:val="22"/>
                <w:szCs w:val="22"/>
                <w:lang w:val="ro-RO"/>
              </w:rPr>
              <w:t xml:space="preserve"> cu privire la actele normative </w:t>
            </w:r>
            <w:proofErr w:type="spellStart"/>
            <w:r w:rsidRPr="00B17AED">
              <w:rPr>
                <w:sz w:val="22"/>
                <w:szCs w:val="22"/>
                <w:lang w:val="ro-RO"/>
              </w:rPr>
              <w:t>cît</w:t>
            </w:r>
            <w:proofErr w:type="spellEnd"/>
            <w:r w:rsidRPr="00B17AED">
              <w:rPr>
                <w:sz w:val="22"/>
                <w:szCs w:val="22"/>
                <w:lang w:val="ro-RO"/>
              </w:rPr>
              <w:t xml:space="preserve"> și în temeiul art.2 a Legii nr.306/2018 termenul ”operatorul din businessul alimentar” s-a substituit cu cuvintele ”operatorul din domeniul alimentar”, </w:t>
            </w:r>
            <w:proofErr w:type="spellStart"/>
            <w:r w:rsidRPr="00B17AED">
              <w:rPr>
                <w:sz w:val="22"/>
                <w:szCs w:val="22"/>
                <w:lang w:val="ro-RO"/>
              </w:rPr>
              <w:t>atît</w:t>
            </w:r>
            <w:proofErr w:type="spellEnd"/>
            <w:r w:rsidRPr="00B17AED">
              <w:rPr>
                <w:sz w:val="22"/>
                <w:szCs w:val="22"/>
                <w:lang w:val="ro-RO"/>
              </w:rPr>
              <w:t xml:space="preserve"> în Legea nr.279/2017 </w:t>
            </w:r>
            <w:proofErr w:type="spellStart"/>
            <w:r w:rsidRPr="00B17AED">
              <w:rPr>
                <w:sz w:val="22"/>
                <w:szCs w:val="22"/>
                <w:lang w:val="ro-RO"/>
              </w:rPr>
              <w:t>cît</w:t>
            </w:r>
            <w:proofErr w:type="spellEnd"/>
            <w:r w:rsidRPr="00B17AED">
              <w:rPr>
                <w:sz w:val="22"/>
                <w:szCs w:val="22"/>
                <w:lang w:val="ro-RO"/>
              </w:rPr>
              <w:t xml:space="preserve"> și în Legea nr.296/2017 în tot conținutul textului.</w:t>
            </w:r>
          </w:p>
          <w:p w:rsidR="00DD4797" w:rsidRPr="00B17AED" w:rsidRDefault="00DD4797" w:rsidP="00B01D14">
            <w:pPr>
              <w:pStyle w:val="Style29"/>
              <w:tabs>
                <w:tab w:val="left" w:pos="142"/>
                <w:tab w:val="left" w:pos="284"/>
                <w:tab w:val="left" w:pos="993"/>
              </w:tabs>
              <w:spacing w:line="274" w:lineRule="exact"/>
              <w:ind w:firstLine="601"/>
              <w:jc w:val="both"/>
              <w:rPr>
                <w:rStyle w:val="FontStyle43"/>
                <w:bCs/>
                <w:iCs/>
                <w:lang w:val="ro-RO" w:eastAsia="ro-RO"/>
              </w:rPr>
            </w:pPr>
            <w:r w:rsidRPr="00B17AED">
              <w:rPr>
                <w:rStyle w:val="FontStyle41"/>
                <w:b w:val="0"/>
                <w:i w:val="0"/>
                <w:lang w:val="ro-RO" w:eastAsia="ro-RO"/>
              </w:rPr>
              <w:t>Astfel, prezentul proiect are drept scop asigurarea unui nivel ridicat de protecţie a sănătăţii consumatorilor şi garantarea dreptului acestora la produse alimentare sigure, prin responsabilizarea operatorilor din domeniul alimentar.</w:t>
            </w:r>
          </w:p>
        </w:tc>
      </w:tr>
      <w:tr w:rsidR="00DD4797" w:rsidRPr="00B17AED" w:rsidTr="00891B25">
        <w:trPr>
          <w:trHeight w:val="221"/>
        </w:trPr>
        <w:tc>
          <w:tcPr>
            <w:tcW w:w="9639" w:type="dxa"/>
            <w:gridSpan w:val="3"/>
          </w:tcPr>
          <w:p w:rsidR="00DD4797" w:rsidRPr="00B17AED" w:rsidRDefault="00DD4797" w:rsidP="00DD4797">
            <w:pPr>
              <w:pStyle w:val="Style7"/>
              <w:widowControl/>
              <w:tabs>
                <w:tab w:val="left" w:pos="885"/>
              </w:tabs>
              <w:ind w:firstLine="601"/>
              <w:jc w:val="both"/>
              <w:rPr>
                <w:rStyle w:val="FontStyle42"/>
                <w:lang w:val="ro-RO" w:eastAsia="ro-RO"/>
              </w:rPr>
            </w:pPr>
            <w:r w:rsidRPr="00B17AED">
              <w:rPr>
                <w:rStyle w:val="FontStyle42"/>
                <w:lang w:val="ro-RO" w:eastAsia="ro-RO"/>
              </w:rPr>
              <w:lastRenderedPageBreak/>
              <w:t>4. Analiza impacturilor opţiunilor</w:t>
            </w:r>
          </w:p>
        </w:tc>
      </w:tr>
      <w:tr w:rsidR="00DD4797" w:rsidRPr="00B17AED" w:rsidTr="007A6A27">
        <w:trPr>
          <w:trHeight w:val="5513"/>
        </w:trPr>
        <w:tc>
          <w:tcPr>
            <w:tcW w:w="9639" w:type="dxa"/>
            <w:gridSpan w:val="3"/>
          </w:tcPr>
          <w:p w:rsidR="00DD4797" w:rsidRPr="00B17AED" w:rsidRDefault="00DD4797" w:rsidP="00DD4797">
            <w:pPr>
              <w:pStyle w:val="Style6"/>
              <w:widowControl/>
              <w:tabs>
                <w:tab w:val="left" w:pos="142"/>
                <w:tab w:val="left" w:pos="885"/>
              </w:tabs>
              <w:spacing w:line="274" w:lineRule="exact"/>
              <w:ind w:firstLine="601"/>
              <w:rPr>
                <w:rStyle w:val="FontStyle41"/>
                <w:lang w:val="ro-RO" w:eastAsia="ro-RO"/>
              </w:rPr>
            </w:pPr>
            <w:r w:rsidRPr="00B17AED">
              <w:rPr>
                <w:rStyle w:val="FontStyle41"/>
                <w:i w:val="0"/>
                <w:lang w:val="ro-RO" w:eastAsia="ro-RO"/>
              </w:rPr>
              <w:t>Opţiunea I</w:t>
            </w:r>
            <w:r w:rsidRPr="00B17AED">
              <w:rPr>
                <w:rStyle w:val="FontStyle41"/>
                <w:lang w:val="ro-RO" w:eastAsia="ro-RO"/>
              </w:rPr>
              <w:t>- A nu face nimic;</w:t>
            </w:r>
          </w:p>
          <w:p w:rsidR="00DD4797" w:rsidRPr="00B17AED" w:rsidRDefault="00DD4797" w:rsidP="00DD4797">
            <w:pPr>
              <w:pStyle w:val="Style18"/>
              <w:widowControl/>
              <w:tabs>
                <w:tab w:val="left" w:pos="142"/>
                <w:tab w:val="left" w:pos="885"/>
              </w:tabs>
              <w:spacing w:line="274" w:lineRule="exact"/>
              <w:ind w:firstLine="601"/>
              <w:rPr>
                <w:rStyle w:val="FontStyle40"/>
                <w:lang w:val="ro-RO" w:eastAsia="ro-RO"/>
              </w:rPr>
            </w:pPr>
            <w:r w:rsidRPr="00B17AED">
              <w:rPr>
                <w:rStyle w:val="FontStyle40"/>
                <w:lang w:val="ro-RO" w:eastAsia="ro-RO"/>
              </w:rPr>
              <w:t>Costuri:</w:t>
            </w:r>
          </w:p>
          <w:p w:rsidR="00DD4797" w:rsidRPr="00B17AED" w:rsidRDefault="00DD4797" w:rsidP="00DD4797">
            <w:pPr>
              <w:pStyle w:val="Style18"/>
              <w:widowControl/>
              <w:tabs>
                <w:tab w:val="left" w:pos="142"/>
                <w:tab w:val="left" w:pos="885"/>
              </w:tabs>
              <w:spacing w:line="274" w:lineRule="exact"/>
              <w:ind w:firstLine="601"/>
              <w:rPr>
                <w:rStyle w:val="FontStyle43"/>
                <w:lang w:val="ro-RO" w:eastAsia="ro-RO"/>
              </w:rPr>
            </w:pPr>
            <w:r w:rsidRPr="00B17AED">
              <w:rPr>
                <w:rStyle w:val="FontStyle43"/>
                <w:lang w:val="ro-RO" w:eastAsia="ro-RO"/>
              </w:rPr>
              <w:t>Costurile în lipsa intervenţiei propuse nu s-au identificat.</w:t>
            </w:r>
          </w:p>
          <w:p w:rsidR="00DB0390" w:rsidRPr="00B17AED" w:rsidRDefault="00DB0390" w:rsidP="00DD4797">
            <w:pPr>
              <w:pStyle w:val="Style18"/>
              <w:widowControl/>
              <w:tabs>
                <w:tab w:val="left" w:pos="142"/>
                <w:tab w:val="left" w:pos="885"/>
              </w:tabs>
              <w:spacing w:line="274" w:lineRule="exact"/>
              <w:ind w:firstLine="601"/>
              <w:rPr>
                <w:rStyle w:val="FontStyle43"/>
                <w:i/>
                <w:lang w:val="ro-RO" w:eastAsia="ro-RO"/>
              </w:rPr>
            </w:pPr>
            <w:r w:rsidRPr="00B17AED">
              <w:rPr>
                <w:rStyle w:val="FontStyle43"/>
                <w:i/>
                <w:lang w:val="ro-RO" w:eastAsia="ro-RO"/>
              </w:rPr>
              <w:t>Beneficii:</w:t>
            </w:r>
          </w:p>
          <w:p w:rsidR="00DB0390" w:rsidRPr="00B17AED" w:rsidRDefault="00DB0390" w:rsidP="00DD4797">
            <w:pPr>
              <w:pStyle w:val="Style18"/>
              <w:widowControl/>
              <w:tabs>
                <w:tab w:val="left" w:pos="142"/>
                <w:tab w:val="left" w:pos="885"/>
              </w:tabs>
              <w:spacing w:line="274" w:lineRule="exact"/>
              <w:ind w:firstLine="601"/>
              <w:rPr>
                <w:rStyle w:val="FontStyle43"/>
                <w:lang w:val="ro-RO" w:eastAsia="ro-RO"/>
              </w:rPr>
            </w:pPr>
            <w:r w:rsidRPr="00B17AED">
              <w:rPr>
                <w:rStyle w:val="FontStyle43"/>
                <w:lang w:val="ro-RO" w:eastAsia="ro-RO"/>
              </w:rPr>
              <w:t>Beneficii în lipsa intervenţiei propuse nu s-au identificat.</w:t>
            </w:r>
          </w:p>
          <w:p w:rsidR="00DD4797" w:rsidRPr="00B17AED" w:rsidRDefault="00DB0390" w:rsidP="00DD4797">
            <w:pPr>
              <w:pStyle w:val="Style13"/>
              <w:widowControl/>
              <w:tabs>
                <w:tab w:val="left" w:pos="142"/>
                <w:tab w:val="left" w:pos="885"/>
              </w:tabs>
              <w:spacing w:line="274" w:lineRule="exact"/>
              <w:ind w:firstLine="601"/>
              <w:rPr>
                <w:rStyle w:val="FontStyle40"/>
                <w:lang w:val="ro-RO" w:eastAsia="ro-RO"/>
              </w:rPr>
            </w:pPr>
            <w:r w:rsidRPr="00B17AED">
              <w:rPr>
                <w:rStyle w:val="FontStyle40"/>
                <w:lang w:val="ro-RO" w:eastAsia="ro-RO"/>
              </w:rPr>
              <w:t>Efecte negative</w:t>
            </w:r>
            <w:r w:rsidR="00965410" w:rsidRPr="00B17AED">
              <w:rPr>
                <w:rStyle w:val="FontStyle40"/>
                <w:lang w:val="ro-RO" w:eastAsia="ro-RO"/>
              </w:rPr>
              <w:t>:</w:t>
            </w:r>
            <w:r w:rsidRPr="00B17AED">
              <w:rPr>
                <w:rStyle w:val="FontStyle40"/>
                <w:lang w:val="ro-RO" w:eastAsia="ro-RO"/>
              </w:rPr>
              <w:t xml:space="preserve"> </w:t>
            </w:r>
          </w:p>
          <w:p w:rsidR="00DD4797" w:rsidRPr="00B17AED" w:rsidRDefault="00DD4797" w:rsidP="00DD4797">
            <w:pPr>
              <w:pStyle w:val="Style14"/>
              <w:widowControl/>
              <w:numPr>
                <w:ilvl w:val="0"/>
                <w:numId w:val="1"/>
              </w:numPr>
              <w:tabs>
                <w:tab w:val="left" w:pos="142"/>
                <w:tab w:val="left" w:pos="885"/>
              </w:tabs>
              <w:spacing w:line="274" w:lineRule="exact"/>
              <w:ind w:firstLine="601"/>
              <w:jc w:val="left"/>
              <w:rPr>
                <w:rStyle w:val="FontStyle43"/>
                <w:lang w:val="ro-RO" w:eastAsia="ro-RO"/>
              </w:rPr>
            </w:pPr>
            <w:r w:rsidRPr="00B17AED">
              <w:rPr>
                <w:rStyle w:val="FontStyle43"/>
                <w:lang w:val="ro-RO" w:eastAsia="ro-RO"/>
              </w:rPr>
              <w:t>Existenţa unor neconformităţi în cadrul legislativ naţional;</w:t>
            </w:r>
          </w:p>
          <w:p w:rsidR="00DD4797" w:rsidRPr="00B17AED" w:rsidRDefault="00DD4797" w:rsidP="00DD4797">
            <w:pPr>
              <w:pStyle w:val="Style14"/>
              <w:widowControl/>
              <w:numPr>
                <w:ilvl w:val="0"/>
                <w:numId w:val="1"/>
              </w:numPr>
              <w:tabs>
                <w:tab w:val="left" w:pos="142"/>
                <w:tab w:val="left" w:pos="885"/>
              </w:tabs>
              <w:spacing w:line="274" w:lineRule="exact"/>
              <w:ind w:firstLine="601"/>
              <w:jc w:val="left"/>
              <w:rPr>
                <w:rStyle w:val="FontStyle43"/>
                <w:lang w:val="ro-RO" w:eastAsia="ro-RO"/>
              </w:rPr>
            </w:pPr>
            <w:r w:rsidRPr="00B17AED">
              <w:rPr>
                <w:rStyle w:val="FontStyle43"/>
                <w:lang w:val="ro-RO" w:eastAsia="ro-RO"/>
              </w:rPr>
              <w:t>Implementarea defectuoasă a prevederilor existente privind siguranța produselor alimentare</w:t>
            </w:r>
          </w:p>
          <w:p w:rsidR="00DD4797" w:rsidRPr="00B17AED" w:rsidRDefault="00DD4797" w:rsidP="00DD4797">
            <w:pPr>
              <w:pStyle w:val="Style14"/>
              <w:widowControl/>
              <w:numPr>
                <w:ilvl w:val="0"/>
                <w:numId w:val="1"/>
              </w:numPr>
              <w:tabs>
                <w:tab w:val="left" w:pos="142"/>
                <w:tab w:val="left" w:pos="885"/>
              </w:tabs>
              <w:spacing w:line="274" w:lineRule="exact"/>
              <w:ind w:firstLine="601"/>
              <w:jc w:val="left"/>
              <w:rPr>
                <w:rStyle w:val="FontStyle43"/>
                <w:lang w:val="ro-RO" w:eastAsia="ro-RO"/>
              </w:rPr>
            </w:pPr>
            <w:r w:rsidRPr="00B17AED">
              <w:rPr>
                <w:rStyle w:val="FontStyle43"/>
                <w:lang w:val="ro-RO" w:eastAsia="ro-RO"/>
              </w:rPr>
              <w:t>Informarea neconformă a consumatorilor;</w:t>
            </w:r>
          </w:p>
          <w:p w:rsidR="00DD4797" w:rsidRPr="00B17AED" w:rsidRDefault="00DD4797" w:rsidP="00DD4797">
            <w:pPr>
              <w:pStyle w:val="Style14"/>
              <w:widowControl/>
              <w:numPr>
                <w:ilvl w:val="0"/>
                <w:numId w:val="1"/>
              </w:numPr>
              <w:tabs>
                <w:tab w:val="left" w:pos="142"/>
                <w:tab w:val="left" w:pos="885"/>
              </w:tabs>
              <w:spacing w:line="274" w:lineRule="exact"/>
              <w:ind w:firstLine="601"/>
              <w:rPr>
                <w:rStyle w:val="FontStyle43"/>
                <w:lang w:val="ro-RO" w:eastAsia="ro-RO"/>
              </w:rPr>
            </w:pPr>
            <w:r w:rsidRPr="00B17AED">
              <w:rPr>
                <w:rStyle w:val="FontStyle43"/>
                <w:lang w:val="ro-RO" w:eastAsia="ro-RO"/>
              </w:rPr>
              <w:t xml:space="preserve">Nu va </w:t>
            </w:r>
            <w:r w:rsidRPr="00B17AED">
              <w:rPr>
                <w:rStyle w:val="FontStyle43"/>
                <w:spacing w:val="-20"/>
                <w:lang w:val="ro-RO" w:eastAsia="ro-RO"/>
              </w:rPr>
              <w:t>fi</w:t>
            </w:r>
            <w:r w:rsidRPr="00B17AED">
              <w:rPr>
                <w:rStyle w:val="FontStyle43"/>
                <w:lang w:val="ro-RO" w:eastAsia="ro-RO"/>
              </w:rPr>
              <w:t xml:space="preserve"> posibil de asigurat protecţia intereselor consumatorului privind siguranţa alimentelor supuse comercializării;</w:t>
            </w:r>
          </w:p>
          <w:p w:rsidR="00DD4797" w:rsidRPr="00B17AED" w:rsidRDefault="00DD4797" w:rsidP="00DD4797">
            <w:pPr>
              <w:pStyle w:val="Style14"/>
              <w:widowControl/>
              <w:tabs>
                <w:tab w:val="left" w:pos="142"/>
                <w:tab w:val="left" w:pos="885"/>
              </w:tabs>
              <w:spacing w:line="274" w:lineRule="exact"/>
              <w:ind w:firstLine="601"/>
              <w:jc w:val="left"/>
              <w:rPr>
                <w:rStyle w:val="FontStyle43"/>
                <w:i/>
                <w:lang w:val="ro-RO" w:eastAsia="ro-RO"/>
              </w:rPr>
            </w:pPr>
            <w:r w:rsidRPr="00B17AED">
              <w:rPr>
                <w:rStyle w:val="FontStyle43"/>
                <w:i/>
                <w:lang w:val="ro-RO" w:eastAsia="ro-RO"/>
              </w:rPr>
              <w:t>Riscuri:</w:t>
            </w:r>
          </w:p>
          <w:p w:rsidR="00DD4797" w:rsidRPr="00B17AED" w:rsidRDefault="00DD4797" w:rsidP="00DD4797">
            <w:pPr>
              <w:pStyle w:val="Style14"/>
              <w:widowControl/>
              <w:numPr>
                <w:ilvl w:val="0"/>
                <w:numId w:val="2"/>
              </w:numPr>
              <w:tabs>
                <w:tab w:val="left" w:pos="0"/>
                <w:tab w:val="left" w:pos="142"/>
                <w:tab w:val="left" w:pos="885"/>
              </w:tabs>
              <w:spacing w:line="274" w:lineRule="exact"/>
              <w:ind w:left="0" w:firstLine="601"/>
              <w:rPr>
                <w:rStyle w:val="FontStyle43"/>
                <w:lang w:val="ro-RO" w:eastAsia="ro-RO"/>
              </w:rPr>
            </w:pPr>
            <w:r w:rsidRPr="00B17AED">
              <w:rPr>
                <w:rStyle w:val="FontStyle43"/>
                <w:lang w:val="ro-RO" w:eastAsia="ro-RO"/>
              </w:rPr>
              <w:t>Apariţia pericolului privind siguranţa şi calitatea produselor alimentare.</w:t>
            </w:r>
          </w:p>
          <w:p w:rsidR="00DD4797" w:rsidRPr="00B17AED" w:rsidRDefault="00DD4797" w:rsidP="00DD4797">
            <w:pPr>
              <w:pStyle w:val="Style14"/>
              <w:widowControl/>
              <w:numPr>
                <w:ilvl w:val="0"/>
                <w:numId w:val="2"/>
              </w:numPr>
              <w:tabs>
                <w:tab w:val="left" w:pos="0"/>
                <w:tab w:val="left" w:pos="142"/>
                <w:tab w:val="left" w:pos="885"/>
              </w:tabs>
              <w:spacing w:line="274" w:lineRule="exact"/>
              <w:ind w:left="0" w:firstLine="601"/>
              <w:rPr>
                <w:rStyle w:val="FontStyle43"/>
                <w:lang w:val="ro-RO" w:eastAsia="ro-RO"/>
              </w:rPr>
            </w:pPr>
            <w:r w:rsidRPr="00B17AED">
              <w:rPr>
                <w:rStyle w:val="FontStyle43"/>
                <w:lang w:val="ro-RO" w:eastAsia="ro-RO"/>
              </w:rPr>
              <w:t xml:space="preserve">Neconformarea operatorilor din domeniul alimentar la cerințele de siguranță a produselor alimentare </w:t>
            </w:r>
            <w:proofErr w:type="spellStart"/>
            <w:r w:rsidRPr="00B17AED">
              <w:rPr>
                <w:rStyle w:val="FontStyle43"/>
                <w:lang w:val="ro-RO" w:eastAsia="ro-RO"/>
              </w:rPr>
              <w:t>avînd</w:t>
            </w:r>
            <w:proofErr w:type="spellEnd"/>
            <w:r w:rsidRPr="00B17AED">
              <w:rPr>
                <w:rStyle w:val="FontStyle43"/>
                <w:lang w:val="ro-RO" w:eastAsia="ro-RO"/>
              </w:rPr>
              <w:t xml:space="preserve"> ca referinţă prevederile alin.(1), articolului 14 a Legii nr.235 -XVI din 20 iulie 2006 cu privire la principiile de bază de reglementare a activităţii de întreprinzător.</w:t>
            </w:r>
          </w:p>
          <w:p w:rsidR="00DD4797" w:rsidRPr="00B17AED" w:rsidRDefault="00DD4797" w:rsidP="00DD4797">
            <w:pPr>
              <w:pStyle w:val="Style14"/>
              <w:widowControl/>
              <w:numPr>
                <w:ilvl w:val="0"/>
                <w:numId w:val="2"/>
              </w:numPr>
              <w:tabs>
                <w:tab w:val="left" w:pos="0"/>
                <w:tab w:val="left" w:pos="142"/>
                <w:tab w:val="left" w:pos="885"/>
              </w:tabs>
              <w:ind w:left="0" w:firstLine="601"/>
              <w:jc w:val="left"/>
              <w:rPr>
                <w:rStyle w:val="FontStyle43"/>
                <w:lang w:val="ro-RO" w:eastAsia="ro-RO"/>
              </w:rPr>
            </w:pPr>
            <w:r w:rsidRPr="00B17AED">
              <w:rPr>
                <w:rStyle w:val="FontStyle43"/>
                <w:lang w:val="ro-RO" w:eastAsia="ro-RO"/>
              </w:rPr>
              <w:t>Tractarea incorectă a unor prevederi din legislaţia naţională;</w:t>
            </w:r>
          </w:p>
          <w:p w:rsidR="00DD4797" w:rsidRPr="00B17AED" w:rsidRDefault="00DD4797" w:rsidP="00DD4797">
            <w:pPr>
              <w:pStyle w:val="Style14"/>
              <w:widowControl/>
              <w:numPr>
                <w:ilvl w:val="0"/>
                <w:numId w:val="2"/>
              </w:numPr>
              <w:tabs>
                <w:tab w:val="left" w:pos="0"/>
                <w:tab w:val="left" w:pos="142"/>
                <w:tab w:val="left" w:pos="885"/>
              </w:tabs>
              <w:ind w:left="0" w:firstLine="601"/>
              <w:jc w:val="left"/>
              <w:rPr>
                <w:rStyle w:val="FontStyle43"/>
                <w:lang w:val="ro-RO" w:eastAsia="ro-RO"/>
              </w:rPr>
            </w:pPr>
            <w:r w:rsidRPr="00B17AED">
              <w:rPr>
                <w:rStyle w:val="FontStyle43"/>
                <w:lang w:val="ro-RO" w:eastAsia="ro-RO"/>
              </w:rPr>
              <w:t>Imposibilitatea implementării prevederilor Legii 113/2012 și a Legii 78/2004.</w:t>
            </w:r>
          </w:p>
          <w:p w:rsidR="00DD4797" w:rsidRPr="00B17AED" w:rsidRDefault="00DD4797" w:rsidP="00DD4797">
            <w:pPr>
              <w:pStyle w:val="Style29"/>
              <w:widowControl/>
              <w:tabs>
                <w:tab w:val="left" w:pos="142"/>
                <w:tab w:val="left" w:pos="744"/>
                <w:tab w:val="left" w:pos="885"/>
                <w:tab w:val="left" w:pos="993"/>
              </w:tabs>
              <w:spacing w:line="240" w:lineRule="auto"/>
              <w:ind w:firstLine="601"/>
              <w:rPr>
                <w:rStyle w:val="FontStyle41"/>
                <w:b w:val="0"/>
                <w:lang w:val="ro-RO" w:eastAsia="ro-RO"/>
              </w:rPr>
            </w:pPr>
            <w:r w:rsidRPr="00B17AED">
              <w:rPr>
                <w:rStyle w:val="FontStyle41"/>
                <w:b w:val="0"/>
                <w:lang w:val="ro-RO" w:eastAsia="ro-RO"/>
              </w:rPr>
              <w:t>Impactul:</w:t>
            </w:r>
          </w:p>
          <w:p w:rsidR="00DD4797" w:rsidRPr="00B17AED" w:rsidRDefault="00DD4797" w:rsidP="003D5CA5">
            <w:pPr>
              <w:pStyle w:val="Style29"/>
              <w:widowControl/>
              <w:numPr>
                <w:ilvl w:val="0"/>
                <w:numId w:val="2"/>
              </w:numPr>
              <w:tabs>
                <w:tab w:val="left" w:pos="142"/>
                <w:tab w:val="left" w:pos="744"/>
                <w:tab w:val="left" w:pos="885"/>
                <w:tab w:val="left" w:pos="993"/>
              </w:tabs>
              <w:spacing w:line="240" w:lineRule="auto"/>
              <w:rPr>
                <w:rStyle w:val="FontStyle41"/>
                <w:b w:val="0"/>
                <w:i w:val="0"/>
                <w:lang w:val="ro-RO" w:eastAsia="ro-RO"/>
              </w:rPr>
            </w:pPr>
            <w:r w:rsidRPr="00B17AED">
              <w:rPr>
                <w:rStyle w:val="FontStyle41"/>
                <w:b w:val="0"/>
                <w:i w:val="0"/>
                <w:lang w:val="ro-RO" w:eastAsia="ro-RO"/>
              </w:rPr>
              <w:t>Cadrul normativ naţional neconform și neunivoc.</w:t>
            </w:r>
          </w:p>
          <w:p w:rsidR="00DD4797" w:rsidRPr="00B17AED" w:rsidRDefault="00DD4797" w:rsidP="003D5CA5">
            <w:pPr>
              <w:pStyle w:val="Style14"/>
              <w:widowControl/>
              <w:numPr>
                <w:ilvl w:val="0"/>
                <w:numId w:val="2"/>
              </w:numPr>
              <w:tabs>
                <w:tab w:val="left" w:pos="142"/>
                <w:tab w:val="left" w:pos="885"/>
              </w:tabs>
              <w:spacing w:line="274" w:lineRule="exact"/>
              <w:jc w:val="left"/>
              <w:rPr>
                <w:rStyle w:val="FontStyle43"/>
                <w:lang w:val="ro-RO" w:eastAsia="ro-RO"/>
              </w:rPr>
            </w:pPr>
            <w:r w:rsidRPr="00B17AED">
              <w:rPr>
                <w:rStyle w:val="FontStyle43"/>
                <w:lang w:val="ro-RO" w:eastAsia="ro-RO"/>
              </w:rPr>
              <w:t>Produse alimentare etichetate neconform.</w:t>
            </w:r>
          </w:p>
          <w:p w:rsidR="00DD4797" w:rsidRPr="00B17AED" w:rsidRDefault="00DD4797" w:rsidP="003D5CA5">
            <w:pPr>
              <w:pStyle w:val="Style7"/>
              <w:widowControl/>
              <w:numPr>
                <w:ilvl w:val="0"/>
                <w:numId w:val="2"/>
              </w:numPr>
              <w:tabs>
                <w:tab w:val="left" w:pos="885"/>
              </w:tabs>
              <w:jc w:val="both"/>
              <w:rPr>
                <w:rStyle w:val="FontStyle42"/>
                <w:u w:val="single"/>
                <w:lang w:val="ro-RO" w:eastAsia="ro-RO"/>
              </w:rPr>
            </w:pPr>
            <w:r w:rsidRPr="00B17AED">
              <w:rPr>
                <w:rStyle w:val="FontStyle43"/>
                <w:lang w:val="ro-RO" w:eastAsia="ro-RO"/>
              </w:rPr>
              <w:t>Consumatorii informați necorespunzător.</w:t>
            </w:r>
          </w:p>
        </w:tc>
      </w:tr>
      <w:tr w:rsidR="00DC1912" w:rsidRPr="00B17AED" w:rsidTr="00891B25">
        <w:tc>
          <w:tcPr>
            <w:tcW w:w="9639" w:type="dxa"/>
            <w:gridSpan w:val="3"/>
          </w:tcPr>
          <w:p w:rsidR="00DC1912" w:rsidRPr="00B17AED" w:rsidRDefault="00DC1912" w:rsidP="009474E8">
            <w:pPr>
              <w:pStyle w:val="Style29"/>
              <w:widowControl/>
              <w:tabs>
                <w:tab w:val="left" w:pos="142"/>
                <w:tab w:val="left" w:pos="744"/>
                <w:tab w:val="left" w:pos="993"/>
              </w:tabs>
              <w:spacing w:line="240" w:lineRule="auto"/>
              <w:ind w:firstLine="601"/>
              <w:jc w:val="both"/>
              <w:rPr>
                <w:rStyle w:val="FontStyle41"/>
                <w:lang w:val="ro-RO" w:eastAsia="ro-RO"/>
              </w:rPr>
            </w:pPr>
            <w:r w:rsidRPr="00B17AED">
              <w:rPr>
                <w:rStyle w:val="FontStyle41"/>
                <w:i w:val="0"/>
                <w:lang w:val="ro-RO" w:eastAsia="ro-RO"/>
              </w:rPr>
              <w:t>Opţiunea II</w:t>
            </w:r>
            <w:r w:rsidRPr="00B17AED">
              <w:rPr>
                <w:rStyle w:val="FontStyle41"/>
                <w:lang w:val="ro-RO" w:eastAsia="ro-RO"/>
              </w:rPr>
              <w:t>-</w:t>
            </w:r>
            <w:r w:rsidRPr="00B17AED">
              <w:rPr>
                <w:lang w:val="ro-RO"/>
              </w:rPr>
              <w:t xml:space="preserve"> </w:t>
            </w:r>
            <w:r w:rsidRPr="00B17AED">
              <w:rPr>
                <w:rStyle w:val="FontStyle41"/>
                <w:lang w:val="ro-RO" w:eastAsia="ro-RO"/>
              </w:rPr>
              <w:t xml:space="preserve">Aprobarea proiectului </w:t>
            </w:r>
            <w:proofErr w:type="spellStart"/>
            <w:r w:rsidRPr="00B17AED">
              <w:rPr>
                <w:rStyle w:val="FontStyle41"/>
                <w:lang w:val="ro-RO" w:eastAsia="ro-RO"/>
              </w:rPr>
              <w:t>Hotărîrii</w:t>
            </w:r>
            <w:proofErr w:type="spellEnd"/>
            <w:r w:rsidRPr="00B17AED">
              <w:rPr>
                <w:rStyle w:val="FontStyle41"/>
                <w:lang w:val="ro-RO" w:eastAsia="ro-RO"/>
              </w:rPr>
              <w:t xml:space="preserve"> de Guvern cu privire la aprobarea proiectului de lege </w:t>
            </w:r>
            <w:r w:rsidR="009474E8">
              <w:rPr>
                <w:rStyle w:val="FontStyle41"/>
                <w:lang w:val="ro-RO" w:eastAsia="ro-RO"/>
              </w:rPr>
              <w:t>pentru</w:t>
            </w:r>
            <w:r w:rsidRPr="00B17AED">
              <w:rPr>
                <w:rStyle w:val="FontStyle41"/>
                <w:lang w:val="ro-RO" w:eastAsia="ro-RO"/>
              </w:rPr>
              <w:t xml:space="preserve"> modificarea unor </w:t>
            </w:r>
            <w:r w:rsidR="0014048A" w:rsidRPr="00B17AED">
              <w:rPr>
                <w:rStyle w:val="FontStyle41"/>
                <w:lang w:val="ro-RO" w:eastAsia="ro-RO"/>
              </w:rPr>
              <w:t>acte legislative</w:t>
            </w:r>
          </w:p>
        </w:tc>
      </w:tr>
      <w:tr w:rsidR="00DD4797" w:rsidRPr="00B17AED" w:rsidTr="00891B25">
        <w:trPr>
          <w:trHeight w:val="5568"/>
        </w:trPr>
        <w:tc>
          <w:tcPr>
            <w:tcW w:w="9639" w:type="dxa"/>
            <w:gridSpan w:val="3"/>
          </w:tcPr>
          <w:p w:rsidR="00DD4797" w:rsidRPr="00B17AED" w:rsidRDefault="00DD4797" w:rsidP="00DD4797">
            <w:pPr>
              <w:pStyle w:val="Style18"/>
              <w:widowControl/>
              <w:tabs>
                <w:tab w:val="left" w:pos="142"/>
                <w:tab w:val="left" w:pos="743"/>
              </w:tabs>
              <w:spacing w:line="274" w:lineRule="exact"/>
              <w:ind w:firstLine="601"/>
              <w:rPr>
                <w:rStyle w:val="FontStyle40"/>
                <w:lang w:val="ro-RO" w:eastAsia="ro-RO"/>
              </w:rPr>
            </w:pPr>
            <w:r w:rsidRPr="00B17AED">
              <w:rPr>
                <w:rStyle w:val="FontStyle40"/>
                <w:lang w:val="ro-RO" w:eastAsia="ro-RO"/>
              </w:rPr>
              <w:lastRenderedPageBreak/>
              <w:t>Costuri:</w:t>
            </w:r>
          </w:p>
          <w:p w:rsidR="00DD4797" w:rsidRPr="00B17AED" w:rsidRDefault="00DD4797" w:rsidP="00DD4797">
            <w:pPr>
              <w:pStyle w:val="Style13"/>
              <w:widowControl/>
              <w:tabs>
                <w:tab w:val="left" w:pos="142"/>
                <w:tab w:val="left" w:pos="743"/>
              </w:tabs>
              <w:spacing w:before="5" w:line="274" w:lineRule="exact"/>
              <w:ind w:firstLine="601"/>
              <w:jc w:val="both"/>
              <w:rPr>
                <w:rStyle w:val="FontStyle43"/>
                <w:lang w:val="ro-RO" w:eastAsia="ro-RO"/>
              </w:rPr>
            </w:pPr>
            <w:r w:rsidRPr="00B17AED">
              <w:rPr>
                <w:rStyle w:val="FontStyle43"/>
                <w:lang w:val="ro-RO" w:eastAsia="ro-RO"/>
              </w:rPr>
              <w:t>Costurile aferente intervenţiei statului în domeniul vizat presupun cheltuielile legate de elaborarea şi publicarea proiectului de Lege respectiv.</w:t>
            </w:r>
          </w:p>
          <w:p w:rsidR="00DD4797" w:rsidRPr="00B17AED" w:rsidRDefault="00DD4797" w:rsidP="00DD4797">
            <w:pPr>
              <w:pStyle w:val="Style29"/>
              <w:widowControl/>
              <w:tabs>
                <w:tab w:val="left" w:pos="142"/>
                <w:tab w:val="left" w:pos="743"/>
                <w:tab w:val="left" w:pos="993"/>
              </w:tabs>
              <w:spacing w:line="274" w:lineRule="exact"/>
              <w:ind w:firstLine="601"/>
              <w:rPr>
                <w:rStyle w:val="FontStyle40"/>
                <w:lang w:val="ro-RO" w:eastAsia="ro-RO"/>
              </w:rPr>
            </w:pPr>
            <w:r w:rsidRPr="00B17AED">
              <w:rPr>
                <w:rStyle w:val="FontStyle40"/>
                <w:lang w:val="ro-RO" w:eastAsia="ro-RO"/>
              </w:rPr>
              <w:t>Beneficii:</w:t>
            </w:r>
          </w:p>
          <w:p w:rsidR="00DD4797" w:rsidRPr="00B17AED" w:rsidRDefault="00083147" w:rsidP="00DD4797">
            <w:pPr>
              <w:pStyle w:val="Style13"/>
              <w:widowControl/>
              <w:tabs>
                <w:tab w:val="left" w:pos="142"/>
                <w:tab w:val="left" w:pos="743"/>
              </w:tabs>
              <w:spacing w:line="274" w:lineRule="exact"/>
              <w:ind w:firstLine="601"/>
              <w:jc w:val="both"/>
              <w:rPr>
                <w:rStyle w:val="FontStyle43"/>
                <w:lang w:val="ro-RO" w:eastAsia="ro-RO"/>
              </w:rPr>
            </w:pPr>
            <w:r w:rsidRPr="00B17AED">
              <w:rPr>
                <w:rStyle w:val="FontStyle43"/>
                <w:lang w:val="ro-RO" w:eastAsia="ro-RO"/>
              </w:rPr>
              <w:t>1.</w:t>
            </w:r>
            <w:r w:rsidR="00DD4797" w:rsidRPr="00B17AED">
              <w:rPr>
                <w:rStyle w:val="FontStyle43"/>
                <w:lang w:val="ro-RO" w:eastAsia="ro-RO"/>
              </w:rPr>
              <w:t>Cadru legislativ univoc şi coerent, asigurarea unui înalt nivel de protecţie a consumatorului;</w:t>
            </w:r>
          </w:p>
          <w:p w:rsidR="00DD4797" w:rsidRPr="00B17AED" w:rsidRDefault="00DD4797" w:rsidP="00DD4797">
            <w:pPr>
              <w:pStyle w:val="Style13"/>
              <w:widowControl/>
              <w:tabs>
                <w:tab w:val="left" w:pos="142"/>
                <w:tab w:val="left" w:pos="743"/>
              </w:tabs>
              <w:spacing w:line="274" w:lineRule="exact"/>
              <w:ind w:firstLine="601"/>
              <w:jc w:val="both"/>
              <w:rPr>
                <w:rStyle w:val="FontStyle43"/>
                <w:lang w:val="ro-RO" w:eastAsia="ro-RO"/>
              </w:rPr>
            </w:pPr>
            <w:r w:rsidRPr="00B17AED">
              <w:rPr>
                <w:rStyle w:val="FontStyle43"/>
                <w:lang w:val="ro-RO" w:eastAsia="ro-RO"/>
              </w:rPr>
              <w:t>2.Responsabilizarea operatorilor din domeniul alimentar pentru siguranţa produselor alimentare.</w:t>
            </w:r>
          </w:p>
          <w:p w:rsidR="00DD4797" w:rsidRPr="00B17AED" w:rsidRDefault="00083147"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3</w:t>
            </w:r>
            <w:r w:rsidR="00DD4797" w:rsidRPr="00B17AED">
              <w:rPr>
                <w:rStyle w:val="FontStyle43"/>
                <w:lang w:val="ro-RO" w:eastAsia="ro-RO"/>
              </w:rPr>
              <w:t>.Asigurarea armonizării cadrului legislativ naţional cu prevederile legislaţiei UE;</w:t>
            </w:r>
          </w:p>
          <w:p w:rsidR="00DD4797" w:rsidRPr="00B17AED" w:rsidRDefault="00083147"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4</w:t>
            </w:r>
            <w:r w:rsidR="00DD4797" w:rsidRPr="00B17AED">
              <w:rPr>
                <w:rStyle w:val="FontStyle43"/>
                <w:lang w:val="ro-RO" w:eastAsia="ro-RO"/>
              </w:rPr>
              <w:t>. Implementarea cu succes a prevederilor din domeniul siguranței alimentare de către operatorii din domeniul alimentar.</w:t>
            </w:r>
          </w:p>
          <w:p w:rsidR="0080787E" w:rsidRPr="00B17AED" w:rsidRDefault="00083147"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5.</w:t>
            </w:r>
            <w:r w:rsidR="0080787E" w:rsidRPr="00B17AED">
              <w:rPr>
                <w:rStyle w:val="FontStyle43"/>
                <w:lang w:val="ro-RO" w:eastAsia="ro-RO"/>
              </w:rPr>
              <w:t>Furnizarea informației complete cu privire la produsele alimentare</w:t>
            </w:r>
            <w:r w:rsidR="007A6A27" w:rsidRPr="00B17AED">
              <w:rPr>
                <w:rStyle w:val="FontStyle43"/>
                <w:lang w:val="ro-RO" w:eastAsia="ro-RO"/>
              </w:rPr>
              <w:t>.</w:t>
            </w:r>
          </w:p>
          <w:p w:rsidR="007A6A27" w:rsidRPr="00B17AED" w:rsidRDefault="007A6A27"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6.Respectarea drepturilor consumatorilor la informații veridice despre produsul alimentar;</w:t>
            </w:r>
          </w:p>
          <w:p w:rsidR="007A6A27" w:rsidRPr="00B17AED" w:rsidRDefault="007A6A27"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7.Excluderea pericolului de aplicare a practicilor incorecte din partea operatorilor din domeniul alimentar.</w:t>
            </w:r>
          </w:p>
          <w:p w:rsidR="00965410" w:rsidRPr="00B17AED" w:rsidRDefault="00965410"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8. Facilitarea transportului în vrac pe cale maritimă a uleiurilor destinate consumului uman;</w:t>
            </w:r>
          </w:p>
          <w:p w:rsidR="00965410" w:rsidRPr="00B17AED" w:rsidRDefault="00965410"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9.</w:t>
            </w:r>
            <w:r w:rsidRPr="00B17AED">
              <w:rPr>
                <w:rStyle w:val="FontStyle41"/>
                <w:b w:val="0"/>
                <w:i w:val="0"/>
                <w:lang w:val="ro-RO" w:eastAsia="ro-RO"/>
              </w:rPr>
              <w:t xml:space="preserve"> Asigurarea inofensivității uleiurilor lichide transportate în vrac conform practicilor UE.</w:t>
            </w:r>
          </w:p>
          <w:p w:rsidR="00DD4797" w:rsidRPr="00B17AED" w:rsidRDefault="00DD4797" w:rsidP="00DD4797">
            <w:pPr>
              <w:pStyle w:val="Style18"/>
              <w:widowControl/>
              <w:tabs>
                <w:tab w:val="left" w:pos="142"/>
                <w:tab w:val="left" w:pos="743"/>
              </w:tabs>
              <w:spacing w:line="274" w:lineRule="exact"/>
              <w:ind w:firstLine="601"/>
              <w:rPr>
                <w:rStyle w:val="FontStyle40"/>
                <w:lang w:val="ro-RO" w:eastAsia="ro-RO"/>
              </w:rPr>
            </w:pPr>
            <w:r w:rsidRPr="00B17AED">
              <w:rPr>
                <w:rStyle w:val="FontStyle40"/>
                <w:lang w:val="ro-RO" w:eastAsia="ro-RO"/>
              </w:rPr>
              <w:t>Riscuri:</w:t>
            </w:r>
          </w:p>
          <w:p w:rsidR="00DD4797" w:rsidRPr="00B17AED" w:rsidRDefault="00DD4797" w:rsidP="007A6A27">
            <w:pPr>
              <w:pStyle w:val="Style18"/>
              <w:widowControl/>
              <w:tabs>
                <w:tab w:val="left" w:pos="142"/>
                <w:tab w:val="left" w:pos="743"/>
              </w:tabs>
              <w:spacing w:line="274" w:lineRule="exact"/>
              <w:ind w:firstLine="601"/>
              <w:jc w:val="both"/>
              <w:rPr>
                <w:rStyle w:val="FontStyle40"/>
                <w:i w:val="0"/>
                <w:lang w:val="ro-RO" w:eastAsia="ro-RO"/>
              </w:rPr>
            </w:pPr>
            <w:r w:rsidRPr="00B17AED">
              <w:rPr>
                <w:rStyle w:val="FontStyle40"/>
                <w:i w:val="0"/>
                <w:lang w:val="ro-RO" w:eastAsia="ro-RO"/>
              </w:rPr>
              <w:t>Nu s-au identificat riscuri în vederea aprobării proiectului de Lege privind siguranța produselor alimentare.</w:t>
            </w:r>
          </w:p>
          <w:p w:rsidR="00DD4797" w:rsidRPr="00B17AED" w:rsidRDefault="00DD4797" w:rsidP="00DD4797">
            <w:pPr>
              <w:pStyle w:val="Style18"/>
              <w:widowControl/>
              <w:tabs>
                <w:tab w:val="left" w:pos="142"/>
                <w:tab w:val="left" w:pos="743"/>
              </w:tabs>
              <w:spacing w:line="274" w:lineRule="exact"/>
              <w:ind w:firstLine="601"/>
              <w:rPr>
                <w:rStyle w:val="FontStyle40"/>
                <w:lang w:val="ro-RO" w:eastAsia="ro-RO"/>
              </w:rPr>
            </w:pPr>
            <w:r w:rsidRPr="00B17AED">
              <w:rPr>
                <w:rStyle w:val="FontStyle40"/>
                <w:lang w:val="ro-RO" w:eastAsia="ro-RO"/>
              </w:rPr>
              <w:t>Costuri de conformare:</w:t>
            </w:r>
          </w:p>
          <w:p w:rsidR="00DD4797" w:rsidRPr="00B17AED" w:rsidRDefault="00DD4797" w:rsidP="00DD4797">
            <w:pPr>
              <w:pStyle w:val="Style29"/>
              <w:widowControl/>
              <w:tabs>
                <w:tab w:val="left" w:pos="0"/>
                <w:tab w:val="left" w:pos="142"/>
                <w:tab w:val="left" w:pos="743"/>
                <w:tab w:val="left" w:pos="993"/>
              </w:tabs>
              <w:spacing w:line="240" w:lineRule="auto"/>
              <w:ind w:firstLine="601"/>
              <w:rPr>
                <w:rStyle w:val="FontStyle41"/>
                <w:b w:val="0"/>
                <w:i w:val="0"/>
                <w:lang w:val="ro-RO" w:eastAsia="ro-RO"/>
              </w:rPr>
            </w:pPr>
            <w:r w:rsidRPr="00B17AED">
              <w:rPr>
                <w:rStyle w:val="FontStyle41"/>
                <w:b w:val="0"/>
                <w:i w:val="0"/>
                <w:lang w:val="ro-RO" w:eastAsia="ro-RO"/>
              </w:rPr>
              <w:t>Prevederile prezentului proiect de lege nu stabilește costuri suplimentare din partea operatorilor din domeniul alimentar.</w:t>
            </w:r>
          </w:p>
          <w:p w:rsidR="00DD4797" w:rsidRPr="00B17AED" w:rsidRDefault="00DD4797" w:rsidP="00DD4797">
            <w:pPr>
              <w:pStyle w:val="Style18"/>
              <w:widowControl/>
              <w:tabs>
                <w:tab w:val="left" w:pos="142"/>
                <w:tab w:val="left" w:pos="743"/>
              </w:tabs>
              <w:spacing w:line="274" w:lineRule="exact"/>
              <w:ind w:firstLine="601"/>
              <w:rPr>
                <w:rStyle w:val="FontStyle40"/>
                <w:lang w:val="ro-RO" w:eastAsia="ro-RO"/>
              </w:rPr>
            </w:pPr>
            <w:r w:rsidRPr="00B17AED">
              <w:rPr>
                <w:rStyle w:val="FontStyle40"/>
                <w:lang w:val="ro-RO" w:eastAsia="ro-RO"/>
              </w:rPr>
              <w:t>Impactul:</w:t>
            </w:r>
          </w:p>
          <w:p w:rsidR="00DD4797" w:rsidRPr="00B17AED" w:rsidRDefault="00DD4797" w:rsidP="0080787E">
            <w:pPr>
              <w:pStyle w:val="Style18"/>
              <w:widowControl/>
              <w:numPr>
                <w:ilvl w:val="0"/>
                <w:numId w:val="4"/>
              </w:numPr>
              <w:tabs>
                <w:tab w:val="left" w:pos="142"/>
                <w:tab w:val="left" w:pos="743"/>
                <w:tab w:val="left" w:pos="885"/>
              </w:tabs>
              <w:spacing w:line="274" w:lineRule="exact"/>
              <w:ind w:left="0" w:firstLine="601"/>
              <w:rPr>
                <w:rStyle w:val="FontStyle40"/>
                <w:b/>
                <w:i w:val="0"/>
                <w:lang w:val="ro-RO" w:eastAsia="ro-RO"/>
              </w:rPr>
            </w:pPr>
            <w:r w:rsidRPr="00B17AED">
              <w:rPr>
                <w:rStyle w:val="FontStyle41"/>
                <w:b w:val="0"/>
                <w:i w:val="0"/>
                <w:lang w:val="ro-RO" w:eastAsia="ro-RO"/>
              </w:rPr>
              <w:t xml:space="preserve">Cadrul legislativ naţional coerent și univoc, </w:t>
            </w:r>
            <w:proofErr w:type="spellStart"/>
            <w:r w:rsidRPr="00B17AED">
              <w:rPr>
                <w:rStyle w:val="FontStyle41"/>
                <w:b w:val="0"/>
                <w:i w:val="0"/>
                <w:lang w:val="ro-RO" w:eastAsia="ro-RO"/>
              </w:rPr>
              <w:t>excluzînd</w:t>
            </w:r>
            <w:proofErr w:type="spellEnd"/>
            <w:r w:rsidRPr="00B17AED">
              <w:rPr>
                <w:rStyle w:val="FontStyle41"/>
                <w:b w:val="0"/>
                <w:i w:val="0"/>
                <w:lang w:val="ro-RO" w:eastAsia="ro-RO"/>
              </w:rPr>
              <w:t xml:space="preserve"> orice incorectitudine.</w:t>
            </w:r>
          </w:p>
          <w:p w:rsidR="00DD4797" w:rsidRPr="00B17AED" w:rsidRDefault="00DD4797" w:rsidP="0080787E">
            <w:pPr>
              <w:pStyle w:val="Style29"/>
              <w:numPr>
                <w:ilvl w:val="0"/>
                <w:numId w:val="4"/>
              </w:numPr>
              <w:tabs>
                <w:tab w:val="left" w:pos="-142"/>
                <w:tab w:val="left" w:pos="142"/>
                <w:tab w:val="left" w:pos="709"/>
                <w:tab w:val="left" w:pos="743"/>
                <w:tab w:val="left" w:pos="851"/>
                <w:tab w:val="left" w:pos="993"/>
              </w:tabs>
              <w:spacing w:line="274" w:lineRule="exact"/>
              <w:ind w:left="0" w:firstLine="601"/>
              <w:jc w:val="both"/>
              <w:rPr>
                <w:rStyle w:val="FontStyle41"/>
                <w:b w:val="0"/>
                <w:bCs w:val="0"/>
                <w:lang w:val="ro-RO" w:eastAsia="ro-RO"/>
              </w:rPr>
            </w:pPr>
            <w:r w:rsidRPr="00B17AED">
              <w:rPr>
                <w:rStyle w:val="FontStyle41"/>
                <w:b w:val="0"/>
                <w:i w:val="0"/>
                <w:lang w:val="ro-RO" w:eastAsia="ro-RO"/>
              </w:rPr>
              <w:t xml:space="preserve">Cadrul legislativ naţional armonizat </w:t>
            </w:r>
            <w:r w:rsidR="0080787E" w:rsidRPr="00B17AED">
              <w:rPr>
                <w:rStyle w:val="FontStyle41"/>
                <w:b w:val="0"/>
                <w:i w:val="0"/>
                <w:lang w:val="ro-RO" w:eastAsia="ro-RO"/>
              </w:rPr>
              <w:t xml:space="preserve">cu </w:t>
            </w:r>
            <w:r w:rsidRPr="00B17AED">
              <w:rPr>
                <w:rStyle w:val="FontStyle41"/>
                <w:b w:val="0"/>
                <w:i w:val="0"/>
                <w:lang w:val="ro-RO" w:eastAsia="ro-RO"/>
              </w:rPr>
              <w:t>prevederi</w:t>
            </w:r>
            <w:r w:rsidR="0080787E" w:rsidRPr="00B17AED">
              <w:rPr>
                <w:rStyle w:val="FontStyle41"/>
                <w:b w:val="0"/>
                <w:i w:val="0"/>
                <w:lang w:val="ro-RO" w:eastAsia="ro-RO"/>
              </w:rPr>
              <w:t>le</w:t>
            </w:r>
            <w:r w:rsidRPr="00B17AED">
              <w:rPr>
                <w:rStyle w:val="FontStyle41"/>
                <w:b w:val="0"/>
                <w:i w:val="0"/>
                <w:lang w:val="ro-RO" w:eastAsia="ro-RO"/>
              </w:rPr>
              <w:t xml:space="preserve"> stabilite în Uniunea Europeană, </w:t>
            </w:r>
            <w:r w:rsidR="0080787E" w:rsidRPr="00B17AED">
              <w:rPr>
                <w:rStyle w:val="FontStyle41"/>
                <w:b w:val="0"/>
                <w:i w:val="0"/>
                <w:lang w:val="ro-RO" w:eastAsia="ro-RO"/>
              </w:rPr>
              <w:t>privind transportul pe cale maritimă a uleiurilor și a grăsimilor lichide.</w:t>
            </w:r>
          </w:p>
          <w:p w:rsidR="007A6A27" w:rsidRPr="00515E89" w:rsidRDefault="007A6A27" w:rsidP="00965410">
            <w:pPr>
              <w:pStyle w:val="Style29"/>
              <w:numPr>
                <w:ilvl w:val="0"/>
                <w:numId w:val="4"/>
              </w:numPr>
              <w:tabs>
                <w:tab w:val="left" w:pos="-142"/>
                <w:tab w:val="left" w:pos="142"/>
                <w:tab w:val="left" w:pos="709"/>
                <w:tab w:val="left" w:pos="743"/>
                <w:tab w:val="left" w:pos="851"/>
                <w:tab w:val="left" w:pos="993"/>
              </w:tabs>
              <w:spacing w:line="274" w:lineRule="exact"/>
              <w:ind w:left="0" w:firstLine="601"/>
              <w:jc w:val="both"/>
              <w:rPr>
                <w:rStyle w:val="FontStyle41"/>
                <w:b w:val="0"/>
                <w:bCs w:val="0"/>
                <w:lang w:val="ro-RO" w:eastAsia="ro-RO"/>
              </w:rPr>
            </w:pPr>
            <w:r w:rsidRPr="00B17AED">
              <w:rPr>
                <w:rStyle w:val="FontStyle41"/>
                <w:b w:val="0"/>
                <w:i w:val="0"/>
                <w:lang w:val="ro-RO" w:eastAsia="ro-RO"/>
              </w:rPr>
              <w:t>Produse alimentare etichetate conform.</w:t>
            </w:r>
          </w:p>
          <w:p w:rsidR="00446492" w:rsidRPr="003E2628" w:rsidRDefault="003E2628" w:rsidP="003E2628">
            <w:pPr>
              <w:pStyle w:val="Style29"/>
              <w:tabs>
                <w:tab w:val="left" w:pos="-142"/>
                <w:tab w:val="left" w:pos="142"/>
                <w:tab w:val="left" w:pos="743"/>
                <w:tab w:val="left" w:pos="851"/>
                <w:tab w:val="left" w:pos="993"/>
              </w:tabs>
              <w:spacing w:line="240" w:lineRule="auto"/>
              <w:ind w:left="34" w:firstLine="567"/>
              <w:jc w:val="both"/>
              <w:rPr>
                <w:rStyle w:val="FontStyle40"/>
                <w:lang w:val="ro-RO" w:eastAsia="ro-RO"/>
              </w:rPr>
            </w:pPr>
            <w:proofErr w:type="spellStart"/>
            <w:proofErr w:type="gramStart"/>
            <w:r w:rsidRPr="00B17AED">
              <w:rPr>
                <w:rStyle w:val="FontStyle41"/>
                <w:b w:val="0"/>
                <w:i w:val="0"/>
              </w:rPr>
              <w:t>În</w:t>
            </w:r>
            <w:proofErr w:type="spellEnd"/>
            <w:r w:rsidRPr="00B17AED">
              <w:rPr>
                <w:rStyle w:val="FontStyle41"/>
                <w:b w:val="0"/>
                <w:i w:val="0"/>
              </w:rPr>
              <w:t xml:space="preserve"> </w:t>
            </w:r>
            <w:proofErr w:type="spellStart"/>
            <w:r w:rsidRPr="00B17AED">
              <w:rPr>
                <w:rStyle w:val="FontStyle41"/>
                <w:b w:val="0"/>
                <w:i w:val="0"/>
              </w:rPr>
              <w:t>final</w:t>
            </w:r>
            <w:proofErr w:type="spellEnd"/>
            <w:r>
              <w:rPr>
                <w:rStyle w:val="FontStyle41"/>
                <w:b w:val="0"/>
                <w:i w:val="0"/>
                <w:lang w:val="ro-RO" w:eastAsia="ro-RO"/>
              </w:rPr>
              <w:t xml:space="preserve"> menționăm </w:t>
            </w:r>
            <w:r w:rsidR="00515E89">
              <w:rPr>
                <w:rStyle w:val="FontStyle41"/>
                <w:b w:val="0"/>
                <w:i w:val="0"/>
                <w:lang w:val="ro-RO" w:eastAsia="ro-RO"/>
              </w:rPr>
              <w:t>faptul că o dată cu aprobarea prezentului proiect etichetele produselor alimentare vor fi corespunzătoare și conforme, consumatorii vor dispune de o informație veridică și amplă asupra produsului achiziționat</w:t>
            </w:r>
            <w:r w:rsidR="00AA3792">
              <w:rPr>
                <w:rStyle w:val="FontStyle41"/>
                <w:b w:val="0"/>
                <w:i w:val="0"/>
                <w:lang w:val="ro-RO" w:eastAsia="ro-RO"/>
              </w:rPr>
              <w:t xml:space="preserve"> acesta denotă un impact</w:t>
            </w:r>
            <w:r w:rsidR="002813E4">
              <w:rPr>
                <w:rStyle w:val="FontStyle41"/>
                <w:b w:val="0"/>
                <w:i w:val="0"/>
                <w:lang w:val="ro-RO" w:eastAsia="ro-RO"/>
              </w:rPr>
              <w:t xml:space="preserve"> pozitiv major în privința</w:t>
            </w:r>
            <w:r w:rsidR="002813E4" w:rsidRPr="00B17AED">
              <w:rPr>
                <w:rStyle w:val="FontStyle41"/>
                <w:b w:val="0"/>
                <w:i w:val="0"/>
                <w:lang w:val="ro-RO"/>
              </w:rPr>
              <w:t xml:space="preserve"> </w:t>
            </w:r>
            <w:r w:rsidR="002813E4" w:rsidRPr="00B17AED">
              <w:rPr>
                <w:rStyle w:val="FontStyle41"/>
                <w:b w:val="0"/>
                <w:i w:val="0"/>
                <w:lang w:val="ro-RO"/>
              </w:rPr>
              <w:t>alegerii și calității produselor pentru consumatori</w:t>
            </w:r>
            <w:r w:rsidR="002813E4">
              <w:rPr>
                <w:rStyle w:val="FontStyle41"/>
                <w:b w:val="0"/>
                <w:i w:val="0"/>
                <w:lang w:val="ro-RO"/>
              </w:rPr>
              <w:t xml:space="preserve">, </w:t>
            </w:r>
            <w:r w:rsidR="00505735">
              <w:rPr>
                <w:rStyle w:val="FontStyle41"/>
                <w:b w:val="0"/>
                <w:i w:val="0"/>
                <w:lang w:val="ro-RO"/>
              </w:rPr>
              <w:t>de asemenea, se vor reduce cheltuielile în procesul</w:t>
            </w:r>
            <w:proofErr w:type="gramEnd"/>
            <w:r w:rsidR="00505735">
              <w:rPr>
                <w:rStyle w:val="FontStyle41"/>
                <w:b w:val="0"/>
                <w:i w:val="0"/>
                <w:lang w:val="ro-RO"/>
              </w:rPr>
              <w:t xml:space="preserve"> de etichetare influențând benefic asupra costurilor desfășurării afacerilor </w:t>
            </w:r>
            <w:proofErr w:type="spellStart"/>
            <w:r w:rsidR="00505735">
              <w:rPr>
                <w:rStyle w:val="FontStyle41"/>
                <w:b w:val="0"/>
                <w:i w:val="0"/>
                <w:lang w:val="ro-RO"/>
              </w:rPr>
              <w:t>obținînd</w:t>
            </w:r>
            <w:proofErr w:type="spellEnd"/>
            <w:r w:rsidR="00505735">
              <w:rPr>
                <w:rStyle w:val="FontStyle41"/>
                <w:b w:val="0"/>
                <w:i w:val="0"/>
                <w:lang w:val="ro-RO"/>
              </w:rPr>
              <w:t xml:space="preserve"> un impact mediu pozitiv, va spori competitivitatea afacerilor din domeniul alimentar </w:t>
            </w:r>
            <w:r>
              <w:rPr>
                <w:rStyle w:val="FontStyle41"/>
                <w:b w:val="0"/>
                <w:i w:val="0"/>
                <w:lang w:val="ro-RO"/>
              </w:rPr>
              <w:t xml:space="preserve">ce va evidenția </w:t>
            </w:r>
            <w:r w:rsidR="00505735">
              <w:rPr>
                <w:rStyle w:val="FontStyle41"/>
                <w:b w:val="0"/>
                <w:i w:val="0"/>
                <w:lang w:val="ro-RO"/>
              </w:rPr>
              <w:t xml:space="preserve">un impact mediu pozitiv </w:t>
            </w:r>
            <w:proofErr w:type="spellStart"/>
            <w:r w:rsidR="00505735">
              <w:rPr>
                <w:rStyle w:val="FontStyle41"/>
                <w:b w:val="0"/>
                <w:i w:val="0"/>
                <w:lang w:val="ro-RO"/>
              </w:rPr>
              <w:t>avînd</w:t>
            </w:r>
            <w:proofErr w:type="spellEnd"/>
            <w:r w:rsidR="00505735">
              <w:rPr>
                <w:rStyle w:val="FontStyle41"/>
                <w:b w:val="0"/>
                <w:i w:val="0"/>
                <w:lang w:val="ro-RO"/>
              </w:rPr>
              <w:t xml:space="preserve"> în vedere alinierea cadrului normativ național la cerințele UE</w:t>
            </w:r>
            <w:r>
              <w:rPr>
                <w:rStyle w:val="FontStyle41"/>
                <w:b w:val="0"/>
                <w:bCs w:val="0"/>
                <w:lang w:val="ro-RO" w:eastAsia="ro-RO"/>
              </w:rPr>
              <w:t>.</w:t>
            </w:r>
          </w:p>
        </w:tc>
      </w:tr>
      <w:tr w:rsidR="00F66B41" w:rsidRPr="00B17AED" w:rsidTr="00891B25">
        <w:trPr>
          <w:trHeight w:val="1544"/>
        </w:trPr>
        <w:tc>
          <w:tcPr>
            <w:tcW w:w="9639" w:type="dxa"/>
            <w:gridSpan w:val="3"/>
          </w:tcPr>
          <w:p w:rsidR="003B0B86" w:rsidRPr="003E2628" w:rsidRDefault="003B0B86" w:rsidP="003B0B86">
            <w:pPr>
              <w:widowControl/>
              <w:autoSpaceDE/>
              <w:autoSpaceDN/>
              <w:adjustRightInd/>
              <w:ind w:firstLine="672"/>
              <w:jc w:val="both"/>
              <w:rPr>
                <w:rFonts w:eastAsia="Times New Roman"/>
                <w:b/>
                <w:bCs/>
                <w:sz w:val="22"/>
                <w:szCs w:val="22"/>
                <w:u w:val="single"/>
                <w:lang w:val="ro-RO" w:eastAsia="en-US"/>
              </w:rPr>
            </w:pPr>
            <w:r w:rsidRPr="003E2628">
              <w:rPr>
                <w:rFonts w:eastAsia="Times New Roman"/>
                <w:b/>
                <w:bCs/>
                <w:sz w:val="22"/>
                <w:szCs w:val="22"/>
                <w:u w:val="single"/>
                <w:lang w:val="ro-RO" w:eastAsia="en-US"/>
              </w:rPr>
              <w:t>Concluzie</w:t>
            </w:r>
          </w:p>
          <w:p w:rsidR="00F66B41" w:rsidRPr="003E2628" w:rsidRDefault="003B0B86" w:rsidP="003B0B86">
            <w:pPr>
              <w:pStyle w:val="Style18"/>
              <w:widowControl/>
              <w:tabs>
                <w:tab w:val="left" w:pos="142"/>
                <w:tab w:val="left" w:pos="743"/>
              </w:tabs>
              <w:spacing w:line="274" w:lineRule="exact"/>
              <w:ind w:firstLine="601"/>
              <w:jc w:val="both"/>
              <w:rPr>
                <w:rStyle w:val="FontStyle40"/>
                <w:lang w:val="ro-RO" w:eastAsia="ro-RO"/>
              </w:rPr>
            </w:pPr>
            <w:r w:rsidRPr="003E2628">
              <w:rPr>
                <w:rFonts w:eastAsia="Times New Roman"/>
                <w:sz w:val="22"/>
                <w:szCs w:val="22"/>
                <w:lang w:val="ro-RO" w:eastAsia="en-US"/>
              </w:rPr>
              <w:t xml:space="preserve">Astfel, prezentul proiect va asigura un nivel ridicat de protecţie a sănătăţii și intereselor consumatorilor şi garantarea dreptului acestora la informații depline și produse alimentare sigure, prin responsabilizarea operatorilor din domeniul alimentar. De asemenea, reglementările prezentului proiect va facilita transportul pe cale maritimă a </w:t>
            </w:r>
            <w:r w:rsidRPr="003E2628">
              <w:rPr>
                <w:rStyle w:val="FontStyle41"/>
                <w:b w:val="0"/>
                <w:i w:val="0"/>
                <w:lang w:val="ro-RO" w:eastAsia="ro-RO"/>
              </w:rPr>
              <w:t>uleiurilor și a grăsimilor lichide.</w:t>
            </w:r>
          </w:p>
        </w:tc>
      </w:tr>
      <w:tr w:rsidR="00891B25" w:rsidRPr="00B17AED" w:rsidTr="00891B25">
        <w:trPr>
          <w:trHeight w:val="188"/>
        </w:trPr>
        <w:tc>
          <w:tcPr>
            <w:tcW w:w="9639" w:type="dxa"/>
            <w:gridSpan w:val="3"/>
          </w:tcPr>
          <w:p w:rsidR="00891B25" w:rsidRPr="003E2628" w:rsidRDefault="00891B25" w:rsidP="00136A73">
            <w:pPr>
              <w:pStyle w:val="a7"/>
              <w:numPr>
                <w:ilvl w:val="0"/>
                <w:numId w:val="1"/>
              </w:numPr>
              <w:spacing w:after="0"/>
              <w:jc w:val="both"/>
              <w:rPr>
                <w:bCs/>
                <w:lang w:val="ro-RO"/>
              </w:rPr>
            </w:pPr>
            <w:r w:rsidRPr="003E2628">
              <w:rPr>
                <w:rFonts w:ascii="Times New Roman" w:hAnsi="Times New Roman"/>
                <w:b/>
                <w:bCs/>
                <w:lang w:val="ro-RO"/>
              </w:rPr>
              <w:t>Implementarea şi monitorizarea</w:t>
            </w:r>
          </w:p>
        </w:tc>
      </w:tr>
      <w:tr w:rsidR="00891B25" w:rsidRPr="00B17AED" w:rsidTr="00725FE9">
        <w:trPr>
          <w:trHeight w:val="2577"/>
        </w:trPr>
        <w:tc>
          <w:tcPr>
            <w:tcW w:w="9639" w:type="dxa"/>
            <w:gridSpan w:val="3"/>
          </w:tcPr>
          <w:p w:rsidR="00891B25" w:rsidRPr="003E2628" w:rsidRDefault="00891B25" w:rsidP="00891B25">
            <w:pPr>
              <w:ind w:firstLine="601"/>
              <w:jc w:val="both"/>
              <w:rPr>
                <w:rFonts w:eastAsia="Times New Roman"/>
                <w:bCs/>
                <w:sz w:val="22"/>
                <w:szCs w:val="22"/>
                <w:lang w:val="ro-RO"/>
              </w:rPr>
            </w:pPr>
            <w:r w:rsidRPr="003E2628">
              <w:rPr>
                <w:rFonts w:eastAsia="Times New Roman"/>
                <w:bCs/>
                <w:sz w:val="22"/>
                <w:szCs w:val="22"/>
                <w:lang w:val="ro-RO"/>
              </w:rPr>
              <w:t xml:space="preserve">Implementarea proiectului de lege </w:t>
            </w:r>
            <w:r w:rsidR="009474E8">
              <w:rPr>
                <w:rFonts w:eastAsia="Times New Roman"/>
                <w:bCs/>
                <w:sz w:val="22"/>
                <w:szCs w:val="22"/>
                <w:lang w:val="ro-RO"/>
              </w:rPr>
              <w:t>pentru</w:t>
            </w:r>
            <w:r w:rsidRPr="003E2628">
              <w:rPr>
                <w:rFonts w:eastAsia="Times New Roman"/>
                <w:bCs/>
                <w:sz w:val="22"/>
                <w:szCs w:val="22"/>
                <w:lang w:val="ro-RO"/>
              </w:rPr>
              <w:t xml:space="preserve"> modificarea unor acte legislative în ceea privește de modalitatea de etichetare a produselor alimentare ține </w:t>
            </w:r>
            <w:r w:rsidR="00BC246B" w:rsidRPr="003E2628">
              <w:rPr>
                <w:rFonts w:eastAsia="Times New Roman"/>
                <w:bCs/>
                <w:sz w:val="22"/>
                <w:szCs w:val="22"/>
                <w:lang w:val="ro-RO"/>
              </w:rPr>
              <w:t>Agenția Națională pentru Siguranța Alimentelor</w:t>
            </w:r>
            <w:r w:rsidRPr="003E2628">
              <w:rPr>
                <w:rFonts w:eastAsia="Times New Roman"/>
                <w:bCs/>
                <w:sz w:val="22"/>
                <w:szCs w:val="22"/>
                <w:lang w:val="ro-RO"/>
              </w:rPr>
              <w:t xml:space="preserve">, pe </w:t>
            </w:r>
            <w:proofErr w:type="spellStart"/>
            <w:r w:rsidRPr="003E2628">
              <w:rPr>
                <w:rFonts w:eastAsia="Times New Roman"/>
                <w:bCs/>
                <w:sz w:val="22"/>
                <w:szCs w:val="22"/>
                <w:lang w:val="ro-RO"/>
              </w:rPr>
              <w:t>cînd</w:t>
            </w:r>
            <w:proofErr w:type="spellEnd"/>
            <w:r w:rsidRPr="003E2628">
              <w:rPr>
                <w:rFonts w:eastAsia="Times New Roman"/>
                <w:bCs/>
                <w:sz w:val="22"/>
                <w:szCs w:val="22"/>
                <w:lang w:val="ro-RO"/>
              </w:rPr>
              <w:t xml:space="preserve"> cerințele noi pentru transportarea pe cale maritimă a uleiurilor și grăsimilor lichide ține de responsabilitatea </w:t>
            </w:r>
            <w:r w:rsidR="00EE17E7" w:rsidRPr="003E2628">
              <w:rPr>
                <w:rFonts w:eastAsia="Times New Roman"/>
                <w:bCs/>
                <w:sz w:val="22"/>
                <w:szCs w:val="22"/>
                <w:lang w:val="ro-RO"/>
              </w:rPr>
              <w:t>Serviciului Vamal și a Agenției Naționale pentru Siguranța Alimentelor</w:t>
            </w:r>
            <w:r w:rsidRPr="003E2628">
              <w:rPr>
                <w:rFonts w:eastAsia="Times New Roman"/>
                <w:bCs/>
                <w:sz w:val="22"/>
                <w:szCs w:val="22"/>
                <w:lang w:val="ro-RO"/>
              </w:rPr>
              <w:t xml:space="preserve">. </w:t>
            </w:r>
            <w:r w:rsidR="00742674" w:rsidRPr="003E2628">
              <w:rPr>
                <w:rFonts w:eastAsia="Times New Roman"/>
                <w:bCs/>
                <w:sz w:val="22"/>
                <w:szCs w:val="22"/>
                <w:lang w:val="ro-RO"/>
              </w:rPr>
              <w:t xml:space="preserve">Odată cu aprobarea și intrarea în vigoare a prevederilor prezentului proiect impactul pozitiv se va resimți imediat. Ca factori de performanță se va remarca numărul redus a cazurilor de neconformități la etichetarea produselor </w:t>
            </w:r>
            <w:r w:rsidR="006A13B0" w:rsidRPr="003E2628">
              <w:rPr>
                <w:rFonts w:eastAsia="Times New Roman"/>
                <w:bCs/>
                <w:sz w:val="22"/>
                <w:szCs w:val="22"/>
                <w:lang w:val="ro-RO"/>
              </w:rPr>
              <w:t xml:space="preserve">alimentare </w:t>
            </w:r>
            <w:r w:rsidR="00742674" w:rsidRPr="003E2628">
              <w:rPr>
                <w:rFonts w:eastAsia="Times New Roman"/>
                <w:bCs/>
                <w:sz w:val="22"/>
                <w:szCs w:val="22"/>
                <w:lang w:val="ro-RO"/>
              </w:rPr>
              <w:t xml:space="preserve">depistate în urma controalelor efectuate de către Agenția Națională pentru Siguranța Alimentelor, conform prevederilor articolului 24 alin.(2) </w:t>
            </w:r>
            <w:proofErr w:type="spellStart"/>
            <w:r w:rsidR="00742674" w:rsidRPr="003E2628">
              <w:rPr>
                <w:rFonts w:eastAsia="Times New Roman"/>
                <w:bCs/>
                <w:sz w:val="22"/>
                <w:szCs w:val="22"/>
                <w:lang w:val="ro-RO"/>
              </w:rPr>
              <w:t>lit.i</w:t>
            </w:r>
            <w:proofErr w:type="spellEnd"/>
            <w:r w:rsidR="00742674" w:rsidRPr="003E2628">
              <w:rPr>
                <w:rFonts w:eastAsia="Times New Roman"/>
                <w:bCs/>
                <w:sz w:val="22"/>
                <w:szCs w:val="22"/>
                <w:lang w:val="ro-RO"/>
              </w:rPr>
              <w:t>) a Legii nr.306/2018 privind siguranța alimentelor.</w:t>
            </w:r>
          </w:p>
          <w:p w:rsidR="00891B25" w:rsidRPr="003E2628" w:rsidRDefault="00891B25" w:rsidP="00DA54E1">
            <w:pPr>
              <w:ind w:firstLine="601"/>
              <w:jc w:val="both"/>
              <w:rPr>
                <w:b/>
                <w:bCs/>
                <w:sz w:val="22"/>
                <w:szCs w:val="22"/>
                <w:lang w:val="ro-RO"/>
              </w:rPr>
            </w:pPr>
            <w:r w:rsidRPr="003E2628">
              <w:rPr>
                <w:rFonts w:eastAsia="Times New Roman"/>
                <w:bCs/>
                <w:sz w:val="22"/>
                <w:szCs w:val="22"/>
                <w:lang w:val="ro-RO" w:eastAsia="en-US"/>
              </w:rPr>
              <w:t xml:space="preserve">Prin monitorizare se va controla sau se va ține sub control corectitudinea etichetării produselor alimentare </w:t>
            </w:r>
            <w:proofErr w:type="spellStart"/>
            <w:r w:rsidRPr="003E2628">
              <w:rPr>
                <w:rFonts w:eastAsia="Times New Roman"/>
                <w:bCs/>
                <w:sz w:val="22"/>
                <w:szCs w:val="22"/>
                <w:lang w:val="ro-RO" w:eastAsia="en-US"/>
              </w:rPr>
              <w:t>cît</w:t>
            </w:r>
            <w:proofErr w:type="spellEnd"/>
            <w:r w:rsidRPr="003E2628">
              <w:rPr>
                <w:rFonts w:eastAsia="Times New Roman"/>
                <w:bCs/>
                <w:sz w:val="22"/>
                <w:szCs w:val="22"/>
                <w:lang w:val="ro-RO" w:eastAsia="en-US"/>
              </w:rPr>
              <w:t xml:space="preserve"> și controlul evidenței documentelor referitoare la încărcăturile anterioare transportate în rezervoarele în care ulterior se va transporta uleiuri și grăsimi care sunt destinate consumului uman.</w:t>
            </w:r>
          </w:p>
        </w:tc>
      </w:tr>
      <w:tr w:rsidR="00891B25" w:rsidRPr="00B17AED" w:rsidTr="00891B25">
        <w:trPr>
          <w:trHeight w:val="319"/>
        </w:trPr>
        <w:tc>
          <w:tcPr>
            <w:tcW w:w="9639" w:type="dxa"/>
            <w:gridSpan w:val="3"/>
          </w:tcPr>
          <w:p w:rsidR="00891B25" w:rsidRPr="00B17AED" w:rsidRDefault="00891B25" w:rsidP="00136A73">
            <w:pPr>
              <w:pStyle w:val="a7"/>
              <w:numPr>
                <w:ilvl w:val="0"/>
                <w:numId w:val="1"/>
              </w:numPr>
              <w:spacing w:after="0"/>
              <w:jc w:val="both"/>
              <w:rPr>
                <w:rFonts w:ascii="Times New Roman" w:hAnsi="Times New Roman"/>
                <w:b/>
                <w:bCs/>
                <w:sz w:val="24"/>
                <w:szCs w:val="24"/>
                <w:lang w:val="ro-RO"/>
              </w:rPr>
            </w:pPr>
            <w:r w:rsidRPr="00B17AED">
              <w:rPr>
                <w:rFonts w:ascii="Times New Roman" w:hAnsi="Times New Roman"/>
                <w:b/>
                <w:bCs/>
                <w:lang w:val="ro-RO"/>
              </w:rPr>
              <w:t>Consultarea</w:t>
            </w:r>
          </w:p>
        </w:tc>
      </w:tr>
      <w:tr w:rsidR="00891B25" w:rsidRPr="00B17AED" w:rsidTr="00DA54E1">
        <w:trPr>
          <w:trHeight w:val="1562"/>
        </w:trPr>
        <w:tc>
          <w:tcPr>
            <w:tcW w:w="9639" w:type="dxa"/>
            <w:gridSpan w:val="3"/>
          </w:tcPr>
          <w:p w:rsidR="003F51BD" w:rsidRPr="003E2628" w:rsidRDefault="00A839D0" w:rsidP="00965410">
            <w:pPr>
              <w:pStyle w:val="a7"/>
              <w:spacing w:line="240" w:lineRule="auto"/>
              <w:ind w:left="34" w:firstLine="567"/>
              <w:jc w:val="both"/>
              <w:rPr>
                <w:rFonts w:ascii="Times New Roman" w:hAnsi="Times New Roman"/>
                <w:bCs/>
                <w:lang w:val="ro-RO"/>
              </w:rPr>
            </w:pPr>
            <w:r w:rsidRPr="003E2628">
              <w:rPr>
                <w:rFonts w:ascii="Times New Roman" w:hAnsi="Times New Roman"/>
                <w:bCs/>
                <w:lang w:val="ro-RO"/>
              </w:rPr>
              <w:lastRenderedPageBreak/>
              <w:t>I</w:t>
            </w:r>
            <w:r w:rsidR="00891B25" w:rsidRPr="003E2628">
              <w:rPr>
                <w:rFonts w:ascii="Times New Roman" w:hAnsi="Times New Roman"/>
                <w:bCs/>
                <w:lang w:val="ro-RO"/>
              </w:rPr>
              <w:t>ntervenți</w:t>
            </w:r>
            <w:r w:rsidRPr="003E2628">
              <w:rPr>
                <w:rFonts w:ascii="Times New Roman" w:hAnsi="Times New Roman"/>
                <w:bCs/>
                <w:lang w:val="ro-RO"/>
              </w:rPr>
              <w:t>a</w:t>
            </w:r>
            <w:r w:rsidR="00891B25" w:rsidRPr="003E2628">
              <w:rPr>
                <w:rFonts w:ascii="Times New Roman" w:hAnsi="Times New Roman"/>
                <w:bCs/>
                <w:lang w:val="ro-RO"/>
              </w:rPr>
              <w:t xml:space="preserve"> propus</w:t>
            </w:r>
            <w:r w:rsidRPr="003E2628">
              <w:rPr>
                <w:rFonts w:ascii="Times New Roman" w:hAnsi="Times New Roman"/>
                <w:bCs/>
                <w:lang w:val="ro-RO"/>
              </w:rPr>
              <w:t>ă</w:t>
            </w:r>
            <w:r w:rsidR="00891B25" w:rsidRPr="003E2628">
              <w:rPr>
                <w:rFonts w:ascii="Times New Roman" w:hAnsi="Times New Roman"/>
                <w:bCs/>
                <w:lang w:val="ro-RO"/>
              </w:rPr>
              <w:t xml:space="preserve"> prin aprobarea prezentului proiect de lege, în special </w:t>
            </w:r>
            <w:r w:rsidRPr="003E2628">
              <w:rPr>
                <w:rFonts w:ascii="Times New Roman" w:hAnsi="Times New Roman"/>
                <w:bCs/>
                <w:lang w:val="ro-RO"/>
              </w:rPr>
              <w:t>în ceea ce ține de</w:t>
            </w:r>
            <w:r w:rsidR="00891B25" w:rsidRPr="003E2628">
              <w:rPr>
                <w:rFonts w:ascii="Times New Roman" w:hAnsi="Times New Roman"/>
                <w:bCs/>
                <w:lang w:val="ro-RO"/>
              </w:rPr>
              <w:t xml:space="preserve"> modalit</w:t>
            </w:r>
            <w:r w:rsidRPr="003E2628">
              <w:rPr>
                <w:rFonts w:ascii="Times New Roman" w:hAnsi="Times New Roman"/>
                <w:bCs/>
                <w:lang w:val="ro-RO"/>
              </w:rPr>
              <w:t>atea</w:t>
            </w:r>
            <w:r w:rsidR="00891B25" w:rsidRPr="003E2628">
              <w:rPr>
                <w:rFonts w:ascii="Times New Roman" w:hAnsi="Times New Roman"/>
                <w:bCs/>
                <w:lang w:val="ro-RO"/>
              </w:rPr>
              <w:t xml:space="preserve"> de etichetare a produselor alimentare </w:t>
            </w:r>
            <w:r w:rsidRPr="003E2628">
              <w:rPr>
                <w:rFonts w:ascii="Times New Roman" w:hAnsi="Times New Roman"/>
                <w:bCs/>
                <w:lang w:val="ro-RO"/>
              </w:rPr>
              <w:t>a fost înaintată, consultată și susținută în cadrul mai multor ședințe</w:t>
            </w:r>
            <w:r w:rsidR="00B96E29" w:rsidRPr="003E2628">
              <w:rPr>
                <w:rFonts w:ascii="Times New Roman" w:hAnsi="Times New Roman"/>
                <w:bCs/>
                <w:lang w:val="ro-RO"/>
              </w:rPr>
              <w:t xml:space="preserve"> (ședința din 13.09.2019 organizată în cadrul MADRM, ședința din 17.09.2019 și din 08.10.2019 organizată în cadrul Consiliului Economic de pe </w:t>
            </w:r>
            <w:proofErr w:type="spellStart"/>
            <w:r w:rsidR="00B96E29" w:rsidRPr="003E2628">
              <w:rPr>
                <w:rFonts w:ascii="Times New Roman" w:hAnsi="Times New Roman"/>
                <w:bCs/>
                <w:lang w:val="ro-RO"/>
              </w:rPr>
              <w:t>lîngă</w:t>
            </w:r>
            <w:proofErr w:type="spellEnd"/>
            <w:r w:rsidR="00B96E29" w:rsidRPr="003E2628">
              <w:rPr>
                <w:rFonts w:ascii="Times New Roman" w:hAnsi="Times New Roman"/>
                <w:bCs/>
                <w:lang w:val="ro-RO"/>
              </w:rPr>
              <w:t xml:space="preserve"> </w:t>
            </w:r>
            <w:proofErr w:type="spellStart"/>
            <w:r w:rsidR="00B96E29" w:rsidRPr="003E2628">
              <w:rPr>
                <w:rFonts w:ascii="Times New Roman" w:hAnsi="Times New Roman"/>
                <w:bCs/>
                <w:lang w:val="ro-RO"/>
              </w:rPr>
              <w:t>Prim-Ministru</w:t>
            </w:r>
            <w:proofErr w:type="spellEnd"/>
            <w:r w:rsidR="00B96E29" w:rsidRPr="003E2628">
              <w:rPr>
                <w:rFonts w:ascii="Times New Roman" w:hAnsi="Times New Roman"/>
                <w:bCs/>
                <w:lang w:val="ro-RO"/>
              </w:rPr>
              <w:t>) ș</w:t>
            </w:r>
            <w:r w:rsidRPr="003E2628">
              <w:rPr>
                <w:rFonts w:ascii="Times New Roman" w:hAnsi="Times New Roman"/>
                <w:bCs/>
                <w:lang w:val="ro-RO"/>
              </w:rPr>
              <w:t xml:space="preserve">i solicitări din partea </w:t>
            </w:r>
            <w:r w:rsidR="00DA54E1" w:rsidRPr="003E2628">
              <w:rPr>
                <w:rFonts w:ascii="Times New Roman" w:hAnsi="Times New Roman"/>
                <w:bCs/>
                <w:lang w:val="ro-RO"/>
              </w:rPr>
              <w:t>Asociați</w:t>
            </w:r>
            <w:r w:rsidRPr="003E2628">
              <w:rPr>
                <w:rFonts w:ascii="Times New Roman" w:hAnsi="Times New Roman"/>
                <w:bCs/>
                <w:lang w:val="ro-RO"/>
              </w:rPr>
              <w:t>ei</w:t>
            </w:r>
            <w:r w:rsidR="00DA54E1" w:rsidRPr="003E2628">
              <w:rPr>
                <w:rFonts w:ascii="Times New Roman" w:hAnsi="Times New Roman"/>
                <w:bCs/>
                <w:lang w:val="ro-RO"/>
              </w:rPr>
              <w:t xml:space="preserve"> Național</w:t>
            </w:r>
            <w:r w:rsidRPr="003E2628">
              <w:rPr>
                <w:rFonts w:ascii="Times New Roman" w:hAnsi="Times New Roman"/>
                <w:bCs/>
                <w:lang w:val="ro-RO"/>
              </w:rPr>
              <w:t>e</w:t>
            </w:r>
            <w:r w:rsidR="00DA54E1" w:rsidRPr="003E2628">
              <w:rPr>
                <w:rFonts w:ascii="Times New Roman" w:hAnsi="Times New Roman"/>
                <w:bCs/>
                <w:lang w:val="ro-RO"/>
              </w:rPr>
              <w:t xml:space="preserve"> a Producătorilor de Lapte. Patronatul Industriei Prelucrătoare de Carne</w:t>
            </w:r>
            <w:r w:rsidR="006E1F91" w:rsidRPr="003E2628">
              <w:rPr>
                <w:rFonts w:ascii="Times New Roman" w:hAnsi="Times New Roman"/>
                <w:bCs/>
                <w:lang w:val="ro-RO"/>
              </w:rPr>
              <w:t xml:space="preserve"> (Demersul nr.208/07 din 11.07.2019 și scrisoarea din 29.08.2019)</w:t>
            </w:r>
            <w:r w:rsidR="00DA54E1" w:rsidRPr="003E2628">
              <w:rPr>
                <w:rFonts w:ascii="Times New Roman" w:hAnsi="Times New Roman"/>
                <w:bCs/>
                <w:lang w:val="ro-RO"/>
              </w:rPr>
              <w:t>, Asociați</w:t>
            </w:r>
            <w:r w:rsidRPr="003E2628">
              <w:rPr>
                <w:rFonts w:ascii="Times New Roman" w:hAnsi="Times New Roman"/>
                <w:bCs/>
                <w:lang w:val="ro-RO"/>
              </w:rPr>
              <w:t>ei</w:t>
            </w:r>
            <w:r w:rsidR="00DA54E1" w:rsidRPr="003E2628">
              <w:rPr>
                <w:rFonts w:ascii="Times New Roman" w:hAnsi="Times New Roman"/>
                <w:bCs/>
                <w:lang w:val="ro-RO"/>
              </w:rPr>
              <w:t xml:space="preserve"> Businessului European</w:t>
            </w:r>
            <w:r w:rsidR="006E1F91" w:rsidRPr="003E2628">
              <w:rPr>
                <w:rFonts w:ascii="Times New Roman" w:hAnsi="Times New Roman"/>
                <w:bCs/>
                <w:lang w:val="ro-RO"/>
              </w:rPr>
              <w:t xml:space="preserve"> (scrisoarea nr.38/19-AP din 20.08.2019)</w:t>
            </w:r>
            <w:r w:rsidR="00DA54E1" w:rsidRPr="003E2628">
              <w:rPr>
                <w:rFonts w:ascii="Times New Roman" w:hAnsi="Times New Roman"/>
                <w:bCs/>
                <w:lang w:val="ro-RO"/>
              </w:rPr>
              <w:t>, Consiliul</w:t>
            </w:r>
            <w:r w:rsidRPr="003E2628">
              <w:rPr>
                <w:rFonts w:ascii="Times New Roman" w:hAnsi="Times New Roman"/>
                <w:bCs/>
                <w:lang w:val="ro-RO"/>
              </w:rPr>
              <w:t>ui</w:t>
            </w:r>
            <w:r w:rsidR="00DA54E1" w:rsidRPr="003E2628">
              <w:rPr>
                <w:rFonts w:ascii="Times New Roman" w:hAnsi="Times New Roman"/>
                <w:bCs/>
                <w:lang w:val="ro-RO"/>
              </w:rPr>
              <w:t xml:space="preserve"> Economic de pe </w:t>
            </w:r>
            <w:proofErr w:type="spellStart"/>
            <w:r w:rsidR="00DA54E1" w:rsidRPr="003E2628">
              <w:rPr>
                <w:rFonts w:ascii="Times New Roman" w:hAnsi="Times New Roman"/>
                <w:bCs/>
                <w:lang w:val="ro-RO"/>
              </w:rPr>
              <w:t>lîngă</w:t>
            </w:r>
            <w:proofErr w:type="spellEnd"/>
            <w:r w:rsidR="00DA54E1" w:rsidRPr="003E2628">
              <w:rPr>
                <w:rFonts w:ascii="Times New Roman" w:hAnsi="Times New Roman"/>
                <w:bCs/>
                <w:lang w:val="ro-RO"/>
              </w:rPr>
              <w:t xml:space="preserve"> </w:t>
            </w:r>
            <w:proofErr w:type="spellStart"/>
            <w:r w:rsidR="00DA54E1" w:rsidRPr="003E2628">
              <w:rPr>
                <w:rFonts w:ascii="Times New Roman" w:hAnsi="Times New Roman"/>
                <w:bCs/>
                <w:lang w:val="ro-RO"/>
              </w:rPr>
              <w:t>Prim-Ministru</w:t>
            </w:r>
            <w:proofErr w:type="spellEnd"/>
            <w:r w:rsidR="00DA54E1" w:rsidRPr="003E2628">
              <w:rPr>
                <w:rFonts w:ascii="Times New Roman" w:hAnsi="Times New Roman"/>
                <w:bCs/>
                <w:lang w:val="ro-RO"/>
              </w:rPr>
              <w:t xml:space="preserve"> și </w:t>
            </w:r>
            <w:r w:rsidRPr="003E2628">
              <w:rPr>
                <w:rFonts w:ascii="Times New Roman" w:hAnsi="Times New Roman"/>
                <w:bCs/>
                <w:lang w:val="ro-RO"/>
              </w:rPr>
              <w:t xml:space="preserve">din partea unui grup de </w:t>
            </w:r>
            <w:r w:rsidR="00DA54E1" w:rsidRPr="003E2628">
              <w:rPr>
                <w:rFonts w:ascii="Times New Roman" w:hAnsi="Times New Roman"/>
                <w:bCs/>
                <w:lang w:val="ro-RO"/>
              </w:rPr>
              <w:t>operatori din domeniul alimentar.</w:t>
            </w:r>
            <w:r w:rsidR="00745C2C" w:rsidRPr="003E2628">
              <w:rPr>
                <w:rFonts w:ascii="Times New Roman" w:hAnsi="Times New Roman"/>
                <w:bCs/>
                <w:lang w:val="ro-RO"/>
              </w:rPr>
              <w:t xml:space="preserve"> Astfel, principalele părți interesate </w:t>
            </w:r>
            <w:r w:rsidR="003F51BD" w:rsidRPr="003E2628">
              <w:rPr>
                <w:rFonts w:ascii="Times New Roman" w:hAnsi="Times New Roman"/>
                <w:bCs/>
                <w:lang w:val="ro-RO"/>
              </w:rPr>
              <w:t>în promovarea prezentului proiect sunt:</w:t>
            </w:r>
          </w:p>
          <w:p w:rsidR="003F51BD" w:rsidRPr="003E2628" w:rsidRDefault="003F51BD" w:rsidP="00965410">
            <w:pPr>
              <w:pStyle w:val="a7"/>
              <w:spacing w:line="240" w:lineRule="auto"/>
              <w:ind w:left="34" w:firstLine="567"/>
              <w:jc w:val="both"/>
              <w:rPr>
                <w:rFonts w:ascii="Times New Roman" w:hAnsi="Times New Roman"/>
                <w:bCs/>
                <w:lang w:val="ro-RO"/>
              </w:rPr>
            </w:pPr>
            <w:r w:rsidRPr="003E2628">
              <w:rPr>
                <w:rFonts w:ascii="Times New Roman" w:hAnsi="Times New Roman"/>
                <w:bCs/>
                <w:lang w:val="ro-RO"/>
              </w:rPr>
              <w:t>- consumatorii, care își manifestă interesul firesc față de protejarea sănătății umane și a protejării intereselor sale și informarea corectă și în deplinătate despre produsul alimentar achiziționat;</w:t>
            </w:r>
          </w:p>
          <w:p w:rsidR="003F51BD" w:rsidRPr="003E2628" w:rsidRDefault="003F51BD" w:rsidP="00965410">
            <w:pPr>
              <w:pStyle w:val="a7"/>
              <w:spacing w:line="240" w:lineRule="auto"/>
              <w:ind w:left="176" w:firstLine="567"/>
              <w:jc w:val="both"/>
              <w:rPr>
                <w:rFonts w:ascii="Times New Roman" w:hAnsi="Times New Roman"/>
                <w:bCs/>
                <w:lang w:val="ro-RO"/>
              </w:rPr>
            </w:pPr>
            <w:r w:rsidRPr="003E2628">
              <w:rPr>
                <w:rFonts w:ascii="Times New Roman" w:hAnsi="Times New Roman"/>
                <w:bCs/>
                <w:lang w:val="ro-RO"/>
              </w:rPr>
              <w:t>- operatorii din domeniul alimentar care sunt obligați să respecte cerințele în materie de etichetare și a celor de siguranță a produselor alimentare</w:t>
            </w:r>
            <w:r w:rsidR="006E1F91" w:rsidRPr="003E2628">
              <w:rPr>
                <w:rFonts w:ascii="Times New Roman" w:hAnsi="Times New Roman"/>
                <w:bCs/>
                <w:lang w:val="ro-RO"/>
              </w:rPr>
              <w:t>;</w:t>
            </w:r>
          </w:p>
          <w:p w:rsidR="00891B25" w:rsidRPr="003E2628" w:rsidRDefault="006E1F91" w:rsidP="00965410">
            <w:pPr>
              <w:pStyle w:val="a7"/>
              <w:spacing w:after="0" w:line="240" w:lineRule="auto"/>
              <w:ind w:left="0" w:firstLine="720"/>
              <w:jc w:val="both"/>
              <w:rPr>
                <w:rFonts w:ascii="Times New Roman" w:hAnsi="Times New Roman"/>
                <w:bCs/>
                <w:lang w:val="ro-RO"/>
              </w:rPr>
            </w:pPr>
            <w:r w:rsidRPr="003E2628">
              <w:rPr>
                <w:rFonts w:ascii="Times New Roman" w:hAnsi="Times New Roman"/>
                <w:bCs/>
                <w:lang w:val="ro-RO"/>
              </w:rPr>
              <w:t xml:space="preserve">- </w:t>
            </w:r>
            <w:r w:rsidR="003F51BD" w:rsidRPr="003E2628">
              <w:rPr>
                <w:rFonts w:ascii="Times New Roman" w:hAnsi="Times New Roman"/>
                <w:bCs/>
                <w:lang w:val="ro-RO"/>
              </w:rPr>
              <w:t xml:space="preserve">autoritățile publice interesate (Agenția Națională pentru Siguranța Alimentelor) </w:t>
            </w:r>
            <w:r w:rsidR="00B96E29" w:rsidRPr="003E2628">
              <w:rPr>
                <w:rFonts w:ascii="Times New Roman" w:hAnsi="Times New Roman"/>
                <w:bCs/>
                <w:lang w:val="ro-RO"/>
              </w:rPr>
              <w:t>care au obligația, competența de control și supraveghere a implementării politicilor din domeniul siguranței alimentare de către operatorii din domeniul alimentar.</w:t>
            </w:r>
          </w:p>
          <w:p w:rsidR="00A17A13" w:rsidRPr="003E2628" w:rsidRDefault="00A17A13" w:rsidP="00B96E29">
            <w:pPr>
              <w:pStyle w:val="a7"/>
              <w:spacing w:after="0" w:line="240" w:lineRule="auto"/>
              <w:ind w:left="0" w:firstLine="720"/>
              <w:jc w:val="both"/>
              <w:rPr>
                <w:rFonts w:ascii="Times New Roman" w:hAnsi="Times New Roman"/>
                <w:bCs/>
                <w:lang w:val="ro-RO"/>
              </w:rPr>
            </w:pPr>
            <w:r w:rsidRPr="003E2628">
              <w:rPr>
                <w:rFonts w:ascii="Times New Roman" w:hAnsi="Times New Roman"/>
                <w:bCs/>
                <w:lang w:val="ro-RO"/>
              </w:rPr>
              <w:t xml:space="preserve">Întru respectarea </w:t>
            </w:r>
            <w:r w:rsidR="0063751C" w:rsidRPr="003E2628">
              <w:rPr>
                <w:rFonts w:ascii="Times New Roman" w:hAnsi="Times New Roman"/>
                <w:bCs/>
                <w:lang w:val="ro-RO"/>
              </w:rPr>
              <w:t>articolului 9 al Legii nr.239/2008 privind transparența în procesul decizional</w:t>
            </w:r>
            <w:r w:rsidRPr="003E2628">
              <w:rPr>
                <w:rFonts w:ascii="Times New Roman" w:hAnsi="Times New Roman"/>
                <w:bCs/>
                <w:lang w:val="ro-RO"/>
              </w:rPr>
              <w:t xml:space="preserve"> Anunțul de inițiere a elaborării proiectului a fost plasat pe pagina web a Ministerului Agriculturii, Dezvoltării Regionale și Mediului </w:t>
            </w:r>
            <w:proofErr w:type="spellStart"/>
            <w:r w:rsidRPr="003E2628">
              <w:rPr>
                <w:rFonts w:ascii="Times New Roman" w:hAnsi="Times New Roman"/>
                <w:bCs/>
                <w:lang w:val="ro-RO"/>
              </w:rPr>
              <w:t>www.madrm.gov.md</w:t>
            </w:r>
            <w:proofErr w:type="spellEnd"/>
            <w:r w:rsidRPr="003E2628">
              <w:rPr>
                <w:rFonts w:ascii="Times New Roman" w:hAnsi="Times New Roman"/>
                <w:bCs/>
                <w:lang w:val="ro-RO"/>
              </w:rPr>
              <w:t xml:space="preserve"> </w:t>
            </w:r>
            <w:r w:rsidR="00254029" w:rsidRPr="003E2628">
              <w:rPr>
                <w:rFonts w:ascii="Times New Roman" w:hAnsi="Times New Roman"/>
                <w:bCs/>
                <w:lang w:val="ro-RO"/>
              </w:rPr>
              <w:t xml:space="preserve">la compartimentul </w:t>
            </w:r>
            <w:r w:rsidR="00254029" w:rsidRPr="003E2628">
              <w:rPr>
                <w:rFonts w:ascii="Times New Roman" w:hAnsi="Times New Roman"/>
                <w:bCs/>
                <w:i/>
                <w:lang w:val="ro-RO"/>
              </w:rPr>
              <w:t>Transparență decizională</w:t>
            </w:r>
            <w:r w:rsidR="00254029" w:rsidRPr="003E2628">
              <w:rPr>
                <w:rFonts w:ascii="Times New Roman" w:hAnsi="Times New Roman"/>
                <w:bCs/>
                <w:lang w:val="ro-RO"/>
              </w:rPr>
              <w:t xml:space="preserve"> la rubrica </w:t>
            </w:r>
            <w:r w:rsidR="00254029" w:rsidRPr="003E2628">
              <w:rPr>
                <w:rFonts w:ascii="Times New Roman" w:hAnsi="Times New Roman"/>
                <w:bCs/>
                <w:i/>
                <w:lang w:val="ro-RO"/>
              </w:rPr>
              <w:t>Anunțuri de inițiere a elaborării deciziilor</w:t>
            </w:r>
            <w:r w:rsidRPr="003E2628">
              <w:rPr>
                <w:rFonts w:ascii="Times New Roman" w:hAnsi="Times New Roman"/>
                <w:bCs/>
                <w:lang w:val="ro-RO"/>
              </w:rPr>
              <w:t xml:space="preserve"> și pe pagina web: </w:t>
            </w:r>
            <w:hyperlink r:id="rId11" w:history="1">
              <w:r w:rsidR="006A13B0" w:rsidRPr="003E2628">
                <w:rPr>
                  <w:rStyle w:val="a3"/>
                  <w:rFonts w:ascii="Times New Roman" w:hAnsi="Times New Roman"/>
                </w:rPr>
                <w:t>http://www.particip.gov.md/proiectview.php?l=ro&amp;idd=6817</w:t>
              </w:r>
            </w:hyperlink>
            <w:r w:rsidR="006A13B0" w:rsidRPr="003E2628">
              <w:rPr>
                <w:rFonts w:ascii="Times New Roman" w:hAnsi="Times New Roman"/>
                <w:color w:val="548DD4" w:themeColor="text2" w:themeTint="99"/>
                <w:u w:val="single"/>
              </w:rPr>
              <w:t xml:space="preserve">. </w:t>
            </w:r>
          </w:p>
          <w:p w:rsidR="00A17A13" w:rsidRPr="003E2628" w:rsidRDefault="00A17A13" w:rsidP="00B96E29">
            <w:pPr>
              <w:pStyle w:val="a7"/>
              <w:spacing w:after="0" w:line="240" w:lineRule="auto"/>
              <w:ind w:left="0" w:firstLine="720"/>
              <w:jc w:val="both"/>
              <w:rPr>
                <w:rFonts w:ascii="Times New Roman" w:hAnsi="Times New Roman"/>
                <w:bCs/>
                <w:color w:val="548DD4" w:themeColor="text2" w:themeTint="99"/>
                <w:u w:val="single"/>
                <w:lang w:val="ro-RO"/>
              </w:rPr>
            </w:pPr>
            <w:r w:rsidRPr="003E2628">
              <w:rPr>
                <w:rFonts w:ascii="Times New Roman" w:hAnsi="Times New Roman"/>
                <w:bCs/>
                <w:lang w:val="ro-RO"/>
              </w:rPr>
              <w:t>De asemenea, la data de</w:t>
            </w:r>
            <w:r w:rsidR="00965410" w:rsidRPr="003E2628">
              <w:rPr>
                <w:rFonts w:ascii="Times New Roman" w:hAnsi="Times New Roman"/>
                <w:bCs/>
                <w:lang w:val="ro-RO"/>
              </w:rPr>
              <w:t xml:space="preserve"> 14.</w:t>
            </w:r>
            <w:r w:rsidRPr="003E2628">
              <w:rPr>
                <w:rFonts w:ascii="Times New Roman" w:hAnsi="Times New Roman"/>
                <w:bCs/>
                <w:lang w:val="ro-RO"/>
              </w:rPr>
              <w:t>11.2019 a fost plasat</w:t>
            </w:r>
            <w:r w:rsidRPr="003E2628">
              <w:t xml:space="preserve"> </w:t>
            </w:r>
            <w:proofErr w:type="spellStart"/>
            <w:r w:rsidR="00254029" w:rsidRPr="003E2628">
              <w:rPr>
                <w:rFonts w:ascii="Times New Roman" w:hAnsi="Times New Roman"/>
              </w:rPr>
              <w:t>spre</w:t>
            </w:r>
            <w:proofErr w:type="spellEnd"/>
            <w:r w:rsidR="00254029" w:rsidRPr="003E2628">
              <w:rPr>
                <w:rFonts w:ascii="Times New Roman" w:hAnsi="Times New Roman"/>
              </w:rPr>
              <w:t xml:space="preserve"> </w:t>
            </w:r>
            <w:proofErr w:type="spellStart"/>
            <w:r w:rsidR="00254029" w:rsidRPr="003E2628">
              <w:rPr>
                <w:rFonts w:ascii="Times New Roman" w:hAnsi="Times New Roman"/>
              </w:rPr>
              <w:t>consultare</w:t>
            </w:r>
            <w:proofErr w:type="spellEnd"/>
            <w:r w:rsidR="00254029" w:rsidRPr="003E2628">
              <w:t xml:space="preserve"> </w:t>
            </w:r>
            <w:r w:rsidRPr="003E2628">
              <w:rPr>
                <w:rFonts w:ascii="Times New Roman" w:hAnsi="Times New Roman"/>
                <w:bCs/>
                <w:lang w:val="ro-RO"/>
              </w:rPr>
              <w:t xml:space="preserve">Analiza Impactului de Reglementare </w:t>
            </w:r>
            <w:r w:rsidR="009474E8">
              <w:rPr>
                <w:rFonts w:ascii="Times New Roman" w:hAnsi="Times New Roman"/>
                <w:bCs/>
                <w:lang w:val="ro-RO"/>
              </w:rPr>
              <w:t>a</w:t>
            </w:r>
            <w:r w:rsidRPr="003E2628">
              <w:rPr>
                <w:rFonts w:ascii="Times New Roman" w:hAnsi="Times New Roman"/>
                <w:bCs/>
                <w:lang w:val="ro-RO"/>
              </w:rPr>
              <w:t xml:space="preserve"> </w:t>
            </w:r>
            <w:r w:rsidR="009474E8">
              <w:rPr>
                <w:rFonts w:ascii="Times New Roman" w:hAnsi="Times New Roman"/>
                <w:bCs/>
                <w:lang w:val="ro-RO"/>
              </w:rPr>
              <w:t xml:space="preserve">prezentului </w:t>
            </w:r>
            <w:r w:rsidRPr="003E2628">
              <w:rPr>
                <w:rFonts w:ascii="Times New Roman" w:hAnsi="Times New Roman"/>
                <w:bCs/>
                <w:lang w:val="ro-RO"/>
              </w:rPr>
              <w:t xml:space="preserve">proiect pe pagina MADRM </w:t>
            </w:r>
            <w:proofErr w:type="spellStart"/>
            <w:r w:rsidR="00254029" w:rsidRPr="003E2628">
              <w:rPr>
                <w:rFonts w:ascii="Times New Roman" w:hAnsi="Times New Roman"/>
                <w:bCs/>
                <w:lang w:val="ro-RO"/>
              </w:rPr>
              <w:t>www.madrm.gov.md</w:t>
            </w:r>
            <w:proofErr w:type="spellEnd"/>
            <w:r w:rsidR="00254029" w:rsidRPr="003E2628">
              <w:rPr>
                <w:rFonts w:ascii="Times New Roman" w:hAnsi="Times New Roman"/>
                <w:bCs/>
                <w:lang w:val="ro-RO"/>
              </w:rPr>
              <w:t xml:space="preserve"> la compartimentul </w:t>
            </w:r>
            <w:r w:rsidR="00254029" w:rsidRPr="003E2628">
              <w:rPr>
                <w:rFonts w:ascii="Times New Roman" w:hAnsi="Times New Roman"/>
                <w:bCs/>
                <w:i/>
                <w:lang w:val="ro-RO"/>
              </w:rPr>
              <w:t>Transparență decizională</w:t>
            </w:r>
            <w:r w:rsidR="00254029" w:rsidRPr="003E2628">
              <w:rPr>
                <w:rFonts w:ascii="Times New Roman" w:hAnsi="Times New Roman"/>
                <w:bCs/>
                <w:lang w:val="ro-RO"/>
              </w:rPr>
              <w:t xml:space="preserve"> la rubrica </w:t>
            </w:r>
            <w:r w:rsidR="006D1C1E" w:rsidRPr="003E2628">
              <w:rPr>
                <w:rFonts w:ascii="Times New Roman" w:hAnsi="Times New Roman"/>
                <w:bCs/>
                <w:i/>
                <w:lang w:val="ro-RO"/>
              </w:rPr>
              <w:t>Proiecte de documente</w:t>
            </w:r>
            <w:r w:rsidR="00254029" w:rsidRPr="003E2628">
              <w:rPr>
                <w:rFonts w:ascii="Times New Roman" w:hAnsi="Times New Roman"/>
                <w:bCs/>
                <w:lang w:val="ro-RO"/>
              </w:rPr>
              <w:t>.</w:t>
            </w:r>
            <w:r w:rsidR="00181AEA" w:rsidRPr="003E2628">
              <w:rPr>
                <w:rFonts w:ascii="Times New Roman" w:hAnsi="Times New Roman"/>
                <w:bCs/>
                <w:lang w:val="ro-RO"/>
              </w:rPr>
              <w:t xml:space="preserve"> </w:t>
            </w:r>
            <w:hyperlink r:id="rId12" w:history="1">
              <w:r w:rsidR="006A13B0" w:rsidRPr="003E2628">
                <w:rPr>
                  <w:rStyle w:val="a3"/>
                  <w:rFonts w:ascii="Times New Roman" w:hAnsi="Times New Roman"/>
                  <w:bCs/>
                  <w:lang w:val="ro-RO"/>
                </w:rPr>
                <w:t>http://madrm.gov.md/ro/content/anun%C8%9B-privind-ini%C8%9Bierea-consult%C4%83rilor-publice-asupra-analiza-impactului-de-reglementare</w:t>
              </w:r>
            </w:hyperlink>
            <w:r w:rsidR="006A13B0" w:rsidRPr="003E2628">
              <w:rPr>
                <w:rFonts w:ascii="Times New Roman" w:hAnsi="Times New Roman"/>
                <w:bCs/>
                <w:color w:val="548DD4" w:themeColor="text2" w:themeTint="99"/>
                <w:u w:val="single"/>
                <w:lang w:val="ro-RO"/>
              </w:rPr>
              <w:t>.</w:t>
            </w:r>
          </w:p>
          <w:p w:rsidR="006A13B0" w:rsidRPr="003E2628" w:rsidRDefault="006A13B0" w:rsidP="00B96E29">
            <w:pPr>
              <w:pStyle w:val="a7"/>
              <w:spacing w:after="0" w:line="240" w:lineRule="auto"/>
              <w:ind w:left="0" w:firstLine="720"/>
              <w:jc w:val="both"/>
              <w:rPr>
                <w:rFonts w:ascii="Times New Roman" w:hAnsi="Times New Roman"/>
                <w:bCs/>
                <w:color w:val="000000" w:themeColor="text1"/>
                <w:lang w:val="ro-RO"/>
              </w:rPr>
            </w:pPr>
            <w:r w:rsidRPr="003E2628">
              <w:rPr>
                <w:rFonts w:ascii="Times New Roman" w:hAnsi="Times New Roman"/>
                <w:bCs/>
                <w:color w:val="000000" w:themeColor="text1"/>
                <w:lang w:val="ro-RO"/>
              </w:rPr>
              <w:t xml:space="preserve">Opinie asupra prezentului document de analiză a impactului din partea autorităților interesate din momentul publicării </w:t>
            </w:r>
            <w:proofErr w:type="spellStart"/>
            <w:r w:rsidRPr="003E2628">
              <w:rPr>
                <w:rFonts w:ascii="Times New Roman" w:hAnsi="Times New Roman"/>
                <w:bCs/>
                <w:color w:val="000000" w:themeColor="text1"/>
                <w:lang w:val="ro-RO"/>
              </w:rPr>
              <w:t>pînă</w:t>
            </w:r>
            <w:proofErr w:type="spellEnd"/>
            <w:r w:rsidRPr="003E2628">
              <w:rPr>
                <w:rFonts w:ascii="Times New Roman" w:hAnsi="Times New Roman"/>
                <w:bCs/>
                <w:color w:val="000000" w:themeColor="text1"/>
                <w:lang w:val="ro-RO"/>
              </w:rPr>
              <w:t xml:space="preserve"> în prezent nu a parvenit.</w:t>
            </w:r>
          </w:p>
          <w:p w:rsidR="00254029" w:rsidRPr="00B17AED" w:rsidRDefault="00254029" w:rsidP="0063751C">
            <w:pPr>
              <w:pStyle w:val="a7"/>
              <w:spacing w:after="0" w:line="240" w:lineRule="auto"/>
              <w:ind w:left="0" w:firstLine="720"/>
              <w:jc w:val="both"/>
              <w:rPr>
                <w:rFonts w:ascii="Times New Roman" w:hAnsi="Times New Roman"/>
                <w:bCs/>
                <w:sz w:val="24"/>
                <w:szCs w:val="24"/>
                <w:lang w:val="ro-RO"/>
              </w:rPr>
            </w:pPr>
            <w:r w:rsidRPr="003E2628">
              <w:rPr>
                <w:rFonts w:ascii="Times New Roman" w:hAnsi="Times New Roman"/>
                <w:bCs/>
                <w:lang w:val="ro-RO"/>
              </w:rPr>
              <w:t>Ulterior Analiza Impactului de Reglement</w:t>
            </w:r>
            <w:r w:rsidR="0063751C" w:rsidRPr="003E2628">
              <w:rPr>
                <w:rFonts w:ascii="Times New Roman" w:hAnsi="Times New Roman"/>
                <w:bCs/>
                <w:lang w:val="ro-RO"/>
              </w:rPr>
              <w:t>are</w:t>
            </w:r>
            <w:r w:rsidRPr="003E2628">
              <w:rPr>
                <w:rFonts w:ascii="Times New Roman" w:hAnsi="Times New Roman"/>
                <w:bCs/>
                <w:lang w:val="ro-RO"/>
              </w:rPr>
              <w:t xml:space="preserve"> </w:t>
            </w:r>
            <w:r w:rsidR="0063751C" w:rsidRPr="003E2628">
              <w:rPr>
                <w:rFonts w:ascii="Times New Roman" w:hAnsi="Times New Roman"/>
                <w:bCs/>
                <w:lang w:val="ro-RO"/>
              </w:rPr>
              <w:t>însoțit de proiectul de lege propriu-zis</w:t>
            </w:r>
            <w:r w:rsidRPr="003E2628">
              <w:rPr>
                <w:rFonts w:ascii="Times New Roman" w:hAnsi="Times New Roman"/>
                <w:bCs/>
                <w:lang w:val="ro-RO"/>
              </w:rPr>
              <w:t xml:space="preserve"> urmează a fi avizat </w:t>
            </w:r>
            <w:r w:rsidR="0063751C" w:rsidRPr="003E2628">
              <w:rPr>
                <w:rFonts w:ascii="Times New Roman" w:hAnsi="Times New Roman"/>
                <w:bCs/>
                <w:lang w:val="ro-RO"/>
              </w:rPr>
              <w:t xml:space="preserve">de către autoritățile și instituțiile de vigoare </w:t>
            </w:r>
            <w:r w:rsidRPr="003E2628">
              <w:rPr>
                <w:rFonts w:ascii="Times New Roman" w:hAnsi="Times New Roman"/>
                <w:bCs/>
                <w:lang w:val="ro-RO"/>
              </w:rPr>
              <w:t xml:space="preserve">conform listei stipulate în </w:t>
            </w:r>
            <w:r w:rsidR="0063751C" w:rsidRPr="003E2628">
              <w:rPr>
                <w:rFonts w:ascii="Times New Roman" w:hAnsi="Times New Roman"/>
                <w:bCs/>
                <w:lang w:val="ro-RO"/>
              </w:rPr>
              <w:t>C</w:t>
            </w:r>
            <w:r w:rsidRPr="003E2628">
              <w:rPr>
                <w:rFonts w:ascii="Times New Roman" w:hAnsi="Times New Roman"/>
                <w:bCs/>
                <w:lang w:val="ro-RO"/>
              </w:rPr>
              <w:t xml:space="preserve">ererea privind înregistrarea de către Cancelaria de Stat a proiectului </w:t>
            </w:r>
            <w:r w:rsidR="0063751C" w:rsidRPr="003E2628">
              <w:rPr>
                <w:rFonts w:ascii="Times New Roman" w:hAnsi="Times New Roman"/>
                <w:bCs/>
                <w:lang w:val="ro-RO"/>
              </w:rPr>
              <w:t>da</w:t>
            </w:r>
            <w:r w:rsidRPr="003E2628">
              <w:rPr>
                <w:rFonts w:ascii="Times New Roman" w:hAnsi="Times New Roman"/>
                <w:bCs/>
                <w:lang w:val="ro-RO"/>
              </w:rPr>
              <w:t xml:space="preserve">t care urmează a fi anunțat în cadrul ședinței </w:t>
            </w:r>
            <w:r w:rsidR="0063751C" w:rsidRPr="003E2628">
              <w:rPr>
                <w:rFonts w:ascii="Times New Roman" w:hAnsi="Times New Roman"/>
                <w:bCs/>
                <w:lang w:val="ro-RO"/>
              </w:rPr>
              <w:t>s</w:t>
            </w:r>
            <w:r w:rsidRPr="003E2628">
              <w:rPr>
                <w:rFonts w:ascii="Times New Roman" w:hAnsi="Times New Roman"/>
                <w:bCs/>
                <w:lang w:val="ro-RO"/>
              </w:rPr>
              <w:t>ecretarilor generali de stat</w:t>
            </w:r>
            <w:r w:rsidR="0014048A" w:rsidRPr="003E2628">
              <w:rPr>
                <w:rFonts w:ascii="Times New Roman" w:hAnsi="Times New Roman"/>
                <w:bCs/>
                <w:lang w:val="ro-RO"/>
              </w:rPr>
              <w:t>.</w:t>
            </w:r>
          </w:p>
        </w:tc>
      </w:tr>
    </w:tbl>
    <w:tbl>
      <w:tblPr>
        <w:tblW w:w="5253" w:type="pct"/>
        <w:tblLook w:val="04A0" w:firstRow="1" w:lastRow="0" w:firstColumn="1" w:lastColumn="0" w:noHBand="0" w:noVBand="1"/>
      </w:tblPr>
      <w:tblGrid>
        <w:gridCol w:w="4742"/>
        <w:gridCol w:w="1352"/>
        <w:gridCol w:w="1354"/>
        <w:gridCol w:w="2235"/>
      </w:tblGrid>
      <w:tr w:rsidR="00DC1912" w:rsidRPr="00B17AED" w:rsidTr="00891B25">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Tabel pentru identificarea impacturilor</w:t>
            </w:r>
          </w:p>
        </w:tc>
      </w:tr>
      <w:tr w:rsidR="00DC1912" w:rsidRPr="00B17AED" w:rsidTr="00891B25">
        <w:trPr>
          <w:trHeight w:val="263"/>
        </w:trPr>
        <w:tc>
          <w:tcPr>
            <w:tcW w:w="24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Categorii de impact</w:t>
            </w:r>
          </w:p>
        </w:tc>
        <w:tc>
          <w:tcPr>
            <w:tcW w:w="2551" w:type="pct"/>
            <w:gridSpan w:val="3"/>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jc w:val="center"/>
              <w:rPr>
                <w:rFonts w:eastAsia="Times New Roman"/>
                <w:b/>
                <w:lang w:val="ro-RO" w:eastAsia="en-US"/>
              </w:rPr>
            </w:pPr>
            <w:r w:rsidRPr="00B17AED">
              <w:rPr>
                <w:rFonts w:eastAsia="Times New Roman"/>
                <w:b/>
                <w:lang w:val="ro-RO" w:eastAsia="en-US"/>
              </w:rPr>
              <w:t>Punctaj atribuit</w:t>
            </w: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i/>
                <w:lang w:val="ro-RO" w:eastAsia="en-US"/>
              </w:rPr>
            </w:pPr>
          </w:p>
        </w:tc>
        <w:tc>
          <w:tcPr>
            <w:tcW w:w="69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 xml:space="preserve">Opțiunea </w:t>
            </w:r>
          </w:p>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propusă</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1</w:t>
            </w: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2</w:t>
            </w:r>
          </w:p>
        </w:tc>
      </w:tr>
      <w:tr w:rsidR="00DC1912" w:rsidRPr="00B17AED" w:rsidTr="00891B25">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Economic</w:t>
            </w:r>
          </w:p>
        </w:tc>
      </w:tr>
      <w:tr w:rsidR="00DC1912" w:rsidRPr="00B17AED" w:rsidTr="00891B25">
        <w:trPr>
          <w:trHeight w:val="219"/>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costurile desfășurării afacerilor</w:t>
            </w:r>
          </w:p>
        </w:tc>
        <w:tc>
          <w:tcPr>
            <w:tcW w:w="698" w:type="pct"/>
            <w:tcBorders>
              <w:top w:val="nil"/>
              <w:left w:val="single" w:sz="6" w:space="0" w:color="000000"/>
              <w:bottom w:val="single" w:sz="6" w:space="0" w:color="000000"/>
              <w:right w:val="single" w:sz="6" w:space="0" w:color="000000"/>
            </w:tcBorders>
          </w:tcPr>
          <w:p w:rsidR="00DC1912" w:rsidRPr="00B17AED" w:rsidRDefault="00725FE9" w:rsidP="00DC1912">
            <w:pPr>
              <w:widowControl/>
              <w:autoSpaceDE/>
              <w:autoSpaceDN/>
              <w:adjustRightInd/>
              <w:rPr>
                <w:rFonts w:eastAsia="Times New Roman"/>
                <w:lang w:val="ro-RO" w:eastAsia="en-US"/>
              </w:rPr>
            </w:pPr>
            <w:r w:rsidRPr="00B17AED">
              <w:rPr>
                <w:rFonts w:eastAsia="Times New Roman"/>
                <w:lang w:val="ro-RO" w:eastAsia="en-US"/>
              </w:rPr>
              <w:t>2</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28"/>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povara administrativă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4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fluxurile comerciale și investiționale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1</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37"/>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competitivitatea afacerilor</w:t>
            </w:r>
          </w:p>
        </w:tc>
        <w:tc>
          <w:tcPr>
            <w:tcW w:w="698" w:type="pct"/>
            <w:tcBorders>
              <w:top w:val="nil"/>
              <w:left w:val="single" w:sz="6" w:space="0" w:color="000000"/>
              <w:bottom w:val="single" w:sz="6" w:space="0" w:color="000000"/>
              <w:right w:val="single" w:sz="6" w:space="0" w:color="000000"/>
            </w:tcBorders>
          </w:tcPr>
          <w:p w:rsidR="00DC1912" w:rsidRPr="00B17AED" w:rsidRDefault="003E2628" w:rsidP="00DC1912">
            <w:pPr>
              <w:widowControl/>
              <w:autoSpaceDE/>
              <w:autoSpaceDN/>
              <w:adjustRightInd/>
              <w:rPr>
                <w:rFonts w:eastAsia="Times New Roman"/>
                <w:lang w:val="ro-RO" w:eastAsia="en-US"/>
              </w:rPr>
            </w:pPr>
            <w:r>
              <w:rPr>
                <w:rFonts w:eastAsia="Times New Roman"/>
                <w:lang w:val="ro-RO" w:eastAsia="en-US"/>
              </w:rPr>
              <w:t>2</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38"/>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diferitor categorii de întreprinderi mici și mijlocii</w:t>
            </w:r>
          </w:p>
        </w:tc>
        <w:tc>
          <w:tcPr>
            <w:tcW w:w="698" w:type="pct"/>
            <w:tcBorders>
              <w:top w:val="nil"/>
              <w:left w:val="single" w:sz="6" w:space="0" w:color="000000"/>
              <w:bottom w:val="single" w:sz="6" w:space="0" w:color="000000"/>
              <w:right w:val="single" w:sz="6" w:space="0" w:color="000000"/>
            </w:tcBorders>
          </w:tcPr>
          <w:p w:rsidR="00DC1912" w:rsidRPr="00B17AED" w:rsidRDefault="003E2628" w:rsidP="00DC1912">
            <w:pPr>
              <w:widowControl/>
              <w:autoSpaceDE/>
              <w:autoSpaceDN/>
              <w:adjustRightInd/>
              <w:rPr>
                <w:rFonts w:eastAsia="Times New Roman"/>
                <w:lang w:val="ro-RO" w:eastAsia="en-US"/>
              </w:rPr>
            </w:pPr>
            <w:r>
              <w:rPr>
                <w:rFonts w:eastAsia="Times New Roman"/>
                <w:lang w:val="ro-RO" w:eastAsia="en-US"/>
              </w:rPr>
              <w:t>1</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6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concurența pe piață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1</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75"/>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de inovare și cercetare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veniturile și cheltuielile publice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2</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10"/>
        </w:trPr>
        <w:tc>
          <w:tcPr>
            <w:tcW w:w="24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cadrul instituțional al autorităților publice</w:t>
            </w:r>
          </w:p>
        </w:tc>
        <w:tc>
          <w:tcPr>
            <w:tcW w:w="698" w:type="pct"/>
            <w:tcBorders>
              <w:top w:val="nil"/>
              <w:left w:val="single" w:sz="6" w:space="0" w:color="000000"/>
              <w:bottom w:val="single" w:sz="4" w:space="0" w:color="auto"/>
              <w:right w:val="single" w:sz="6" w:space="0" w:color="000000"/>
            </w:tcBorders>
          </w:tcPr>
          <w:p w:rsidR="00DC1912" w:rsidRPr="00B17AED" w:rsidRDefault="003E2628" w:rsidP="00DC1912">
            <w:pPr>
              <w:widowControl/>
              <w:autoSpaceDE/>
              <w:autoSpaceDN/>
              <w:adjustRightInd/>
              <w:rPr>
                <w:rFonts w:eastAsia="Times New Roman"/>
                <w:lang w:val="ro-RO" w:eastAsia="en-US"/>
              </w:rPr>
            </w:pPr>
            <w:r>
              <w:rPr>
                <w:rFonts w:eastAsia="Times New Roman"/>
                <w:lang w:val="ro-RO" w:eastAsia="en-US"/>
              </w:rPr>
              <w:t>0</w:t>
            </w:r>
          </w:p>
        </w:tc>
        <w:tc>
          <w:tcPr>
            <w:tcW w:w="699"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47"/>
        </w:trPr>
        <w:tc>
          <w:tcPr>
            <w:tcW w:w="244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B17AED" w:rsidRDefault="00DC1912" w:rsidP="00DC1912">
            <w:pPr>
              <w:widowControl/>
              <w:autoSpaceDE/>
              <w:autoSpaceDN/>
              <w:adjustRightInd/>
              <w:jc w:val="both"/>
              <w:rPr>
                <w:rFonts w:eastAsia="Times New Roman"/>
                <w:bCs/>
                <w:lang w:val="ro-RO" w:eastAsia="en-US"/>
              </w:rPr>
            </w:pPr>
            <w:r w:rsidRPr="00B17AED">
              <w:rPr>
                <w:rFonts w:eastAsia="Times New Roman"/>
                <w:bCs/>
                <w:lang w:val="ro-RO" w:eastAsia="en-US"/>
              </w:rPr>
              <w:t>alegerea, calitatea și prețurile pentru consumatori</w:t>
            </w:r>
          </w:p>
        </w:tc>
        <w:tc>
          <w:tcPr>
            <w:tcW w:w="698" w:type="pct"/>
            <w:tcBorders>
              <w:top w:val="single" w:sz="4" w:space="0" w:color="auto"/>
              <w:left w:val="single" w:sz="4" w:space="0" w:color="auto"/>
              <w:bottom w:val="single" w:sz="4" w:space="0" w:color="auto"/>
              <w:right w:val="single" w:sz="4" w:space="0" w:color="auto"/>
            </w:tcBorders>
          </w:tcPr>
          <w:p w:rsidR="00DC1912" w:rsidRPr="00B17AED" w:rsidRDefault="00446492" w:rsidP="00DC1912">
            <w:pPr>
              <w:widowControl/>
              <w:autoSpaceDE/>
              <w:autoSpaceDN/>
              <w:adjustRightInd/>
              <w:jc w:val="both"/>
              <w:rPr>
                <w:rFonts w:eastAsia="Times New Roman"/>
                <w:lang w:val="ro-RO" w:eastAsia="en-US"/>
              </w:rPr>
            </w:pPr>
            <w:r w:rsidRPr="00B17AED">
              <w:rPr>
                <w:rFonts w:eastAsia="Times New Roman"/>
                <w:lang w:val="ro-RO" w:eastAsia="en-US"/>
              </w:rPr>
              <w:t>3</w:t>
            </w:r>
          </w:p>
        </w:tc>
        <w:tc>
          <w:tcPr>
            <w:tcW w:w="699"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bCs/>
                <w:lang w:val="ro-RO" w:eastAsia="en-US"/>
              </w:rPr>
            </w:pPr>
          </w:p>
        </w:tc>
        <w:tc>
          <w:tcPr>
            <w:tcW w:w="1154"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lang w:val="ro-RO" w:eastAsia="en-US"/>
              </w:rPr>
            </w:pPr>
          </w:p>
        </w:tc>
      </w:tr>
      <w:tr w:rsidR="00DC1912" w:rsidRPr="00B17AED" w:rsidTr="00891B25">
        <w:trPr>
          <w:trHeight w:val="53"/>
        </w:trPr>
        <w:tc>
          <w:tcPr>
            <w:tcW w:w="24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gospodăriilor casnice și a cetățenilor</w:t>
            </w:r>
          </w:p>
        </w:tc>
        <w:tc>
          <w:tcPr>
            <w:tcW w:w="698" w:type="pct"/>
            <w:tcBorders>
              <w:top w:val="single" w:sz="4" w:space="0" w:color="auto"/>
              <w:left w:val="single" w:sz="6" w:space="0" w:color="000000"/>
              <w:bottom w:val="single" w:sz="6" w:space="0" w:color="000000"/>
              <w:right w:val="single" w:sz="6" w:space="0" w:color="000000"/>
            </w:tcBorders>
          </w:tcPr>
          <w:p w:rsidR="00DC1912" w:rsidRPr="00B17AED" w:rsidRDefault="003E2628" w:rsidP="00DC1912">
            <w:pPr>
              <w:widowControl/>
              <w:autoSpaceDE/>
              <w:autoSpaceDN/>
              <w:adjustRightInd/>
              <w:rPr>
                <w:rFonts w:eastAsia="Times New Roman"/>
                <w:lang w:val="ro-RO" w:eastAsia="en-US"/>
              </w:rPr>
            </w:pPr>
            <w:r>
              <w:rPr>
                <w:rFonts w:eastAsia="Times New Roman"/>
                <w:lang w:val="ro-RO" w:eastAsia="en-US"/>
              </w:rPr>
              <w:t>1</w:t>
            </w:r>
          </w:p>
        </w:tc>
        <w:tc>
          <w:tcPr>
            <w:tcW w:w="699"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4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social-economică în anumite regiuni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4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lastRenderedPageBreak/>
              <w:t>situația macroeconomică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37"/>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economice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Social</w:t>
            </w:r>
          </w:p>
        </w:tc>
      </w:tr>
      <w:tr w:rsidR="00DC1912" w:rsidRPr="00B17AED" w:rsidTr="00891B25">
        <w:trPr>
          <w:trHeight w:val="15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gradul de ocupare a forței de muncă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de salarizare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condițiile și organizarea muncii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și securitatea muncii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02"/>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formarea profesională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10"/>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inegalitatea și distribuția veniturilor</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10"/>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veniturilor populației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29"/>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sărăciei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la bunuri și servicii de bază, în special pentru persoanele social-vulnerabile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diversitatea culturală și lingvistică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partidele politice și organizațiile civice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20"/>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publică, inclusiv mortalitatea și morbiditatea</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modul sănătos de viață al populației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28"/>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criminalității și securității publice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7"/>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de protecție socială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65"/>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educaționale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medicale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8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publice administrative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și calitatea educației populației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11"/>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conservarea patrimoniului cultural</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populației la resurse culturale și participarea în manifestații culturale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7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participarea populației în activități sportive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7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discriminarea</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4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sociale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lang w:val="ro-RO" w:eastAsia="en-US"/>
              </w:rPr>
              <w:t>De mediu</w:t>
            </w: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clima, inclusiv emisiile gazelor cu efect de seră și celor care afectează stratul de ozon</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calitatea aerului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calitatea și cantitatea apei și resurselor acvatice, inclusiv a apei potabile și de alt gen</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29"/>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biodiversitatea</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28"/>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flora</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fauna</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6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peisajele naturale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65"/>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starea și resursele solului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producerea și reciclarea deșeurilor</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02"/>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 xml:space="preserve">utilizarea eficientă a resurselor regenerabile și </w:t>
            </w:r>
            <w:r w:rsidRPr="00B17AED">
              <w:rPr>
                <w:rFonts w:eastAsia="Times New Roman"/>
                <w:bCs/>
                <w:lang w:val="ro-RO" w:eastAsia="en-US"/>
              </w:rPr>
              <w:lastRenderedPageBreak/>
              <w:t>neregenerabile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lastRenderedPageBreak/>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lastRenderedPageBreak/>
              <w:t>consumul și producția durabilă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11"/>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intensitatea energetică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29"/>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eficiența și performanța energetică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92"/>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animalelor</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riscuri majore pentru mediu (incendii, explozii, accidente etc.)</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terenurilor</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c>
          <w:tcPr>
            <w:tcW w:w="24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de mediu</w:t>
            </w:r>
          </w:p>
        </w:tc>
        <w:tc>
          <w:tcPr>
            <w:tcW w:w="698" w:type="pct"/>
            <w:tcBorders>
              <w:top w:val="nil"/>
              <w:left w:val="single" w:sz="6" w:space="0" w:color="000000"/>
              <w:bottom w:val="single" w:sz="4" w:space="0" w:color="auto"/>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B17AED" w:rsidRDefault="00DC1912" w:rsidP="00DC1912">
            <w:pPr>
              <w:widowControl/>
              <w:autoSpaceDE/>
              <w:autoSpaceDN/>
              <w:adjustRightInd/>
              <w:jc w:val="right"/>
              <w:rPr>
                <w:rFonts w:eastAsia="Times New Roman"/>
                <w:b/>
                <w:bCs/>
                <w:lang w:val="ro-RO" w:eastAsia="en-US"/>
              </w:rPr>
            </w:pPr>
            <w:r w:rsidRPr="00B17AED">
              <w:rPr>
                <w:rFonts w:eastAsia="Times New Roman"/>
                <w:b/>
                <w:bCs/>
                <w:lang w:val="ro-RO" w:eastAsia="en-US"/>
              </w:rPr>
              <w:t>Anexe</w:t>
            </w:r>
          </w:p>
        </w:tc>
      </w:tr>
      <w:tr w:rsidR="00DC1912" w:rsidRPr="00DC1912" w:rsidTr="00891B25">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DC1912" w:rsidRDefault="00DC1912" w:rsidP="00DC1912">
            <w:pPr>
              <w:widowControl/>
              <w:autoSpaceDE/>
              <w:autoSpaceDN/>
              <w:adjustRightInd/>
              <w:rPr>
                <w:rFonts w:eastAsia="Times New Roman"/>
                <w:lang w:val="ro-RO" w:eastAsia="en-GB"/>
              </w:rPr>
            </w:pPr>
            <w:r w:rsidRPr="00B17AED">
              <w:rPr>
                <w:rFonts w:eastAsia="Times New Roman"/>
                <w:lang w:val="ro-RO" w:eastAsia="en-GB"/>
              </w:rPr>
              <w:t>Proiectul preliminar de act normativ</w:t>
            </w:r>
          </w:p>
        </w:tc>
      </w:tr>
    </w:tbl>
    <w:p w:rsidR="00D26C26" w:rsidRPr="00877670" w:rsidRDefault="00D26C26" w:rsidP="0080787E">
      <w:pPr>
        <w:pStyle w:val="Style18"/>
        <w:widowControl/>
        <w:tabs>
          <w:tab w:val="left" w:pos="142"/>
        </w:tabs>
        <w:spacing w:line="240" w:lineRule="auto"/>
        <w:ind w:firstLine="0"/>
        <w:jc w:val="both"/>
        <w:rPr>
          <w:rStyle w:val="FontStyle40"/>
          <w:b/>
          <w:lang w:val="ro-RO" w:eastAsia="ro-RO"/>
        </w:rPr>
      </w:pPr>
    </w:p>
    <w:sectPr w:rsidR="00D26C26" w:rsidRPr="00877670" w:rsidSect="00083147">
      <w:footerReference w:type="default" r:id="rId13"/>
      <w:pgSz w:w="11905" w:h="16837"/>
      <w:pgMar w:top="1418" w:right="964" w:bottom="1418"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E6" w:rsidRDefault="00452EE6">
      <w:r>
        <w:separator/>
      </w:r>
    </w:p>
  </w:endnote>
  <w:endnote w:type="continuationSeparator" w:id="0">
    <w:p w:rsidR="00452EE6" w:rsidRDefault="0045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083147" w:rsidRDefault="00083147">
        <w:pPr>
          <w:pStyle w:val="ae"/>
          <w:jc w:val="center"/>
        </w:pPr>
        <w:r>
          <w:fldChar w:fldCharType="begin"/>
        </w:r>
        <w:r>
          <w:instrText>PAGE   \* MERGEFORMAT</w:instrText>
        </w:r>
        <w:r>
          <w:fldChar w:fldCharType="separate"/>
        </w:r>
        <w:r w:rsidR="00E24F09">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E6" w:rsidRDefault="00452EE6">
      <w:r>
        <w:separator/>
      </w:r>
    </w:p>
  </w:footnote>
  <w:footnote w:type="continuationSeparator" w:id="0">
    <w:p w:rsidR="00452EE6" w:rsidRDefault="00452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4">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5">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9">
    <w:nsid w:val="7D2F3504"/>
    <w:multiLevelType w:val="singleLevel"/>
    <w:tmpl w:val="BF5EF644"/>
    <w:lvl w:ilvl="0">
      <w:start w:val="1"/>
      <w:numFmt w:val="decimal"/>
      <w:lvlText w:val="%1."/>
      <w:legacy w:legacy="1" w:legacySpace="0" w:legacyIndent="240"/>
      <w:lvlJc w:val="left"/>
      <w:rPr>
        <w:rFonts w:ascii="Times New Roman" w:hAnsi="Times New Roman" w:cs="Times New Roman" w:hint="default"/>
        <w:b/>
      </w:rPr>
    </w:lvl>
  </w:abstractNum>
  <w:num w:numId="1">
    <w:abstractNumId w:val="9"/>
  </w:num>
  <w:num w:numId="2">
    <w:abstractNumId w:val="7"/>
  </w:num>
  <w:num w:numId="3">
    <w:abstractNumId w:val="0"/>
  </w:num>
  <w:num w:numId="4">
    <w:abstractNumId w:val="5"/>
  </w:num>
  <w:num w:numId="5">
    <w:abstractNumId w:val="2"/>
  </w:num>
  <w:num w:numId="6">
    <w:abstractNumId w:val="8"/>
  </w:num>
  <w:num w:numId="7">
    <w:abstractNumId w:val="4"/>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36C2B"/>
    <w:rsid w:val="00046EB7"/>
    <w:rsid w:val="000511A1"/>
    <w:rsid w:val="00083147"/>
    <w:rsid w:val="001110B7"/>
    <w:rsid w:val="00120D4F"/>
    <w:rsid w:val="001266FD"/>
    <w:rsid w:val="0013098B"/>
    <w:rsid w:val="00136A73"/>
    <w:rsid w:val="0014048A"/>
    <w:rsid w:val="00181AEA"/>
    <w:rsid w:val="001A1807"/>
    <w:rsid w:val="001B11C9"/>
    <w:rsid w:val="001B4C83"/>
    <w:rsid w:val="00236B80"/>
    <w:rsid w:val="00237685"/>
    <w:rsid w:val="00254029"/>
    <w:rsid w:val="00263AB6"/>
    <w:rsid w:val="00273785"/>
    <w:rsid w:val="002813E4"/>
    <w:rsid w:val="00292BBA"/>
    <w:rsid w:val="002975E9"/>
    <w:rsid w:val="002E2583"/>
    <w:rsid w:val="0030006C"/>
    <w:rsid w:val="00323FBF"/>
    <w:rsid w:val="0038630D"/>
    <w:rsid w:val="003A24F4"/>
    <w:rsid w:val="003A5100"/>
    <w:rsid w:val="003B0B86"/>
    <w:rsid w:val="003B22A4"/>
    <w:rsid w:val="003D5CA5"/>
    <w:rsid w:val="003E0C02"/>
    <w:rsid w:val="003E121D"/>
    <w:rsid w:val="003E1D38"/>
    <w:rsid w:val="003E2628"/>
    <w:rsid w:val="003F51BD"/>
    <w:rsid w:val="00417B51"/>
    <w:rsid w:val="00423919"/>
    <w:rsid w:val="00446492"/>
    <w:rsid w:val="00452EE6"/>
    <w:rsid w:val="00491D14"/>
    <w:rsid w:val="004A2CE0"/>
    <w:rsid w:val="004B34B8"/>
    <w:rsid w:val="004D5890"/>
    <w:rsid w:val="004F121F"/>
    <w:rsid w:val="00505735"/>
    <w:rsid w:val="00515E89"/>
    <w:rsid w:val="00577C00"/>
    <w:rsid w:val="005930BA"/>
    <w:rsid w:val="005A3123"/>
    <w:rsid w:val="005A6DE8"/>
    <w:rsid w:val="005C68C8"/>
    <w:rsid w:val="005D25C2"/>
    <w:rsid w:val="005D2EE5"/>
    <w:rsid w:val="00615BBD"/>
    <w:rsid w:val="0063133C"/>
    <w:rsid w:val="0063751C"/>
    <w:rsid w:val="0064590B"/>
    <w:rsid w:val="00671DFB"/>
    <w:rsid w:val="00674D67"/>
    <w:rsid w:val="00677816"/>
    <w:rsid w:val="006A13B0"/>
    <w:rsid w:val="006B48D3"/>
    <w:rsid w:val="006C3FB1"/>
    <w:rsid w:val="006D1C1E"/>
    <w:rsid w:val="006E1F91"/>
    <w:rsid w:val="006E75CC"/>
    <w:rsid w:val="00725FE9"/>
    <w:rsid w:val="007374F4"/>
    <w:rsid w:val="00742674"/>
    <w:rsid w:val="00745C2C"/>
    <w:rsid w:val="007A68C6"/>
    <w:rsid w:val="007A6A27"/>
    <w:rsid w:val="007F533C"/>
    <w:rsid w:val="0080787E"/>
    <w:rsid w:val="008168F1"/>
    <w:rsid w:val="00830BC9"/>
    <w:rsid w:val="00850196"/>
    <w:rsid w:val="00891B25"/>
    <w:rsid w:val="00894930"/>
    <w:rsid w:val="008A2D74"/>
    <w:rsid w:val="008F308D"/>
    <w:rsid w:val="009166D9"/>
    <w:rsid w:val="009474E8"/>
    <w:rsid w:val="00965410"/>
    <w:rsid w:val="00984159"/>
    <w:rsid w:val="009C7399"/>
    <w:rsid w:val="009E6B82"/>
    <w:rsid w:val="00A17A13"/>
    <w:rsid w:val="00A57126"/>
    <w:rsid w:val="00A839D0"/>
    <w:rsid w:val="00A979C5"/>
    <w:rsid w:val="00AA3792"/>
    <w:rsid w:val="00AC18AA"/>
    <w:rsid w:val="00AC487E"/>
    <w:rsid w:val="00B01D14"/>
    <w:rsid w:val="00B120E8"/>
    <w:rsid w:val="00B14789"/>
    <w:rsid w:val="00B17AED"/>
    <w:rsid w:val="00B44622"/>
    <w:rsid w:val="00B46C4D"/>
    <w:rsid w:val="00B5648F"/>
    <w:rsid w:val="00B95746"/>
    <w:rsid w:val="00B96E29"/>
    <w:rsid w:val="00BA589F"/>
    <w:rsid w:val="00BB385C"/>
    <w:rsid w:val="00BC246B"/>
    <w:rsid w:val="00BC4CDA"/>
    <w:rsid w:val="00BD49F0"/>
    <w:rsid w:val="00BE6FBE"/>
    <w:rsid w:val="00C06303"/>
    <w:rsid w:val="00C11094"/>
    <w:rsid w:val="00C447FC"/>
    <w:rsid w:val="00C73680"/>
    <w:rsid w:val="00C74EA2"/>
    <w:rsid w:val="00C82845"/>
    <w:rsid w:val="00C840EB"/>
    <w:rsid w:val="00CA7577"/>
    <w:rsid w:val="00CB6AD2"/>
    <w:rsid w:val="00CD089B"/>
    <w:rsid w:val="00CE3214"/>
    <w:rsid w:val="00D17A02"/>
    <w:rsid w:val="00D26C26"/>
    <w:rsid w:val="00D43E95"/>
    <w:rsid w:val="00D72795"/>
    <w:rsid w:val="00D72937"/>
    <w:rsid w:val="00D7619A"/>
    <w:rsid w:val="00D979B4"/>
    <w:rsid w:val="00DA54E1"/>
    <w:rsid w:val="00DB0390"/>
    <w:rsid w:val="00DC1912"/>
    <w:rsid w:val="00DD4357"/>
    <w:rsid w:val="00DD4797"/>
    <w:rsid w:val="00DF514A"/>
    <w:rsid w:val="00E04039"/>
    <w:rsid w:val="00E239F8"/>
    <w:rsid w:val="00E23EAF"/>
    <w:rsid w:val="00E23EBF"/>
    <w:rsid w:val="00E24F09"/>
    <w:rsid w:val="00E5515D"/>
    <w:rsid w:val="00E60908"/>
    <w:rsid w:val="00E66D7D"/>
    <w:rsid w:val="00EE01CF"/>
    <w:rsid w:val="00EE17E7"/>
    <w:rsid w:val="00EF1CCB"/>
    <w:rsid w:val="00F01C01"/>
    <w:rsid w:val="00F5518E"/>
    <w:rsid w:val="00F551A1"/>
    <w:rsid w:val="00F6014E"/>
    <w:rsid w:val="00F627C4"/>
    <w:rsid w:val="00F66B41"/>
    <w:rsid w:val="00F82F54"/>
    <w:rsid w:val="00F908BD"/>
    <w:rsid w:val="00F97714"/>
    <w:rsid w:val="00FB1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0006C"/>
    <w:pPr>
      <w:spacing w:line="322" w:lineRule="exact"/>
      <w:jc w:val="center"/>
    </w:pPr>
  </w:style>
  <w:style w:type="paragraph" w:customStyle="1" w:styleId="Style3">
    <w:name w:val="Style3"/>
    <w:basedOn w:val="a"/>
    <w:uiPriority w:val="99"/>
    <w:rsid w:val="0030006C"/>
  </w:style>
  <w:style w:type="paragraph" w:customStyle="1" w:styleId="Style4">
    <w:name w:val="Style4"/>
    <w:basedOn w:val="a"/>
    <w:uiPriority w:val="99"/>
    <w:rsid w:val="0030006C"/>
    <w:pPr>
      <w:spacing w:line="278" w:lineRule="exact"/>
    </w:pPr>
  </w:style>
  <w:style w:type="paragraph" w:customStyle="1" w:styleId="Style5">
    <w:name w:val="Style5"/>
    <w:basedOn w:val="a"/>
    <w:uiPriority w:val="99"/>
    <w:rsid w:val="0030006C"/>
    <w:pPr>
      <w:spacing w:line="276" w:lineRule="exact"/>
      <w:ind w:firstLine="710"/>
    </w:pPr>
  </w:style>
  <w:style w:type="paragraph" w:customStyle="1" w:styleId="Style6">
    <w:name w:val="Style6"/>
    <w:basedOn w:val="a"/>
    <w:uiPriority w:val="99"/>
    <w:rsid w:val="0030006C"/>
  </w:style>
  <w:style w:type="paragraph" w:customStyle="1" w:styleId="Style7">
    <w:name w:val="Style7"/>
    <w:basedOn w:val="a"/>
    <w:uiPriority w:val="99"/>
    <w:rsid w:val="0030006C"/>
  </w:style>
  <w:style w:type="paragraph" w:customStyle="1" w:styleId="Style8">
    <w:name w:val="Style8"/>
    <w:basedOn w:val="a"/>
    <w:uiPriority w:val="99"/>
    <w:rsid w:val="0030006C"/>
    <w:pPr>
      <w:spacing w:line="278" w:lineRule="exact"/>
    </w:pPr>
  </w:style>
  <w:style w:type="paragraph" w:customStyle="1" w:styleId="Style9">
    <w:name w:val="Style9"/>
    <w:basedOn w:val="a"/>
    <w:uiPriority w:val="99"/>
    <w:rsid w:val="0030006C"/>
    <w:pPr>
      <w:spacing w:line="275" w:lineRule="exact"/>
      <w:ind w:firstLine="749"/>
      <w:jc w:val="both"/>
    </w:pPr>
  </w:style>
  <w:style w:type="paragraph" w:customStyle="1" w:styleId="Style13">
    <w:name w:val="Style13"/>
    <w:basedOn w:val="a"/>
    <w:uiPriority w:val="99"/>
    <w:rsid w:val="0030006C"/>
    <w:pPr>
      <w:spacing w:line="278" w:lineRule="exact"/>
      <w:ind w:firstLine="600"/>
    </w:pPr>
  </w:style>
  <w:style w:type="paragraph" w:customStyle="1" w:styleId="Style14">
    <w:name w:val="Style14"/>
    <w:basedOn w:val="a"/>
    <w:uiPriority w:val="99"/>
    <w:rsid w:val="0030006C"/>
    <w:pPr>
      <w:jc w:val="both"/>
    </w:pPr>
  </w:style>
  <w:style w:type="paragraph" w:customStyle="1" w:styleId="Style15">
    <w:name w:val="Style15"/>
    <w:basedOn w:val="a"/>
    <w:uiPriority w:val="99"/>
    <w:rsid w:val="0030006C"/>
    <w:pPr>
      <w:spacing w:line="276" w:lineRule="exact"/>
    </w:pPr>
  </w:style>
  <w:style w:type="paragraph" w:customStyle="1" w:styleId="Style18">
    <w:name w:val="Style18"/>
    <w:basedOn w:val="a"/>
    <w:uiPriority w:val="99"/>
    <w:rsid w:val="0030006C"/>
    <w:pPr>
      <w:spacing w:line="278" w:lineRule="exact"/>
      <w:ind w:firstLine="638"/>
    </w:pPr>
  </w:style>
  <w:style w:type="paragraph" w:customStyle="1" w:styleId="Style29">
    <w:name w:val="Style29"/>
    <w:basedOn w:val="a"/>
    <w:uiPriority w:val="99"/>
    <w:rsid w:val="0030006C"/>
    <w:pPr>
      <w:spacing w:line="278" w:lineRule="exact"/>
      <w:ind w:hanging="235"/>
    </w:pPr>
  </w:style>
  <w:style w:type="paragraph" w:customStyle="1" w:styleId="Style30">
    <w:name w:val="Style30"/>
    <w:basedOn w:val="a"/>
    <w:uiPriority w:val="99"/>
    <w:rsid w:val="0030006C"/>
    <w:pPr>
      <w:jc w:val="both"/>
    </w:pPr>
  </w:style>
  <w:style w:type="paragraph" w:customStyle="1" w:styleId="Style31">
    <w:name w:val="Style31"/>
    <w:basedOn w:val="a"/>
    <w:uiPriority w:val="99"/>
    <w:rsid w:val="0030006C"/>
    <w:pPr>
      <w:spacing w:line="278" w:lineRule="exact"/>
      <w:ind w:firstLine="720"/>
    </w:pPr>
  </w:style>
  <w:style w:type="paragraph" w:customStyle="1" w:styleId="Style33">
    <w:name w:val="Style33"/>
    <w:basedOn w:val="a"/>
    <w:uiPriority w:val="99"/>
    <w:rsid w:val="0030006C"/>
    <w:pPr>
      <w:spacing w:line="278" w:lineRule="exact"/>
      <w:ind w:firstLine="744"/>
    </w:pPr>
  </w:style>
  <w:style w:type="character" w:customStyle="1" w:styleId="FontStyle36">
    <w:name w:val="Font Style36"/>
    <w:basedOn w:val="a0"/>
    <w:uiPriority w:val="99"/>
    <w:rsid w:val="0030006C"/>
    <w:rPr>
      <w:rFonts w:ascii="Times New Roman" w:hAnsi="Times New Roman" w:cs="Times New Roman"/>
      <w:b/>
      <w:bCs/>
      <w:sz w:val="26"/>
      <w:szCs w:val="26"/>
    </w:rPr>
  </w:style>
  <w:style w:type="character" w:customStyle="1" w:styleId="FontStyle40">
    <w:name w:val="Font Style40"/>
    <w:basedOn w:val="a0"/>
    <w:uiPriority w:val="99"/>
    <w:rsid w:val="0030006C"/>
    <w:rPr>
      <w:rFonts w:ascii="Times New Roman" w:hAnsi="Times New Roman" w:cs="Times New Roman"/>
      <w:i/>
      <w:iCs/>
      <w:sz w:val="22"/>
      <w:szCs w:val="22"/>
    </w:rPr>
  </w:style>
  <w:style w:type="character" w:customStyle="1" w:styleId="FontStyle41">
    <w:name w:val="Font Style41"/>
    <w:basedOn w:val="a0"/>
    <w:uiPriority w:val="99"/>
    <w:rsid w:val="0030006C"/>
    <w:rPr>
      <w:rFonts w:ascii="Times New Roman" w:hAnsi="Times New Roman" w:cs="Times New Roman"/>
      <w:b/>
      <w:bCs/>
      <w:i/>
      <w:iCs/>
      <w:sz w:val="22"/>
      <w:szCs w:val="22"/>
    </w:rPr>
  </w:style>
  <w:style w:type="character" w:customStyle="1" w:styleId="FontStyle42">
    <w:name w:val="Font Style42"/>
    <w:basedOn w:val="a0"/>
    <w:uiPriority w:val="99"/>
    <w:rsid w:val="0030006C"/>
    <w:rPr>
      <w:rFonts w:ascii="Times New Roman" w:hAnsi="Times New Roman" w:cs="Times New Roman"/>
      <w:b/>
      <w:bCs/>
      <w:sz w:val="22"/>
      <w:szCs w:val="22"/>
    </w:rPr>
  </w:style>
  <w:style w:type="character" w:customStyle="1" w:styleId="FontStyle43">
    <w:name w:val="Font Style43"/>
    <w:basedOn w:val="a0"/>
    <w:uiPriority w:val="99"/>
    <w:rsid w:val="0030006C"/>
    <w:rPr>
      <w:rFonts w:ascii="Times New Roman" w:hAnsi="Times New Roman" w:cs="Times New Roman"/>
      <w:sz w:val="22"/>
      <w:szCs w:val="22"/>
    </w:rPr>
  </w:style>
  <w:style w:type="character" w:customStyle="1" w:styleId="FontStyle44">
    <w:name w:val="Font Style44"/>
    <w:basedOn w:val="a0"/>
    <w:uiPriority w:val="99"/>
    <w:rsid w:val="0030006C"/>
    <w:rPr>
      <w:rFonts w:ascii="Times New Roman" w:hAnsi="Times New Roman" w:cs="Times New Roman"/>
      <w:sz w:val="20"/>
      <w:szCs w:val="20"/>
    </w:rPr>
  </w:style>
  <w:style w:type="character" w:styleId="a3">
    <w:name w:val="Hyperlink"/>
    <w:basedOn w:val="a0"/>
    <w:uiPriority w:val="99"/>
    <w:unhideWhenUsed/>
    <w:rsid w:val="0030006C"/>
    <w:rPr>
      <w:color w:val="0000FF" w:themeColor="hyperlink"/>
      <w:u w:val="single"/>
    </w:rPr>
  </w:style>
  <w:style w:type="character" w:styleId="a4">
    <w:name w:val="annotation reference"/>
    <w:basedOn w:val="a0"/>
    <w:uiPriority w:val="99"/>
    <w:semiHidden/>
    <w:unhideWhenUsed/>
    <w:rsid w:val="0030006C"/>
    <w:rPr>
      <w:sz w:val="16"/>
      <w:szCs w:val="16"/>
    </w:rPr>
  </w:style>
  <w:style w:type="paragraph" w:styleId="a5">
    <w:name w:val="annotation text"/>
    <w:basedOn w:val="a"/>
    <w:link w:val="a6"/>
    <w:uiPriority w:val="99"/>
    <w:semiHidden/>
    <w:unhideWhenUsed/>
    <w:rsid w:val="0030006C"/>
    <w:rPr>
      <w:sz w:val="20"/>
      <w:szCs w:val="20"/>
    </w:rPr>
  </w:style>
  <w:style w:type="character" w:customStyle="1" w:styleId="a6">
    <w:name w:val="Текст примечания Знак"/>
    <w:basedOn w:val="a0"/>
    <w:link w:val="a5"/>
    <w:uiPriority w:val="99"/>
    <w:semiHidden/>
    <w:rsid w:val="0030006C"/>
    <w:rPr>
      <w:rFonts w:eastAsiaTheme="minorEastAsia" w:cs="Times New Roman"/>
      <w:sz w:val="20"/>
      <w:szCs w:val="20"/>
      <w:lang w:eastAsia="ru-RU"/>
    </w:rPr>
  </w:style>
  <w:style w:type="paragraph" w:styleId="a7">
    <w:name w:val="List Paragraph"/>
    <w:basedOn w:val="a"/>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a8">
    <w:name w:val="Balloon Text"/>
    <w:basedOn w:val="a"/>
    <w:link w:val="a9"/>
    <w:uiPriority w:val="99"/>
    <w:semiHidden/>
    <w:unhideWhenUsed/>
    <w:rsid w:val="0030006C"/>
    <w:rPr>
      <w:rFonts w:ascii="Tahoma" w:hAnsi="Tahoma" w:cs="Tahoma"/>
      <w:sz w:val="16"/>
      <w:szCs w:val="16"/>
    </w:rPr>
  </w:style>
  <w:style w:type="character" w:customStyle="1" w:styleId="a9">
    <w:name w:val="Текст выноски Знак"/>
    <w:basedOn w:val="a0"/>
    <w:link w:val="a8"/>
    <w:uiPriority w:val="99"/>
    <w:semiHidden/>
    <w:rsid w:val="0030006C"/>
    <w:rPr>
      <w:rFonts w:ascii="Tahoma" w:eastAsiaTheme="minorEastAsia" w:hAnsi="Tahoma" w:cs="Tahoma"/>
      <w:sz w:val="16"/>
      <w:szCs w:val="16"/>
      <w:lang w:eastAsia="ru-RU"/>
    </w:rPr>
  </w:style>
  <w:style w:type="paragraph" w:styleId="aa">
    <w:name w:val="annotation subject"/>
    <w:basedOn w:val="a5"/>
    <w:next w:val="a5"/>
    <w:link w:val="ab"/>
    <w:uiPriority w:val="99"/>
    <w:semiHidden/>
    <w:unhideWhenUsed/>
    <w:rsid w:val="0030006C"/>
    <w:rPr>
      <w:b/>
      <w:bCs/>
    </w:rPr>
  </w:style>
  <w:style w:type="character" w:customStyle="1" w:styleId="ab">
    <w:name w:val="Тема примечания Знак"/>
    <w:basedOn w:val="a6"/>
    <w:link w:val="aa"/>
    <w:uiPriority w:val="99"/>
    <w:semiHidden/>
    <w:rsid w:val="0030006C"/>
    <w:rPr>
      <w:rFonts w:eastAsiaTheme="minorEastAsia" w:cs="Times New Roman"/>
      <w:b/>
      <w:bCs/>
      <w:sz w:val="20"/>
      <w:szCs w:val="20"/>
      <w:lang w:eastAsia="ru-RU"/>
    </w:rPr>
  </w:style>
  <w:style w:type="paragraph" w:styleId="ac">
    <w:name w:val="header"/>
    <w:basedOn w:val="a"/>
    <w:link w:val="ad"/>
    <w:uiPriority w:val="99"/>
    <w:unhideWhenUsed/>
    <w:rsid w:val="00263AB6"/>
    <w:pPr>
      <w:tabs>
        <w:tab w:val="center" w:pos="4677"/>
        <w:tab w:val="right" w:pos="9355"/>
      </w:tabs>
    </w:pPr>
  </w:style>
  <w:style w:type="character" w:customStyle="1" w:styleId="ad">
    <w:name w:val="Верхний колонтитул Знак"/>
    <w:basedOn w:val="a0"/>
    <w:link w:val="ac"/>
    <w:uiPriority w:val="99"/>
    <w:rsid w:val="00263AB6"/>
    <w:rPr>
      <w:rFonts w:eastAsiaTheme="minorEastAsia" w:cs="Times New Roman"/>
      <w:sz w:val="24"/>
      <w:szCs w:val="24"/>
      <w:lang w:eastAsia="ru-RU"/>
    </w:rPr>
  </w:style>
  <w:style w:type="paragraph" w:styleId="ae">
    <w:name w:val="footer"/>
    <w:basedOn w:val="a"/>
    <w:link w:val="af"/>
    <w:uiPriority w:val="99"/>
    <w:unhideWhenUsed/>
    <w:rsid w:val="00263AB6"/>
    <w:pPr>
      <w:tabs>
        <w:tab w:val="center" w:pos="4677"/>
        <w:tab w:val="right" w:pos="9355"/>
      </w:tabs>
    </w:pPr>
  </w:style>
  <w:style w:type="character" w:customStyle="1" w:styleId="af">
    <w:name w:val="Нижний колонтитул Знак"/>
    <w:basedOn w:val="a0"/>
    <w:link w:val="ae"/>
    <w:uiPriority w:val="99"/>
    <w:rsid w:val="00263AB6"/>
    <w:rPr>
      <w:rFonts w:eastAsiaTheme="minorEastAsia" w:cs="Times New Roman"/>
      <w:sz w:val="24"/>
      <w:szCs w:val="24"/>
      <w:lang w:eastAsia="ru-RU"/>
    </w:rPr>
  </w:style>
  <w:style w:type="table" w:styleId="af0">
    <w:name w:val="Table Grid"/>
    <w:basedOn w:val="a1"/>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0006C"/>
    <w:pPr>
      <w:spacing w:line="322" w:lineRule="exact"/>
      <w:jc w:val="center"/>
    </w:pPr>
  </w:style>
  <w:style w:type="paragraph" w:customStyle="1" w:styleId="Style3">
    <w:name w:val="Style3"/>
    <w:basedOn w:val="a"/>
    <w:uiPriority w:val="99"/>
    <w:rsid w:val="0030006C"/>
  </w:style>
  <w:style w:type="paragraph" w:customStyle="1" w:styleId="Style4">
    <w:name w:val="Style4"/>
    <w:basedOn w:val="a"/>
    <w:uiPriority w:val="99"/>
    <w:rsid w:val="0030006C"/>
    <w:pPr>
      <w:spacing w:line="278" w:lineRule="exact"/>
    </w:pPr>
  </w:style>
  <w:style w:type="paragraph" w:customStyle="1" w:styleId="Style5">
    <w:name w:val="Style5"/>
    <w:basedOn w:val="a"/>
    <w:uiPriority w:val="99"/>
    <w:rsid w:val="0030006C"/>
    <w:pPr>
      <w:spacing w:line="276" w:lineRule="exact"/>
      <w:ind w:firstLine="710"/>
    </w:pPr>
  </w:style>
  <w:style w:type="paragraph" w:customStyle="1" w:styleId="Style6">
    <w:name w:val="Style6"/>
    <w:basedOn w:val="a"/>
    <w:uiPriority w:val="99"/>
    <w:rsid w:val="0030006C"/>
  </w:style>
  <w:style w:type="paragraph" w:customStyle="1" w:styleId="Style7">
    <w:name w:val="Style7"/>
    <w:basedOn w:val="a"/>
    <w:uiPriority w:val="99"/>
    <w:rsid w:val="0030006C"/>
  </w:style>
  <w:style w:type="paragraph" w:customStyle="1" w:styleId="Style8">
    <w:name w:val="Style8"/>
    <w:basedOn w:val="a"/>
    <w:uiPriority w:val="99"/>
    <w:rsid w:val="0030006C"/>
    <w:pPr>
      <w:spacing w:line="278" w:lineRule="exact"/>
    </w:pPr>
  </w:style>
  <w:style w:type="paragraph" w:customStyle="1" w:styleId="Style9">
    <w:name w:val="Style9"/>
    <w:basedOn w:val="a"/>
    <w:uiPriority w:val="99"/>
    <w:rsid w:val="0030006C"/>
    <w:pPr>
      <w:spacing w:line="275" w:lineRule="exact"/>
      <w:ind w:firstLine="749"/>
      <w:jc w:val="both"/>
    </w:pPr>
  </w:style>
  <w:style w:type="paragraph" w:customStyle="1" w:styleId="Style13">
    <w:name w:val="Style13"/>
    <w:basedOn w:val="a"/>
    <w:uiPriority w:val="99"/>
    <w:rsid w:val="0030006C"/>
    <w:pPr>
      <w:spacing w:line="278" w:lineRule="exact"/>
      <w:ind w:firstLine="600"/>
    </w:pPr>
  </w:style>
  <w:style w:type="paragraph" w:customStyle="1" w:styleId="Style14">
    <w:name w:val="Style14"/>
    <w:basedOn w:val="a"/>
    <w:uiPriority w:val="99"/>
    <w:rsid w:val="0030006C"/>
    <w:pPr>
      <w:jc w:val="both"/>
    </w:pPr>
  </w:style>
  <w:style w:type="paragraph" w:customStyle="1" w:styleId="Style15">
    <w:name w:val="Style15"/>
    <w:basedOn w:val="a"/>
    <w:uiPriority w:val="99"/>
    <w:rsid w:val="0030006C"/>
    <w:pPr>
      <w:spacing w:line="276" w:lineRule="exact"/>
    </w:pPr>
  </w:style>
  <w:style w:type="paragraph" w:customStyle="1" w:styleId="Style18">
    <w:name w:val="Style18"/>
    <w:basedOn w:val="a"/>
    <w:uiPriority w:val="99"/>
    <w:rsid w:val="0030006C"/>
    <w:pPr>
      <w:spacing w:line="278" w:lineRule="exact"/>
      <w:ind w:firstLine="638"/>
    </w:pPr>
  </w:style>
  <w:style w:type="paragraph" w:customStyle="1" w:styleId="Style29">
    <w:name w:val="Style29"/>
    <w:basedOn w:val="a"/>
    <w:uiPriority w:val="99"/>
    <w:rsid w:val="0030006C"/>
    <w:pPr>
      <w:spacing w:line="278" w:lineRule="exact"/>
      <w:ind w:hanging="235"/>
    </w:pPr>
  </w:style>
  <w:style w:type="paragraph" w:customStyle="1" w:styleId="Style30">
    <w:name w:val="Style30"/>
    <w:basedOn w:val="a"/>
    <w:uiPriority w:val="99"/>
    <w:rsid w:val="0030006C"/>
    <w:pPr>
      <w:jc w:val="both"/>
    </w:pPr>
  </w:style>
  <w:style w:type="paragraph" w:customStyle="1" w:styleId="Style31">
    <w:name w:val="Style31"/>
    <w:basedOn w:val="a"/>
    <w:uiPriority w:val="99"/>
    <w:rsid w:val="0030006C"/>
    <w:pPr>
      <w:spacing w:line="278" w:lineRule="exact"/>
      <w:ind w:firstLine="720"/>
    </w:pPr>
  </w:style>
  <w:style w:type="paragraph" w:customStyle="1" w:styleId="Style33">
    <w:name w:val="Style33"/>
    <w:basedOn w:val="a"/>
    <w:uiPriority w:val="99"/>
    <w:rsid w:val="0030006C"/>
    <w:pPr>
      <w:spacing w:line="278" w:lineRule="exact"/>
      <w:ind w:firstLine="744"/>
    </w:pPr>
  </w:style>
  <w:style w:type="character" w:customStyle="1" w:styleId="FontStyle36">
    <w:name w:val="Font Style36"/>
    <w:basedOn w:val="a0"/>
    <w:uiPriority w:val="99"/>
    <w:rsid w:val="0030006C"/>
    <w:rPr>
      <w:rFonts w:ascii="Times New Roman" w:hAnsi="Times New Roman" w:cs="Times New Roman"/>
      <w:b/>
      <w:bCs/>
      <w:sz w:val="26"/>
      <w:szCs w:val="26"/>
    </w:rPr>
  </w:style>
  <w:style w:type="character" w:customStyle="1" w:styleId="FontStyle40">
    <w:name w:val="Font Style40"/>
    <w:basedOn w:val="a0"/>
    <w:uiPriority w:val="99"/>
    <w:rsid w:val="0030006C"/>
    <w:rPr>
      <w:rFonts w:ascii="Times New Roman" w:hAnsi="Times New Roman" w:cs="Times New Roman"/>
      <w:i/>
      <w:iCs/>
      <w:sz w:val="22"/>
      <w:szCs w:val="22"/>
    </w:rPr>
  </w:style>
  <w:style w:type="character" w:customStyle="1" w:styleId="FontStyle41">
    <w:name w:val="Font Style41"/>
    <w:basedOn w:val="a0"/>
    <w:uiPriority w:val="99"/>
    <w:rsid w:val="0030006C"/>
    <w:rPr>
      <w:rFonts w:ascii="Times New Roman" w:hAnsi="Times New Roman" w:cs="Times New Roman"/>
      <w:b/>
      <w:bCs/>
      <w:i/>
      <w:iCs/>
      <w:sz w:val="22"/>
      <w:szCs w:val="22"/>
    </w:rPr>
  </w:style>
  <w:style w:type="character" w:customStyle="1" w:styleId="FontStyle42">
    <w:name w:val="Font Style42"/>
    <w:basedOn w:val="a0"/>
    <w:uiPriority w:val="99"/>
    <w:rsid w:val="0030006C"/>
    <w:rPr>
      <w:rFonts w:ascii="Times New Roman" w:hAnsi="Times New Roman" w:cs="Times New Roman"/>
      <w:b/>
      <w:bCs/>
      <w:sz w:val="22"/>
      <w:szCs w:val="22"/>
    </w:rPr>
  </w:style>
  <w:style w:type="character" w:customStyle="1" w:styleId="FontStyle43">
    <w:name w:val="Font Style43"/>
    <w:basedOn w:val="a0"/>
    <w:uiPriority w:val="99"/>
    <w:rsid w:val="0030006C"/>
    <w:rPr>
      <w:rFonts w:ascii="Times New Roman" w:hAnsi="Times New Roman" w:cs="Times New Roman"/>
      <w:sz w:val="22"/>
      <w:szCs w:val="22"/>
    </w:rPr>
  </w:style>
  <w:style w:type="character" w:customStyle="1" w:styleId="FontStyle44">
    <w:name w:val="Font Style44"/>
    <w:basedOn w:val="a0"/>
    <w:uiPriority w:val="99"/>
    <w:rsid w:val="0030006C"/>
    <w:rPr>
      <w:rFonts w:ascii="Times New Roman" w:hAnsi="Times New Roman" w:cs="Times New Roman"/>
      <w:sz w:val="20"/>
      <w:szCs w:val="20"/>
    </w:rPr>
  </w:style>
  <w:style w:type="character" w:styleId="a3">
    <w:name w:val="Hyperlink"/>
    <w:basedOn w:val="a0"/>
    <w:uiPriority w:val="99"/>
    <w:unhideWhenUsed/>
    <w:rsid w:val="0030006C"/>
    <w:rPr>
      <w:color w:val="0000FF" w:themeColor="hyperlink"/>
      <w:u w:val="single"/>
    </w:rPr>
  </w:style>
  <w:style w:type="character" w:styleId="a4">
    <w:name w:val="annotation reference"/>
    <w:basedOn w:val="a0"/>
    <w:uiPriority w:val="99"/>
    <w:semiHidden/>
    <w:unhideWhenUsed/>
    <w:rsid w:val="0030006C"/>
    <w:rPr>
      <w:sz w:val="16"/>
      <w:szCs w:val="16"/>
    </w:rPr>
  </w:style>
  <w:style w:type="paragraph" w:styleId="a5">
    <w:name w:val="annotation text"/>
    <w:basedOn w:val="a"/>
    <w:link w:val="a6"/>
    <w:uiPriority w:val="99"/>
    <w:semiHidden/>
    <w:unhideWhenUsed/>
    <w:rsid w:val="0030006C"/>
    <w:rPr>
      <w:sz w:val="20"/>
      <w:szCs w:val="20"/>
    </w:rPr>
  </w:style>
  <w:style w:type="character" w:customStyle="1" w:styleId="a6">
    <w:name w:val="Текст примечания Знак"/>
    <w:basedOn w:val="a0"/>
    <w:link w:val="a5"/>
    <w:uiPriority w:val="99"/>
    <w:semiHidden/>
    <w:rsid w:val="0030006C"/>
    <w:rPr>
      <w:rFonts w:eastAsiaTheme="minorEastAsia" w:cs="Times New Roman"/>
      <w:sz w:val="20"/>
      <w:szCs w:val="20"/>
      <w:lang w:eastAsia="ru-RU"/>
    </w:rPr>
  </w:style>
  <w:style w:type="paragraph" w:styleId="a7">
    <w:name w:val="List Paragraph"/>
    <w:basedOn w:val="a"/>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a8">
    <w:name w:val="Balloon Text"/>
    <w:basedOn w:val="a"/>
    <w:link w:val="a9"/>
    <w:uiPriority w:val="99"/>
    <w:semiHidden/>
    <w:unhideWhenUsed/>
    <w:rsid w:val="0030006C"/>
    <w:rPr>
      <w:rFonts w:ascii="Tahoma" w:hAnsi="Tahoma" w:cs="Tahoma"/>
      <w:sz w:val="16"/>
      <w:szCs w:val="16"/>
    </w:rPr>
  </w:style>
  <w:style w:type="character" w:customStyle="1" w:styleId="a9">
    <w:name w:val="Текст выноски Знак"/>
    <w:basedOn w:val="a0"/>
    <w:link w:val="a8"/>
    <w:uiPriority w:val="99"/>
    <w:semiHidden/>
    <w:rsid w:val="0030006C"/>
    <w:rPr>
      <w:rFonts w:ascii="Tahoma" w:eastAsiaTheme="minorEastAsia" w:hAnsi="Tahoma" w:cs="Tahoma"/>
      <w:sz w:val="16"/>
      <w:szCs w:val="16"/>
      <w:lang w:eastAsia="ru-RU"/>
    </w:rPr>
  </w:style>
  <w:style w:type="paragraph" w:styleId="aa">
    <w:name w:val="annotation subject"/>
    <w:basedOn w:val="a5"/>
    <w:next w:val="a5"/>
    <w:link w:val="ab"/>
    <w:uiPriority w:val="99"/>
    <w:semiHidden/>
    <w:unhideWhenUsed/>
    <w:rsid w:val="0030006C"/>
    <w:rPr>
      <w:b/>
      <w:bCs/>
    </w:rPr>
  </w:style>
  <w:style w:type="character" w:customStyle="1" w:styleId="ab">
    <w:name w:val="Тема примечания Знак"/>
    <w:basedOn w:val="a6"/>
    <w:link w:val="aa"/>
    <w:uiPriority w:val="99"/>
    <w:semiHidden/>
    <w:rsid w:val="0030006C"/>
    <w:rPr>
      <w:rFonts w:eastAsiaTheme="minorEastAsia" w:cs="Times New Roman"/>
      <w:b/>
      <w:bCs/>
      <w:sz w:val="20"/>
      <w:szCs w:val="20"/>
      <w:lang w:eastAsia="ru-RU"/>
    </w:rPr>
  </w:style>
  <w:style w:type="paragraph" w:styleId="ac">
    <w:name w:val="header"/>
    <w:basedOn w:val="a"/>
    <w:link w:val="ad"/>
    <w:uiPriority w:val="99"/>
    <w:unhideWhenUsed/>
    <w:rsid w:val="00263AB6"/>
    <w:pPr>
      <w:tabs>
        <w:tab w:val="center" w:pos="4677"/>
        <w:tab w:val="right" w:pos="9355"/>
      </w:tabs>
    </w:pPr>
  </w:style>
  <w:style w:type="character" w:customStyle="1" w:styleId="ad">
    <w:name w:val="Верхний колонтитул Знак"/>
    <w:basedOn w:val="a0"/>
    <w:link w:val="ac"/>
    <w:uiPriority w:val="99"/>
    <w:rsid w:val="00263AB6"/>
    <w:rPr>
      <w:rFonts w:eastAsiaTheme="minorEastAsia" w:cs="Times New Roman"/>
      <w:sz w:val="24"/>
      <w:szCs w:val="24"/>
      <w:lang w:eastAsia="ru-RU"/>
    </w:rPr>
  </w:style>
  <w:style w:type="paragraph" w:styleId="ae">
    <w:name w:val="footer"/>
    <w:basedOn w:val="a"/>
    <w:link w:val="af"/>
    <w:uiPriority w:val="99"/>
    <w:unhideWhenUsed/>
    <w:rsid w:val="00263AB6"/>
    <w:pPr>
      <w:tabs>
        <w:tab w:val="center" w:pos="4677"/>
        <w:tab w:val="right" w:pos="9355"/>
      </w:tabs>
    </w:pPr>
  </w:style>
  <w:style w:type="character" w:customStyle="1" w:styleId="af">
    <w:name w:val="Нижний колонтитул Знак"/>
    <w:basedOn w:val="a0"/>
    <w:link w:val="ae"/>
    <w:uiPriority w:val="99"/>
    <w:rsid w:val="00263AB6"/>
    <w:rPr>
      <w:rFonts w:eastAsiaTheme="minorEastAsia" w:cs="Times New Roman"/>
      <w:sz w:val="24"/>
      <w:szCs w:val="24"/>
      <w:lang w:eastAsia="ru-RU"/>
    </w:rPr>
  </w:style>
  <w:style w:type="table" w:styleId="af0">
    <w:name w:val="Table Grid"/>
    <w:basedOn w:val="a1"/>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drm.gov.md/ro/content/anun%C8%9B-privind-ini%C8%9Bierea-consult%C4%83rilor-publice-asupra-analiza-impactului-de-reglement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ticip.gov.md/proiectview.php?l=ro&amp;idd=68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vi-VN" sz="1400">
                <a:latin typeface="Times New Roman" panose="02020603050405020304" pitchFamily="18" charset="0"/>
                <a:cs typeface="Times New Roman" panose="02020603050405020304" pitchFamily="18" charset="0"/>
              </a:rPr>
              <a:t>Importul grăsimilor vegetale </a:t>
            </a:r>
            <a:endParaRPr lang="ro-RO" sz="1400">
              <a:latin typeface="Times New Roman" panose="02020603050405020304" pitchFamily="18" charset="0"/>
              <a:cs typeface="Times New Roman" panose="02020603050405020304" pitchFamily="18" charset="0"/>
            </a:endParaRPr>
          </a:p>
          <a:p>
            <a:pPr>
              <a:defRPr sz="1400"/>
            </a:pPr>
            <a:r>
              <a:rPr lang="vi-VN" sz="1400">
                <a:latin typeface="Times New Roman" panose="02020603050405020304" pitchFamily="18" charset="0"/>
                <a:cs typeface="Times New Roman" panose="02020603050405020304" pitchFamily="18" charset="0"/>
              </a:rPr>
              <a:t>prin PIF Giurgiulești, </a:t>
            </a:r>
            <a:endParaRPr lang="ro-RO" sz="1400">
              <a:latin typeface="Times New Roman" panose="02020603050405020304" pitchFamily="18" charset="0"/>
              <a:cs typeface="Times New Roman" panose="02020603050405020304" pitchFamily="18" charset="0"/>
            </a:endParaRPr>
          </a:p>
          <a:p>
            <a:pPr>
              <a:defRPr sz="1400"/>
            </a:pPr>
            <a:r>
              <a:rPr lang="vi-VN" sz="1400">
                <a:latin typeface="Times New Roman" panose="02020603050405020304" pitchFamily="18" charset="0"/>
                <a:cs typeface="Times New Roman" panose="02020603050405020304" pitchFamily="18" charset="0"/>
              </a:rPr>
              <a:t>pentru anul 2019</a:t>
            </a:r>
            <a:endParaRPr lang="en-US" sz="1400">
              <a:latin typeface="Times New Roman" panose="02020603050405020304" pitchFamily="18" charset="0"/>
              <a:cs typeface="Times New Roman" panose="02020603050405020304" pitchFamily="18" charset="0"/>
            </a:endParaRPr>
          </a:p>
        </c:rich>
      </c:tx>
      <c:layout>
        <c:manualLayout>
          <c:xMode val="edge"/>
          <c:yMode val="edge"/>
          <c:x val="0.21548600174978128"/>
          <c:y val="3.8647342995169081E-3"/>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Лист1!$C$3</c:f>
              <c:strCache>
                <c:ptCount val="1"/>
                <c:pt idx="0">
                  <c:v>tone</c:v>
                </c:pt>
              </c:strCache>
            </c:strRef>
          </c:tx>
          <c:invertIfNegative val="0"/>
          <c:dPt>
            <c:idx val="0"/>
            <c:invertIfNegative val="0"/>
            <c:bubble3D val="0"/>
            <c:spPr>
              <a:solidFill>
                <a:schemeClr val="tx2">
                  <a:lumMod val="60000"/>
                  <a:lumOff val="40000"/>
                </a:schemeClr>
              </a:solidFill>
            </c:spPr>
          </c:dPt>
          <c:dPt>
            <c:idx val="1"/>
            <c:invertIfNegative val="0"/>
            <c:bubble3D val="0"/>
            <c:spPr>
              <a:solidFill>
                <a:srgbClr val="FFC000"/>
              </a:solidFill>
            </c:spPr>
          </c:dPt>
          <c:dLbls>
            <c:dLbl>
              <c:idx val="0"/>
              <c:tx>
                <c:rich>
                  <a:bodyPr/>
                  <a:lstStyle/>
                  <a:p>
                    <a:r>
                      <a:rPr lang="en-US"/>
                      <a:t>110</a:t>
                    </a:r>
                    <a:r>
                      <a:rPr lang="ro-RO"/>
                      <a:t> tone</a:t>
                    </a:r>
                    <a:endParaRPr lang="en-US"/>
                  </a:p>
                </c:rich>
              </c:tx>
              <c:showLegendKey val="0"/>
              <c:showVal val="1"/>
              <c:showCatName val="0"/>
              <c:showSerName val="0"/>
              <c:showPercent val="0"/>
              <c:showBubbleSize val="0"/>
            </c:dLbl>
            <c:dLbl>
              <c:idx val="1"/>
              <c:tx>
                <c:rich>
                  <a:bodyPr/>
                  <a:lstStyle/>
                  <a:p>
                    <a:r>
                      <a:rPr lang="en-US"/>
                      <a:t>65,86</a:t>
                    </a:r>
                    <a:r>
                      <a:rPr lang="ro-RO"/>
                      <a:t> tone</a:t>
                    </a:r>
                    <a:endParaRPr lang="en-US"/>
                  </a:p>
                </c:rich>
              </c:tx>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Лист1!$B$4:$B$5</c:f>
              <c:strCache>
                <c:ptCount val="2"/>
                <c:pt idx="0">
                  <c:v>Singapore</c:v>
                </c:pt>
                <c:pt idx="1">
                  <c:v>Indonezia</c:v>
                </c:pt>
              </c:strCache>
            </c:strRef>
          </c:cat>
          <c:val>
            <c:numRef>
              <c:f>Лист1!$C$4:$C$5</c:f>
              <c:numCache>
                <c:formatCode>General</c:formatCode>
                <c:ptCount val="2"/>
                <c:pt idx="0">
                  <c:v>110</c:v>
                </c:pt>
                <c:pt idx="1">
                  <c:v>65.86</c:v>
                </c:pt>
              </c:numCache>
            </c:numRef>
          </c:val>
        </c:ser>
        <c:dLbls>
          <c:showLegendKey val="0"/>
          <c:showVal val="0"/>
          <c:showCatName val="0"/>
          <c:showSerName val="0"/>
          <c:showPercent val="0"/>
          <c:showBubbleSize val="0"/>
        </c:dLbls>
        <c:gapWidth val="150"/>
        <c:shape val="box"/>
        <c:axId val="58189696"/>
        <c:axId val="75811456"/>
        <c:axId val="0"/>
      </c:bar3DChart>
      <c:catAx>
        <c:axId val="58189696"/>
        <c:scaling>
          <c:orientation val="minMax"/>
        </c:scaling>
        <c:delete val="0"/>
        <c:axPos val="b"/>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75811456"/>
        <c:crosses val="autoZero"/>
        <c:auto val="1"/>
        <c:lblAlgn val="ctr"/>
        <c:lblOffset val="100"/>
        <c:noMultiLvlLbl val="0"/>
      </c:catAx>
      <c:valAx>
        <c:axId val="75811456"/>
        <c:scaling>
          <c:orientation val="minMax"/>
        </c:scaling>
        <c:delete val="1"/>
        <c:axPos val="l"/>
        <c:majorGridlines/>
        <c:numFmt formatCode="General" sourceLinked="1"/>
        <c:majorTickMark val="out"/>
        <c:minorTickMark val="none"/>
        <c:tickLblPos val="nextTo"/>
        <c:crossAx val="58189696"/>
        <c:crosses val="autoZero"/>
        <c:crossBetween val="between"/>
      </c:valAx>
    </c:plotArea>
    <c:plotVisOnly val="1"/>
    <c:dispBlanksAs val="gap"/>
    <c:showDLblsOverMax val="0"/>
  </c:chart>
  <c:spPr>
    <a:solidFill>
      <a:schemeClr val="accent3">
        <a:lumMod val="20000"/>
        <a:lumOff val="80000"/>
      </a:scheme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600"/>
            </a:pPr>
            <a:r>
              <a:rPr lang="en-US" sz="1600" b="1" i="0" baseline="0">
                <a:effectLst/>
                <a:latin typeface="Times New Roman" panose="02020603050405020304" pitchFamily="18" charset="0"/>
                <a:cs typeface="Times New Roman" panose="02020603050405020304" pitchFamily="18" charset="0"/>
              </a:rPr>
              <a:t>Exportul </a:t>
            </a:r>
            <a:endParaRPr lang="ro-RO" sz="1600" b="1" i="0" baseline="0">
              <a:effectLst/>
              <a:latin typeface="Times New Roman" panose="02020603050405020304" pitchFamily="18" charset="0"/>
              <a:cs typeface="Times New Roman" panose="02020603050405020304" pitchFamily="18" charset="0"/>
            </a:endParaRPr>
          </a:p>
          <a:p>
            <a:pPr algn="ctr">
              <a:defRPr sz="1600"/>
            </a:pPr>
            <a:r>
              <a:rPr lang="en-US" sz="1600" b="1" i="0" baseline="0">
                <a:effectLst/>
                <a:latin typeface="Times New Roman" panose="02020603050405020304" pitchFamily="18" charset="0"/>
                <a:cs typeface="Times New Roman" panose="02020603050405020304" pitchFamily="18" charset="0"/>
              </a:rPr>
              <a:t>uleiului din semin</a:t>
            </a:r>
            <a:r>
              <a:rPr lang="ro-RO" sz="1600" b="1" i="0" baseline="0">
                <a:effectLst/>
                <a:latin typeface="Times New Roman" panose="02020603050405020304" pitchFamily="18" charset="0"/>
                <a:cs typeface="Times New Roman" panose="02020603050405020304" pitchFamily="18" charset="0"/>
              </a:rPr>
              <a:t>țe </a:t>
            </a:r>
          </a:p>
          <a:p>
            <a:pPr algn="ctr">
              <a:defRPr sz="1600"/>
            </a:pPr>
            <a:r>
              <a:rPr lang="ro-RO" sz="1600" b="1" i="0" baseline="0">
                <a:effectLst/>
                <a:latin typeface="Times New Roman" panose="02020603050405020304" pitchFamily="18" charset="0"/>
                <a:cs typeface="Times New Roman" panose="02020603050405020304" pitchFamily="18" charset="0"/>
              </a:rPr>
              <a:t>de floarea soarelui,</a:t>
            </a:r>
            <a:r>
              <a:rPr lang="ro-RO" sz="1600" b="1" i="1" baseline="0">
                <a:effectLst/>
                <a:latin typeface="Times New Roman" panose="02020603050405020304" pitchFamily="18" charset="0"/>
                <a:cs typeface="Times New Roman" panose="02020603050405020304" pitchFamily="18" charset="0"/>
              </a:rPr>
              <a:t> (tone)</a:t>
            </a:r>
            <a:endParaRPr lang="ru-RU" sz="1600" b="1" i="1">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Лист1!$C$11</c:f>
              <c:strCache>
                <c:ptCount val="1"/>
              </c:strCache>
            </c:strRef>
          </c:tx>
          <c:invertIfNegative val="0"/>
          <c:dPt>
            <c:idx val="0"/>
            <c:invertIfNegative val="0"/>
            <c:bubble3D val="0"/>
            <c:spPr>
              <a:solidFill>
                <a:srgbClr val="FFC000"/>
              </a:solidFill>
            </c:spPr>
          </c:dPt>
          <c:dPt>
            <c:idx val="1"/>
            <c:invertIfNegative val="0"/>
            <c:bubble3D val="0"/>
            <c:spPr>
              <a:solidFill>
                <a:schemeClr val="tx2">
                  <a:lumMod val="60000"/>
                  <a:lumOff val="40000"/>
                </a:schemeClr>
              </a:solidFill>
            </c:spPr>
          </c:dPt>
          <c:dPt>
            <c:idx val="2"/>
            <c:invertIfNegative val="0"/>
            <c:bubble3D val="0"/>
            <c:spPr>
              <a:solidFill>
                <a:srgbClr val="CC0000"/>
              </a:solidFill>
            </c:spPr>
          </c:dPt>
          <c:cat>
            <c:strRef>
              <c:f>Лист1!$B$12:$B$14</c:f>
              <c:strCache>
                <c:ptCount val="3"/>
                <c:pt idx="0">
                  <c:v>2017</c:v>
                </c:pt>
                <c:pt idx="1">
                  <c:v>2018</c:v>
                </c:pt>
                <c:pt idx="2">
                  <c:v>2019 pînă în prezent </c:v>
                </c:pt>
              </c:strCache>
            </c:strRef>
          </c:cat>
          <c:val>
            <c:numRef>
              <c:f>Лист1!$C$12:$C$14</c:f>
              <c:numCache>
                <c:formatCode>General</c:formatCode>
                <c:ptCount val="3"/>
                <c:pt idx="0">
                  <c:v>64225.8</c:v>
                </c:pt>
                <c:pt idx="1">
                  <c:v>85847.9</c:v>
                </c:pt>
                <c:pt idx="2">
                  <c:v>42448.2</c:v>
                </c:pt>
              </c:numCache>
            </c:numRef>
          </c:val>
        </c:ser>
        <c:dLbls>
          <c:showLegendKey val="0"/>
          <c:showVal val="0"/>
          <c:showCatName val="0"/>
          <c:showSerName val="0"/>
          <c:showPercent val="0"/>
          <c:showBubbleSize val="0"/>
        </c:dLbls>
        <c:gapWidth val="55"/>
        <c:gapDepth val="55"/>
        <c:shape val="box"/>
        <c:axId val="135735552"/>
        <c:axId val="135992448"/>
        <c:axId val="0"/>
      </c:bar3DChart>
      <c:catAx>
        <c:axId val="135735552"/>
        <c:scaling>
          <c:orientation val="minMax"/>
        </c:scaling>
        <c:delete val="0"/>
        <c:axPos val="b"/>
        <c:numFmt formatCode="General" sourceLinked="1"/>
        <c:majorTickMark val="none"/>
        <c:minorTickMark val="none"/>
        <c:tickLblPos val="nextTo"/>
        <c:txPr>
          <a:bodyPr/>
          <a:lstStyle/>
          <a:p>
            <a:pPr>
              <a:defRPr sz="1400" b="1">
                <a:latin typeface="Times New Roman" panose="02020603050405020304" pitchFamily="18" charset="0"/>
                <a:cs typeface="Times New Roman" panose="02020603050405020304" pitchFamily="18" charset="0"/>
              </a:defRPr>
            </a:pPr>
            <a:endParaRPr lang="ru-RU"/>
          </a:p>
        </c:txPr>
        <c:crossAx val="135992448"/>
        <c:crosses val="autoZero"/>
        <c:auto val="1"/>
        <c:lblAlgn val="ctr"/>
        <c:lblOffset val="100"/>
        <c:noMultiLvlLbl val="0"/>
      </c:catAx>
      <c:valAx>
        <c:axId val="135992448"/>
        <c:scaling>
          <c:orientation val="minMax"/>
        </c:scaling>
        <c:delete val="1"/>
        <c:axPos val="l"/>
        <c:majorGridlines/>
        <c:numFmt formatCode="General" sourceLinked="1"/>
        <c:majorTickMark val="none"/>
        <c:minorTickMark val="none"/>
        <c:tickLblPos val="nextTo"/>
        <c:crossAx val="135735552"/>
        <c:crosses val="autoZero"/>
        <c:crossBetween val="between"/>
      </c:valAx>
    </c:plotArea>
    <c:plotVisOnly val="1"/>
    <c:dispBlanksAs val="gap"/>
    <c:showDLblsOverMax val="0"/>
  </c:chart>
  <c:spPr>
    <a:solidFill>
      <a:schemeClr val="accent5">
        <a:lumMod val="20000"/>
        <a:lumOff val="80000"/>
      </a:schemeClr>
    </a:solidFill>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0.11458</cdr:x>
      <cdr:y>0.5799</cdr:y>
    </cdr:from>
    <cdr:to>
      <cdr:x>0.31458</cdr:x>
      <cdr:y>0.70619</cdr:y>
    </cdr:to>
    <cdr:sp macro="" textlink="">
      <cdr:nvSpPr>
        <cdr:cNvPr id="2" name="TextBox 1"/>
        <cdr:cNvSpPr txBox="1"/>
      </cdr:nvSpPr>
      <cdr:spPr>
        <a:xfrm xmlns:a="http://schemas.openxmlformats.org/drawingml/2006/main">
          <a:off x="523875" y="2143125"/>
          <a:ext cx="914400" cy="4667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0.19375</cdr:x>
      <cdr:y>0.70361</cdr:y>
    </cdr:from>
    <cdr:to>
      <cdr:x>0.4</cdr:x>
      <cdr:y>0.80155</cdr:y>
    </cdr:to>
    <cdr:sp macro="" textlink="">
      <cdr:nvSpPr>
        <cdr:cNvPr id="3" name="TextBox 2"/>
        <cdr:cNvSpPr txBox="1"/>
      </cdr:nvSpPr>
      <cdr:spPr>
        <a:xfrm xmlns:a="http://schemas.openxmlformats.org/drawingml/2006/main">
          <a:off x="885824" y="2600325"/>
          <a:ext cx="942975" cy="361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0.10417</cdr:x>
      <cdr:y>0.53866</cdr:y>
    </cdr:from>
    <cdr:to>
      <cdr:x>0.30417</cdr:x>
      <cdr:y>0.78608</cdr:y>
    </cdr:to>
    <cdr:sp macro="" textlink="">
      <cdr:nvSpPr>
        <cdr:cNvPr id="5" name="TextBox 4"/>
        <cdr:cNvSpPr txBox="1"/>
      </cdr:nvSpPr>
      <cdr:spPr>
        <a:xfrm xmlns:a="http://schemas.openxmlformats.org/drawingml/2006/main">
          <a:off x="476250" y="1990725"/>
          <a:ext cx="914400" cy="914400"/>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ro-RO" sz="1100" b="1">
              <a:latin typeface="Times New Roman" panose="02020603050405020304" pitchFamily="18" charset="0"/>
              <a:cs typeface="Times New Roman" panose="02020603050405020304" pitchFamily="18" charset="0"/>
            </a:rPr>
            <a:t>în sumă de</a:t>
          </a:r>
        </a:p>
        <a:p xmlns:a="http://schemas.openxmlformats.org/drawingml/2006/main">
          <a:pPr algn="ctr"/>
          <a:r>
            <a:rPr lang="ro-RO" sz="1100" b="1">
              <a:latin typeface="Times New Roman" panose="02020603050405020304" pitchFamily="18" charset="0"/>
              <a:cs typeface="Times New Roman" panose="02020603050405020304" pitchFamily="18" charset="0"/>
            </a:rPr>
            <a:t>869486,1 </a:t>
          </a:r>
        </a:p>
        <a:p xmlns:a="http://schemas.openxmlformats.org/drawingml/2006/main">
          <a:pPr algn="ctr"/>
          <a:r>
            <a:rPr lang="ro-RO" sz="1100" b="1">
              <a:latin typeface="Times New Roman" panose="02020603050405020304" pitchFamily="18" charset="0"/>
              <a:cs typeface="Times New Roman" panose="02020603050405020304" pitchFamily="18" charset="0"/>
            </a:rPr>
            <a:t>mii lei</a:t>
          </a:r>
          <a:endParaRPr lang="ru-RU"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0.37083</cdr:x>
      <cdr:y>0.51804</cdr:y>
    </cdr:from>
    <cdr:to>
      <cdr:x>0.57083</cdr:x>
      <cdr:y>0.76546</cdr:y>
    </cdr:to>
    <cdr:sp macro="" textlink="">
      <cdr:nvSpPr>
        <cdr:cNvPr id="6" name="TextBox 5"/>
        <cdr:cNvSpPr txBox="1"/>
      </cdr:nvSpPr>
      <cdr:spPr>
        <a:xfrm xmlns:a="http://schemas.openxmlformats.org/drawingml/2006/main">
          <a:off x="1695450" y="1914525"/>
          <a:ext cx="914400" cy="914400"/>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ro-RO" sz="1100" b="1">
              <a:effectLst/>
              <a:latin typeface="Times New Roman" panose="02020603050405020304" pitchFamily="18" charset="0"/>
              <a:ea typeface="+mn-ea"/>
              <a:cs typeface="Times New Roman" panose="02020603050405020304" pitchFamily="18" charset="0"/>
            </a:rPr>
            <a:t>în sumă de</a:t>
          </a:r>
          <a:endParaRPr lang="ru-RU" b="1">
            <a:effectLst/>
            <a:latin typeface="Times New Roman" panose="02020603050405020304" pitchFamily="18" charset="0"/>
            <a:cs typeface="Times New Roman" panose="02020603050405020304" pitchFamily="18" charset="0"/>
          </a:endParaRPr>
        </a:p>
        <a:p xmlns:a="http://schemas.openxmlformats.org/drawingml/2006/main">
          <a:pPr algn="ctr"/>
          <a:r>
            <a:rPr lang="ro-RO" sz="1100" b="1">
              <a:effectLst/>
              <a:latin typeface="Times New Roman" panose="02020603050405020304" pitchFamily="18" charset="0"/>
              <a:ea typeface="+mn-ea"/>
              <a:cs typeface="Times New Roman" panose="02020603050405020304" pitchFamily="18" charset="0"/>
            </a:rPr>
            <a:t>988652,1 </a:t>
          </a:r>
          <a:endParaRPr lang="ru-RU" b="1">
            <a:effectLst/>
            <a:latin typeface="Times New Roman" panose="02020603050405020304" pitchFamily="18" charset="0"/>
            <a:cs typeface="Times New Roman" panose="02020603050405020304" pitchFamily="18" charset="0"/>
          </a:endParaRPr>
        </a:p>
        <a:p xmlns:a="http://schemas.openxmlformats.org/drawingml/2006/main">
          <a:pPr algn="ctr"/>
          <a:r>
            <a:rPr lang="ro-RO" sz="1100" b="1">
              <a:effectLst/>
              <a:latin typeface="Times New Roman" panose="02020603050405020304" pitchFamily="18" charset="0"/>
              <a:ea typeface="+mn-ea"/>
              <a:cs typeface="Times New Roman" panose="02020603050405020304" pitchFamily="18" charset="0"/>
            </a:rPr>
            <a:t>mii lei</a:t>
          </a:r>
          <a:endParaRPr lang="ru-RU" b="1">
            <a:effectLst/>
            <a:latin typeface="Times New Roman" panose="02020603050405020304" pitchFamily="18" charset="0"/>
            <a:cs typeface="Times New Roman" panose="02020603050405020304" pitchFamily="18" charset="0"/>
          </a:endParaRPr>
        </a:p>
        <a:p xmlns:a="http://schemas.openxmlformats.org/drawingml/2006/main">
          <a:endParaRPr lang="ru-RU" sz="1100"/>
        </a:p>
      </cdr:txBody>
    </cdr:sp>
  </cdr:relSizeAnchor>
  <cdr:relSizeAnchor xmlns:cdr="http://schemas.openxmlformats.org/drawingml/2006/chartDrawing">
    <cdr:from>
      <cdr:x>0.62917</cdr:x>
      <cdr:y>0.63144</cdr:y>
    </cdr:from>
    <cdr:to>
      <cdr:x>0.82917</cdr:x>
      <cdr:y>0.87887</cdr:y>
    </cdr:to>
    <cdr:sp macro="" textlink="">
      <cdr:nvSpPr>
        <cdr:cNvPr id="7" name="TextBox 6"/>
        <cdr:cNvSpPr txBox="1"/>
      </cdr:nvSpPr>
      <cdr:spPr>
        <a:xfrm xmlns:a="http://schemas.openxmlformats.org/drawingml/2006/main">
          <a:off x="2876550" y="2333625"/>
          <a:ext cx="914400" cy="914400"/>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ro-RO" sz="1200" b="1">
              <a:effectLst/>
              <a:latin typeface="Times New Roman" panose="02020603050405020304" pitchFamily="18" charset="0"/>
              <a:ea typeface="+mn-ea"/>
              <a:cs typeface="Times New Roman" panose="02020603050405020304" pitchFamily="18" charset="0"/>
            </a:rPr>
            <a:t>în sumă de</a:t>
          </a:r>
          <a:endParaRPr lang="ru-RU" sz="1200" b="1">
            <a:effectLst/>
            <a:latin typeface="Times New Roman" panose="02020603050405020304" pitchFamily="18" charset="0"/>
            <a:cs typeface="Times New Roman" panose="02020603050405020304" pitchFamily="18" charset="0"/>
          </a:endParaRPr>
        </a:p>
        <a:p xmlns:a="http://schemas.openxmlformats.org/drawingml/2006/main">
          <a:pPr algn="ctr"/>
          <a:r>
            <a:rPr lang="ro-RO" sz="1200" b="1">
              <a:effectLst/>
              <a:latin typeface="Times New Roman" panose="02020603050405020304" pitchFamily="18" charset="0"/>
              <a:ea typeface="+mn-ea"/>
              <a:cs typeface="Times New Roman" panose="02020603050405020304" pitchFamily="18" charset="0"/>
            </a:rPr>
            <a:t>474201,6</a:t>
          </a:r>
          <a:endParaRPr lang="ru-RU" sz="1200" b="1">
            <a:effectLst/>
            <a:latin typeface="Times New Roman" panose="02020603050405020304" pitchFamily="18" charset="0"/>
            <a:cs typeface="Times New Roman" panose="02020603050405020304" pitchFamily="18" charset="0"/>
          </a:endParaRPr>
        </a:p>
        <a:p xmlns:a="http://schemas.openxmlformats.org/drawingml/2006/main">
          <a:pPr algn="ctr"/>
          <a:r>
            <a:rPr lang="ro-RO" sz="1200" b="1">
              <a:effectLst/>
              <a:latin typeface="Times New Roman" panose="02020603050405020304" pitchFamily="18" charset="0"/>
              <a:ea typeface="+mn-ea"/>
              <a:cs typeface="Times New Roman" panose="02020603050405020304" pitchFamily="18" charset="0"/>
            </a:rPr>
            <a:t>mii lei</a:t>
          </a:r>
          <a:endParaRPr lang="ru-RU" sz="1200" b="1">
            <a:effectLst/>
            <a:latin typeface="Times New Roman" panose="02020603050405020304" pitchFamily="18" charset="0"/>
            <a:cs typeface="Times New Roman" panose="02020603050405020304" pitchFamily="18" charset="0"/>
          </a:endParaRPr>
        </a:p>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4ACB0-780C-4F23-A99A-450C70AC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9</Pages>
  <Words>3610</Words>
  <Characters>20581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26</cp:revision>
  <cp:lastPrinted>2019-11-27T14:40:00Z</cp:lastPrinted>
  <dcterms:created xsi:type="dcterms:W3CDTF">2019-06-18T15:40:00Z</dcterms:created>
  <dcterms:modified xsi:type="dcterms:W3CDTF">2019-11-27T16:55:00Z</dcterms:modified>
</cp:coreProperties>
</file>