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6D" w:rsidRPr="00BA044A" w:rsidRDefault="00384A6D" w:rsidP="00BA044A">
      <w:pPr>
        <w:pStyle w:val="Style3"/>
        <w:widowControl/>
        <w:ind w:left="19"/>
        <w:jc w:val="center"/>
        <w:rPr>
          <w:rStyle w:val="FontStyle11"/>
          <w:spacing w:val="0"/>
          <w:sz w:val="28"/>
          <w:szCs w:val="28"/>
          <w:lang w:val="ro-RO" w:eastAsia="ro-RO"/>
        </w:rPr>
      </w:pPr>
      <w:r w:rsidRPr="00BA044A">
        <w:rPr>
          <w:rStyle w:val="FontStyle11"/>
          <w:spacing w:val="0"/>
          <w:sz w:val="28"/>
          <w:szCs w:val="28"/>
          <w:lang w:val="ro-RO" w:eastAsia="ro-RO"/>
        </w:rPr>
        <w:t>Notă informativă</w:t>
      </w:r>
    </w:p>
    <w:p w:rsidR="00CF1187" w:rsidRDefault="00384A6D" w:rsidP="0002790E">
      <w:pPr>
        <w:pStyle w:val="Style3"/>
        <w:widowControl/>
        <w:ind w:left="10"/>
        <w:jc w:val="center"/>
        <w:rPr>
          <w:rStyle w:val="FontStyle11"/>
          <w:spacing w:val="0"/>
          <w:sz w:val="28"/>
          <w:szCs w:val="28"/>
          <w:lang w:val="ro-RO" w:eastAsia="ro-RO"/>
        </w:rPr>
      </w:pPr>
      <w:r w:rsidRPr="00BA044A">
        <w:rPr>
          <w:rStyle w:val="FontStyle11"/>
          <w:spacing w:val="0"/>
          <w:sz w:val="28"/>
          <w:szCs w:val="28"/>
          <w:lang w:val="ro-RO" w:eastAsia="ro-RO"/>
        </w:rPr>
        <w:t xml:space="preserve">la proiectul </w:t>
      </w:r>
      <w:proofErr w:type="spellStart"/>
      <w:r w:rsidR="0002790E">
        <w:rPr>
          <w:rStyle w:val="FontStyle11"/>
          <w:spacing w:val="0"/>
          <w:sz w:val="28"/>
          <w:szCs w:val="28"/>
          <w:lang w:val="ro-RO" w:eastAsia="ro-RO"/>
        </w:rPr>
        <w:t>Hotărîrii</w:t>
      </w:r>
      <w:proofErr w:type="spellEnd"/>
      <w:r w:rsidR="0002790E">
        <w:rPr>
          <w:rStyle w:val="FontStyle11"/>
          <w:spacing w:val="0"/>
          <w:sz w:val="28"/>
          <w:szCs w:val="28"/>
          <w:lang w:val="ro-RO" w:eastAsia="ro-RO"/>
        </w:rPr>
        <w:t xml:space="preserve"> de Guvern </w:t>
      </w:r>
      <w:r w:rsidR="003F13AF" w:rsidRPr="003F13AF">
        <w:rPr>
          <w:rStyle w:val="FontStyle11"/>
          <w:spacing w:val="0"/>
          <w:sz w:val="28"/>
          <w:szCs w:val="28"/>
          <w:lang w:val="ro-RO" w:eastAsia="ro-RO"/>
        </w:rPr>
        <w:t>cu privire la aprobarea proiectului de Lege pentru modificarea unor acte legislative</w:t>
      </w:r>
    </w:p>
    <w:p w:rsidR="008241A7" w:rsidRDefault="008241A7" w:rsidP="0002790E">
      <w:pPr>
        <w:pStyle w:val="Style3"/>
        <w:widowControl/>
        <w:ind w:left="10"/>
        <w:jc w:val="center"/>
        <w:rPr>
          <w:rStyle w:val="FontStyle11"/>
          <w:spacing w:val="0"/>
          <w:sz w:val="28"/>
          <w:szCs w:val="28"/>
          <w:lang w:val="ro-RO" w:eastAsia="ro-RO"/>
        </w:rPr>
      </w:pPr>
    </w:p>
    <w:tbl>
      <w:tblPr>
        <w:tblStyle w:val="aa"/>
        <w:tblW w:w="0" w:type="auto"/>
        <w:tblInd w:w="10" w:type="dxa"/>
        <w:tblLook w:val="04A0" w:firstRow="1" w:lastRow="0" w:firstColumn="1" w:lastColumn="0" w:noHBand="0" w:noVBand="1"/>
      </w:tblPr>
      <w:tblGrid>
        <w:gridCol w:w="9334"/>
      </w:tblGrid>
      <w:tr w:rsidR="008241A7" w:rsidTr="008241A7">
        <w:tc>
          <w:tcPr>
            <w:tcW w:w="9344" w:type="dxa"/>
          </w:tcPr>
          <w:p w:rsidR="008241A7" w:rsidRDefault="008241A7" w:rsidP="008241A7">
            <w:pPr>
              <w:pStyle w:val="a3"/>
              <w:numPr>
                <w:ilvl w:val="0"/>
                <w:numId w:val="1"/>
              </w:numPr>
              <w:tabs>
                <w:tab w:val="left" w:pos="709"/>
              </w:tabs>
              <w:ind w:left="993" w:hanging="284"/>
              <w:rPr>
                <w:szCs w:val="28"/>
                <w:lang w:val="ro-RO"/>
              </w:rPr>
            </w:pPr>
            <w:r w:rsidRPr="00BA044A">
              <w:rPr>
                <w:b/>
                <w:i/>
                <w:szCs w:val="28"/>
                <w:lang w:val="ro-RO"/>
              </w:rPr>
              <w:t>Denumirea autorului</w:t>
            </w:r>
          </w:p>
        </w:tc>
      </w:tr>
      <w:tr w:rsidR="008241A7" w:rsidTr="008241A7">
        <w:tc>
          <w:tcPr>
            <w:tcW w:w="9344" w:type="dxa"/>
          </w:tcPr>
          <w:p w:rsidR="008241A7" w:rsidRDefault="008241A7" w:rsidP="008241A7">
            <w:pPr>
              <w:tabs>
                <w:tab w:val="left" w:pos="709"/>
              </w:tabs>
              <w:ind w:firstLine="709"/>
              <w:jc w:val="both"/>
              <w:rPr>
                <w:szCs w:val="28"/>
                <w:lang w:val="ro-RO"/>
              </w:rPr>
            </w:pPr>
            <w:r>
              <w:rPr>
                <w:szCs w:val="28"/>
                <w:lang w:val="ro-RO"/>
              </w:rPr>
              <w:t>P</w:t>
            </w:r>
            <w:r w:rsidRPr="0002790E">
              <w:rPr>
                <w:szCs w:val="28"/>
                <w:lang w:val="ro-RO"/>
              </w:rPr>
              <w:t xml:space="preserve">roiectul </w:t>
            </w:r>
            <w:proofErr w:type="spellStart"/>
            <w:r w:rsidRPr="0002790E">
              <w:rPr>
                <w:szCs w:val="28"/>
                <w:lang w:val="ro-RO"/>
              </w:rPr>
              <w:t>Hotărîrii</w:t>
            </w:r>
            <w:proofErr w:type="spellEnd"/>
            <w:r w:rsidRPr="0002790E">
              <w:rPr>
                <w:szCs w:val="28"/>
                <w:lang w:val="ro-RO"/>
              </w:rPr>
              <w:t xml:space="preserve"> de Guvern </w:t>
            </w:r>
            <w:r w:rsidR="003F13AF" w:rsidRPr="003F13AF">
              <w:rPr>
                <w:szCs w:val="28"/>
                <w:lang w:val="ro-RO"/>
              </w:rPr>
              <w:t>cu privire la aprobarea proiectului de Lege pentru modificarea unor acte legislative</w:t>
            </w:r>
            <w:r w:rsidRPr="0002790E">
              <w:rPr>
                <w:szCs w:val="28"/>
                <w:lang w:val="ro-RO"/>
              </w:rPr>
              <w:t xml:space="preserve"> </w:t>
            </w:r>
            <w:r w:rsidRPr="00BA044A">
              <w:rPr>
                <w:szCs w:val="28"/>
                <w:lang w:val="ro-RO"/>
              </w:rPr>
              <w:t>a fost elaborat de către Ministerul Agriculturii, Dezvoltării Regionale şi Mediului.</w:t>
            </w:r>
          </w:p>
        </w:tc>
      </w:tr>
      <w:tr w:rsidR="008241A7" w:rsidTr="008241A7">
        <w:tc>
          <w:tcPr>
            <w:tcW w:w="9344" w:type="dxa"/>
          </w:tcPr>
          <w:p w:rsidR="008241A7" w:rsidRPr="008241A7" w:rsidRDefault="008241A7" w:rsidP="008241A7">
            <w:pPr>
              <w:pStyle w:val="a3"/>
              <w:numPr>
                <w:ilvl w:val="0"/>
                <w:numId w:val="1"/>
              </w:numPr>
              <w:tabs>
                <w:tab w:val="left" w:pos="709"/>
              </w:tabs>
              <w:ind w:left="993" w:hanging="284"/>
              <w:jc w:val="both"/>
              <w:rPr>
                <w:b/>
                <w:i/>
                <w:szCs w:val="28"/>
                <w:lang w:val="ro-RO"/>
              </w:rPr>
            </w:pPr>
            <w:r w:rsidRPr="00BA044A">
              <w:rPr>
                <w:b/>
                <w:i/>
                <w:szCs w:val="28"/>
                <w:lang w:val="ro-RO"/>
              </w:rPr>
              <w:t>Condiţiile ce au impus elaborarea proiectului</w:t>
            </w:r>
            <w:r w:rsidRPr="00BA044A">
              <w:rPr>
                <w:b/>
                <w:i/>
                <w:szCs w:val="28"/>
              </w:rPr>
              <w:t xml:space="preserve"> </w:t>
            </w:r>
            <w:r w:rsidRPr="00BA044A">
              <w:rPr>
                <w:b/>
                <w:i/>
                <w:szCs w:val="28"/>
                <w:lang w:val="ro-RO"/>
              </w:rPr>
              <w:t>şi finalităţile urmărite</w:t>
            </w:r>
          </w:p>
        </w:tc>
      </w:tr>
      <w:tr w:rsidR="008241A7" w:rsidTr="008241A7">
        <w:tc>
          <w:tcPr>
            <w:tcW w:w="9344" w:type="dxa"/>
          </w:tcPr>
          <w:p w:rsidR="008241A7" w:rsidRDefault="008241A7" w:rsidP="008241A7">
            <w:pPr>
              <w:ind w:firstLine="709"/>
              <w:jc w:val="both"/>
              <w:rPr>
                <w:szCs w:val="28"/>
                <w:lang w:val="ro-RO"/>
              </w:rPr>
            </w:pPr>
            <w:r w:rsidRPr="00BA044A">
              <w:rPr>
                <w:szCs w:val="28"/>
                <w:lang w:val="ro-RO"/>
              </w:rPr>
              <w:t xml:space="preserve">Prezentul proiect de lege este elaborat în </w:t>
            </w:r>
            <w:r w:rsidRPr="0002790E">
              <w:rPr>
                <w:szCs w:val="28"/>
                <w:lang w:val="ro-RO"/>
              </w:rPr>
              <w:t>temeiul art.34, alin.(2) din Legea nr.306/2018 privind siguranța alimentelor</w:t>
            </w:r>
            <w:r>
              <w:rPr>
                <w:szCs w:val="28"/>
                <w:lang w:val="ro-RO"/>
              </w:rPr>
              <w:t>.</w:t>
            </w:r>
          </w:p>
          <w:p w:rsidR="008241A7" w:rsidRDefault="008241A7" w:rsidP="008241A7">
            <w:pPr>
              <w:ind w:firstLine="709"/>
              <w:jc w:val="both"/>
              <w:rPr>
                <w:szCs w:val="28"/>
                <w:lang w:val="ro-RO"/>
              </w:rPr>
            </w:pPr>
            <w:r w:rsidRPr="006A4E4E">
              <w:rPr>
                <w:szCs w:val="28"/>
                <w:lang w:val="ro-RO"/>
              </w:rPr>
              <w:t>De asemenea, prezentul proiect vine în executarea poziţiei 181 din Planul naţional de acţiuni pentru implementarea Acordului de Asociere Republica Moldova–Uniunea Europeană în perioada 2017–2019, aprobat p</w:t>
            </w:r>
            <w:r w:rsidR="0006299E">
              <w:rPr>
                <w:szCs w:val="28"/>
                <w:lang w:val="ro-RO"/>
              </w:rPr>
              <w:t>rin Hotărârea de Guvern nr.1472/</w:t>
            </w:r>
            <w:r w:rsidRPr="006A4E4E">
              <w:rPr>
                <w:szCs w:val="28"/>
                <w:lang w:val="ro-RO"/>
              </w:rPr>
              <w:t>2016.</w:t>
            </w:r>
          </w:p>
          <w:p w:rsidR="008241A7" w:rsidRDefault="008241A7" w:rsidP="008241A7">
            <w:pPr>
              <w:ind w:firstLine="709"/>
              <w:jc w:val="both"/>
              <w:rPr>
                <w:szCs w:val="28"/>
                <w:lang w:val="ro-RO"/>
              </w:rPr>
            </w:pPr>
            <w:r w:rsidRPr="00BA044A">
              <w:rPr>
                <w:szCs w:val="28"/>
                <w:lang w:val="ro-RO"/>
              </w:rPr>
              <w:t xml:space="preserve">Totodată, menționăm că proiectul ajustează </w:t>
            </w:r>
            <w:r>
              <w:rPr>
                <w:szCs w:val="28"/>
                <w:lang w:val="ro-RO"/>
              </w:rPr>
              <w:t>referințele la</w:t>
            </w:r>
            <w:r w:rsidRPr="00BA044A">
              <w:rPr>
                <w:szCs w:val="28"/>
                <w:lang w:val="ro-RO"/>
              </w:rPr>
              <w:t xml:space="preserve"> </w:t>
            </w:r>
            <w:r>
              <w:rPr>
                <w:szCs w:val="28"/>
                <w:lang w:val="ro-RO"/>
              </w:rPr>
              <w:t>Legea</w:t>
            </w:r>
            <w:r w:rsidRPr="00BA044A">
              <w:rPr>
                <w:szCs w:val="28"/>
                <w:lang w:val="ro-RO"/>
              </w:rPr>
              <w:t xml:space="preserve"> nr.</w:t>
            </w:r>
            <w:r>
              <w:rPr>
                <w:szCs w:val="28"/>
                <w:lang w:val="ro-RO"/>
              </w:rPr>
              <w:t>113/</w:t>
            </w:r>
            <w:r w:rsidRPr="00BA044A">
              <w:rPr>
                <w:szCs w:val="28"/>
                <w:lang w:val="ro-RO"/>
              </w:rPr>
              <w:t xml:space="preserve">2012 cu privire la stabilirea principiilor şi a cerinţelor generale ale legislaţiei privind siguranţa alimentelor și </w:t>
            </w:r>
            <w:r>
              <w:rPr>
                <w:szCs w:val="28"/>
                <w:lang w:val="ro-RO"/>
              </w:rPr>
              <w:t>l</w:t>
            </w:r>
            <w:r w:rsidRPr="00BA044A">
              <w:rPr>
                <w:szCs w:val="28"/>
                <w:lang w:val="ro-RO"/>
              </w:rPr>
              <w:t>a Leg</w:t>
            </w:r>
            <w:r>
              <w:rPr>
                <w:szCs w:val="28"/>
                <w:lang w:val="ro-RO"/>
              </w:rPr>
              <w:t>ea nr.78/</w:t>
            </w:r>
            <w:r w:rsidRPr="00BA044A">
              <w:rPr>
                <w:szCs w:val="28"/>
                <w:lang w:val="ro-RO"/>
              </w:rPr>
              <w:t>2004 privind produsele alimentare.</w:t>
            </w:r>
          </w:p>
          <w:p w:rsidR="008241A7" w:rsidRPr="006A4E4E" w:rsidRDefault="008241A7" w:rsidP="008241A7">
            <w:pPr>
              <w:ind w:firstLine="709"/>
              <w:jc w:val="both"/>
              <w:rPr>
                <w:szCs w:val="28"/>
                <w:lang w:val="ro-RO"/>
              </w:rPr>
            </w:pPr>
            <w:r w:rsidRPr="006A4E4E">
              <w:rPr>
                <w:szCs w:val="28"/>
                <w:lang w:val="ro-RO"/>
              </w:rPr>
              <w:t>În prezent s-au depistat mai multe impedimente și în implementarea Legii nr.279/2017 privind informarea consumatorului cu privire la produsele alimentare în special în ceea ce privește marcarea datei de fabricare și a datei durabilității minimale, etc.</w:t>
            </w:r>
          </w:p>
          <w:p w:rsidR="008241A7" w:rsidRDefault="008241A7" w:rsidP="008241A7">
            <w:pPr>
              <w:ind w:firstLine="709"/>
              <w:jc w:val="both"/>
              <w:rPr>
                <w:szCs w:val="28"/>
                <w:lang w:val="ro-RO"/>
              </w:rPr>
            </w:pPr>
            <w:r w:rsidRPr="006A4E4E">
              <w:rPr>
                <w:szCs w:val="28"/>
                <w:lang w:val="ro-RO"/>
              </w:rPr>
              <w:t>Astfel, în vederea excluderii tuturor dificultăților în etichetarea produselor alimentare prezentul proiect vine cu noi completări și detalii la modul de etichetare a alimentelor, pentru aplicarea justă de către operatorii din domeniul alimentar a prevederilor Legii nr.279/2017.</w:t>
            </w:r>
          </w:p>
          <w:p w:rsidR="00DE5FBA" w:rsidRPr="00DE5FBA" w:rsidRDefault="00DE5FBA" w:rsidP="00DE5FBA">
            <w:pPr>
              <w:ind w:firstLine="709"/>
              <w:jc w:val="both"/>
              <w:rPr>
                <w:szCs w:val="28"/>
                <w:lang w:val="ro-RO"/>
              </w:rPr>
            </w:pPr>
            <w:r w:rsidRPr="00DE5FBA">
              <w:rPr>
                <w:szCs w:val="28"/>
                <w:lang w:val="ro-RO"/>
              </w:rPr>
              <w:t>O altă dimensiune abordată de acest proiect sunt unele cerințe de transportare pe cale maritimă a uleiurilor și grăsimilor lichide destinate consumului uman.</w:t>
            </w:r>
          </w:p>
          <w:p w:rsidR="00DE5FBA" w:rsidRPr="00BA044A" w:rsidRDefault="00DE5FBA" w:rsidP="00DE5FBA">
            <w:pPr>
              <w:ind w:firstLine="709"/>
              <w:jc w:val="both"/>
              <w:rPr>
                <w:szCs w:val="28"/>
                <w:lang w:val="ro-RO"/>
              </w:rPr>
            </w:pPr>
            <w:r w:rsidRPr="00DE5FBA">
              <w:rPr>
                <w:szCs w:val="28"/>
                <w:lang w:val="ro-RO"/>
              </w:rPr>
              <w:t xml:space="preserve">Mai exact aceasta presupune armonizarea Legii nr.296/2017 cu privire la Cerințele generale de igienă a produselor alimentare cu prevederile Regulamentului UE nr.579/2014 de acordare a unei derogări în ceea ce privește transportul maritim al uleiurilor și al grăsimilor lichide. În special aceste reglementări se referă la transportarea (în vrac) în rezervoare sau containerele care sunt încărcate pe navele maritime. </w:t>
            </w:r>
          </w:p>
          <w:p w:rsidR="008241A7" w:rsidRPr="00BA044A" w:rsidRDefault="008241A7" w:rsidP="008241A7">
            <w:pPr>
              <w:ind w:firstLine="709"/>
              <w:jc w:val="both"/>
              <w:rPr>
                <w:szCs w:val="28"/>
                <w:lang w:val="ro-RO"/>
              </w:rPr>
            </w:pPr>
            <w:r w:rsidRPr="00BA044A">
              <w:rPr>
                <w:szCs w:val="28"/>
                <w:lang w:val="ro-RO"/>
              </w:rPr>
              <w:t xml:space="preserve">Astfel, ca urmare a aprobării proiectului </w:t>
            </w:r>
            <w:r>
              <w:rPr>
                <w:szCs w:val="28"/>
                <w:lang w:val="ro-RO"/>
              </w:rPr>
              <w:t>în cauză</w:t>
            </w:r>
            <w:r w:rsidRPr="00BA044A">
              <w:rPr>
                <w:szCs w:val="28"/>
                <w:lang w:val="ro-RO"/>
              </w:rPr>
              <w:t xml:space="preserve"> s</w:t>
            </w:r>
            <w:r w:rsidR="0048158F">
              <w:rPr>
                <w:szCs w:val="28"/>
                <w:lang w:val="ro-RO"/>
              </w:rPr>
              <w:t xml:space="preserve">e identifică </w:t>
            </w:r>
            <w:r w:rsidRPr="00BA044A">
              <w:rPr>
                <w:szCs w:val="28"/>
                <w:lang w:val="ro-RO"/>
              </w:rPr>
              <w:t xml:space="preserve">următoarele </w:t>
            </w:r>
            <w:r w:rsidR="0048158F">
              <w:rPr>
                <w:szCs w:val="28"/>
                <w:lang w:val="ro-RO"/>
              </w:rPr>
              <w:t>impacturi pozitive</w:t>
            </w:r>
            <w:r w:rsidRPr="00BA044A">
              <w:rPr>
                <w:szCs w:val="28"/>
                <w:lang w:val="ro-RO"/>
              </w:rPr>
              <w:t>:</w:t>
            </w:r>
          </w:p>
          <w:p w:rsidR="0048158F" w:rsidRPr="0048158F" w:rsidRDefault="0048158F" w:rsidP="0048158F">
            <w:pPr>
              <w:pStyle w:val="a3"/>
              <w:numPr>
                <w:ilvl w:val="0"/>
                <w:numId w:val="3"/>
              </w:numPr>
              <w:tabs>
                <w:tab w:val="left" w:pos="983"/>
              </w:tabs>
              <w:ind w:left="-10" w:firstLine="709"/>
              <w:jc w:val="both"/>
              <w:rPr>
                <w:szCs w:val="28"/>
                <w:lang w:val="ro-RO"/>
              </w:rPr>
            </w:pPr>
            <w:r w:rsidRPr="0048158F">
              <w:rPr>
                <w:szCs w:val="28"/>
                <w:lang w:val="ro-RO"/>
              </w:rPr>
              <w:t xml:space="preserve">Cadrul legislativ naţional coerent și univoc, </w:t>
            </w:r>
            <w:proofErr w:type="spellStart"/>
            <w:r>
              <w:rPr>
                <w:szCs w:val="28"/>
                <w:lang w:val="ro-RO"/>
              </w:rPr>
              <w:t>excluzînd</w:t>
            </w:r>
            <w:proofErr w:type="spellEnd"/>
            <w:r>
              <w:rPr>
                <w:szCs w:val="28"/>
                <w:lang w:val="ro-RO"/>
              </w:rPr>
              <w:t xml:space="preserve"> orice incorectitudine;</w:t>
            </w:r>
          </w:p>
          <w:p w:rsidR="0048158F" w:rsidRPr="0048158F" w:rsidRDefault="0048158F" w:rsidP="0048158F">
            <w:pPr>
              <w:pStyle w:val="a3"/>
              <w:numPr>
                <w:ilvl w:val="0"/>
                <w:numId w:val="3"/>
              </w:numPr>
              <w:tabs>
                <w:tab w:val="left" w:pos="983"/>
              </w:tabs>
              <w:ind w:left="-10" w:firstLine="709"/>
              <w:jc w:val="both"/>
              <w:rPr>
                <w:szCs w:val="28"/>
                <w:lang w:val="ro-RO"/>
              </w:rPr>
            </w:pPr>
            <w:r w:rsidRPr="0048158F">
              <w:rPr>
                <w:szCs w:val="28"/>
                <w:lang w:val="ro-RO"/>
              </w:rPr>
              <w:t>Cadrul legislativ naţional armonizat cu prevederile stabilite în Uniunea Europeană, privind transportul pe cale maritimă a ule</w:t>
            </w:r>
            <w:r>
              <w:rPr>
                <w:szCs w:val="28"/>
                <w:lang w:val="ro-RO"/>
              </w:rPr>
              <w:t>iurilor și a grăsimilor lichide;</w:t>
            </w:r>
          </w:p>
          <w:p w:rsidR="008241A7" w:rsidRPr="0048158F" w:rsidRDefault="0048158F" w:rsidP="0048158F">
            <w:pPr>
              <w:pStyle w:val="a3"/>
              <w:numPr>
                <w:ilvl w:val="0"/>
                <w:numId w:val="3"/>
              </w:numPr>
              <w:tabs>
                <w:tab w:val="left" w:pos="983"/>
              </w:tabs>
              <w:ind w:left="-10" w:firstLine="709"/>
              <w:jc w:val="both"/>
              <w:rPr>
                <w:szCs w:val="28"/>
                <w:lang w:val="ro-RO"/>
              </w:rPr>
            </w:pPr>
            <w:r w:rsidRPr="0048158F">
              <w:rPr>
                <w:szCs w:val="28"/>
                <w:lang w:val="ro-RO"/>
              </w:rPr>
              <w:t xml:space="preserve">Produse alimentare etichetate </w:t>
            </w:r>
            <w:r>
              <w:rPr>
                <w:szCs w:val="28"/>
                <w:lang w:val="ro-RO"/>
              </w:rPr>
              <w:t>corespunzător.</w:t>
            </w:r>
          </w:p>
        </w:tc>
      </w:tr>
      <w:tr w:rsidR="008241A7" w:rsidTr="008241A7">
        <w:tc>
          <w:tcPr>
            <w:tcW w:w="9344" w:type="dxa"/>
          </w:tcPr>
          <w:p w:rsidR="008241A7" w:rsidRPr="008241A7" w:rsidRDefault="008241A7" w:rsidP="008241A7">
            <w:pPr>
              <w:pStyle w:val="a3"/>
              <w:numPr>
                <w:ilvl w:val="0"/>
                <w:numId w:val="1"/>
              </w:numPr>
              <w:tabs>
                <w:tab w:val="left" w:pos="993"/>
              </w:tabs>
              <w:ind w:left="0" w:firstLine="709"/>
              <w:jc w:val="both"/>
              <w:rPr>
                <w:szCs w:val="28"/>
                <w:lang w:val="ro-RO"/>
              </w:rPr>
            </w:pPr>
            <w:r w:rsidRPr="00BA044A">
              <w:rPr>
                <w:b/>
                <w:i/>
                <w:szCs w:val="28"/>
                <w:lang w:val="ro-RO"/>
              </w:rPr>
              <w:t>Descrierea gradului de compatibilitate cu legislaţia Uniunii Europene</w:t>
            </w:r>
          </w:p>
        </w:tc>
      </w:tr>
      <w:tr w:rsidR="008241A7" w:rsidTr="008241A7">
        <w:tc>
          <w:tcPr>
            <w:tcW w:w="9344" w:type="dxa"/>
          </w:tcPr>
          <w:p w:rsidR="008241A7" w:rsidRPr="008241A7" w:rsidRDefault="008241A7" w:rsidP="008241A7">
            <w:pPr>
              <w:pStyle w:val="a3"/>
              <w:ind w:left="0" w:firstLine="709"/>
              <w:jc w:val="both"/>
              <w:rPr>
                <w:rFonts w:cs="Times New Roman"/>
                <w:szCs w:val="28"/>
                <w:lang w:val="ro-RO"/>
              </w:rPr>
            </w:pPr>
            <w:proofErr w:type="spellStart"/>
            <w:proofErr w:type="gramStart"/>
            <w:r w:rsidRPr="00B47190">
              <w:rPr>
                <w:rFonts w:cs="Times New Roman"/>
                <w:szCs w:val="28"/>
              </w:rPr>
              <w:t>Prevederile</w:t>
            </w:r>
            <w:proofErr w:type="spellEnd"/>
            <w:r w:rsidRPr="00B47190">
              <w:rPr>
                <w:rFonts w:cs="Times New Roman"/>
                <w:szCs w:val="28"/>
              </w:rPr>
              <w:t xml:space="preserve"> </w:t>
            </w:r>
            <w:proofErr w:type="spellStart"/>
            <w:r w:rsidRPr="00B47190">
              <w:rPr>
                <w:rFonts w:cs="Times New Roman"/>
                <w:szCs w:val="28"/>
              </w:rPr>
              <w:t>acestui</w:t>
            </w:r>
            <w:proofErr w:type="spellEnd"/>
            <w:r w:rsidRPr="00B47190">
              <w:rPr>
                <w:rFonts w:cs="Times New Roman"/>
                <w:szCs w:val="28"/>
              </w:rPr>
              <w:t xml:space="preserve"> </w:t>
            </w:r>
            <w:proofErr w:type="spellStart"/>
            <w:r w:rsidRPr="00B47190">
              <w:rPr>
                <w:rFonts w:cs="Times New Roman"/>
                <w:szCs w:val="28"/>
              </w:rPr>
              <w:t>proiect</w:t>
            </w:r>
            <w:proofErr w:type="spellEnd"/>
            <w:r w:rsidRPr="00B47190">
              <w:rPr>
                <w:rFonts w:cs="Times New Roman"/>
                <w:szCs w:val="28"/>
              </w:rPr>
              <w:t xml:space="preserve"> </w:t>
            </w:r>
            <w:proofErr w:type="spellStart"/>
            <w:r w:rsidRPr="00B47190">
              <w:rPr>
                <w:rFonts w:cs="Times New Roman"/>
                <w:szCs w:val="28"/>
              </w:rPr>
              <w:t>de</w:t>
            </w:r>
            <w:proofErr w:type="spellEnd"/>
            <w:r w:rsidRPr="00B47190">
              <w:rPr>
                <w:rFonts w:cs="Times New Roman"/>
                <w:szCs w:val="28"/>
              </w:rPr>
              <w:t xml:space="preserve"> </w:t>
            </w:r>
            <w:proofErr w:type="spellStart"/>
            <w:r w:rsidRPr="00B47190">
              <w:rPr>
                <w:rFonts w:cs="Times New Roman"/>
                <w:szCs w:val="28"/>
              </w:rPr>
              <w:t>lege</w:t>
            </w:r>
            <w:proofErr w:type="spellEnd"/>
            <w:r w:rsidRPr="00B47190">
              <w:rPr>
                <w:rFonts w:cs="Times New Roman"/>
                <w:szCs w:val="28"/>
              </w:rPr>
              <w:t xml:space="preserve"> </w:t>
            </w:r>
            <w:proofErr w:type="spellStart"/>
            <w:r w:rsidRPr="00B47190">
              <w:rPr>
                <w:rFonts w:cs="Times New Roman"/>
                <w:szCs w:val="28"/>
              </w:rPr>
              <w:t>sunt</w:t>
            </w:r>
            <w:proofErr w:type="spellEnd"/>
            <w:r w:rsidRPr="00B47190">
              <w:rPr>
                <w:rFonts w:cs="Times New Roman"/>
                <w:szCs w:val="28"/>
              </w:rPr>
              <w:t xml:space="preserve"> </w:t>
            </w:r>
            <w:proofErr w:type="spellStart"/>
            <w:r w:rsidRPr="00B47190">
              <w:rPr>
                <w:rFonts w:cs="Times New Roman"/>
                <w:szCs w:val="28"/>
              </w:rPr>
              <w:t>armonizate</w:t>
            </w:r>
            <w:proofErr w:type="spellEnd"/>
            <w:r w:rsidRPr="00B47190">
              <w:rPr>
                <w:rFonts w:cs="Times New Roman"/>
                <w:szCs w:val="28"/>
              </w:rPr>
              <w:t xml:space="preserve"> </w:t>
            </w:r>
            <w:proofErr w:type="spellStart"/>
            <w:r w:rsidRPr="00B47190">
              <w:rPr>
                <w:rFonts w:cs="Times New Roman"/>
                <w:szCs w:val="28"/>
              </w:rPr>
              <w:t>cu</w:t>
            </w:r>
            <w:proofErr w:type="spellEnd"/>
            <w:r w:rsidRPr="00B47190">
              <w:rPr>
                <w:rFonts w:cs="Times New Roman"/>
                <w:szCs w:val="28"/>
              </w:rPr>
              <w:t xml:space="preserve"> </w:t>
            </w:r>
            <w:proofErr w:type="spellStart"/>
            <w:r w:rsidRPr="00B47190">
              <w:rPr>
                <w:rFonts w:cs="Times New Roman"/>
                <w:szCs w:val="28"/>
              </w:rPr>
              <w:t>prevederile</w:t>
            </w:r>
            <w:proofErr w:type="spellEnd"/>
            <w:r w:rsidRPr="00B47190">
              <w:rPr>
                <w:rFonts w:cs="Times New Roman"/>
                <w:szCs w:val="28"/>
              </w:rPr>
              <w:t xml:space="preserve"> </w:t>
            </w:r>
            <w:proofErr w:type="spellStart"/>
            <w:r w:rsidRPr="00B47190">
              <w:rPr>
                <w:rFonts w:cs="Times New Roman"/>
                <w:szCs w:val="28"/>
              </w:rPr>
              <w:lastRenderedPageBreak/>
              <w:t>Regulamentului</w:t>
            </w:r>
            <w:proofErr w:type="spellEnd"/>
            <w:r w:rsidRPr="00B47190">
              <w:rPr>
                <w:rFonts w:cs="Times New Roman"/>
                <w:szCs w:val="28"/>
              </w:rPr>
              <w:t xml:space="preserve"> (UE) nr.579/2014 </w:t>
            </w:r>
            <w:proofErr w:type="spellStart"/>
            <w:r w:rsidRPr="00B47190">
              <w:rPr>
                <w:rFonts w:cs="Times New Roman"/>
                <w:szCs w:val="28"/>
              </w:rPr>
              <w:t>al</w:t>
            </w:r>
            <w:proofErr w:type="spellEnd"/>
            <w:r w:rsidRPr="00B47190">
              <w:rPr>
                <w:rFonts w:cs="Times New Roman"/>
                <w:szCs w:val="28"/>
              </w:rPr>
              <w:t xml:space="preserve"> </w:t>
            </w:r>
            <w:proofErr w:type="spellStart"/>
            <w:r w:rsidRPr="00B47190">
              <w:rPr>
                <w:rFonts w:cs="Times New Roman"/>
                <w:szCs w:val="28"/>
              </w:rPr>
              <w:t>Comisiei</w:t>
            </w:r>
            <w:proofErr w:type="spellEnd"/>
            <w:r w:rsidRPr="00B47190">
              <w:rPr>
                <w:rFonts w:cs="Times New Roman"/>
                <w:szCs w:val="28"/>
              </w:rPr>
              <w:t xml:space="preserve"> </w:t>
            </w:r>
            <w:proofErr w:type="spellStart"/>
            <w:r w:rsidRPr="00B47190">
              <w:rPr>
                <w:rFonts w:cs="Times New Roman"/>
                <w:szCs w:val="28"/>
              </w:rPr>
              <w:t>din</w:t>
            </w:r>
            <w:proofErr w:type="spellEnd"/>
            <w:r w:rsidRPr="00B47190">
              <w:rPr>
                <w:rFonts w:cs="Times New Roman"/>
                <w:szCs w:val="28"/>
              </w:rPr>
              <w:t xml:space="preserve"> 28 </w:t>
            </w:r>
            <w:proofErr w:type="spellStart"/>
            <w:r w:rsidRPr="00B47190">
              <w:rPr>
                <w:rFonts w:cs="Times New Roman"/>
                <w:szCs w:val="28"/>
              </w:rPr>
              <w:t>mai</w:t>
            </w:r>
            <w:proofErr w:type="spellEnd"/>
            <w:r w:rsidRPr="00B47190">
              <w:rPr>
                <w:rFonts w:cs="Times New Roman"/>
                <w:szCs w:val="28"/>
              </w:rPr>
              <w:t xml:space="preserve"> 2014 </w:t>
            </w:r>
            <w:proofErr w:type="spellStart"/>
            <w:r w:rsidRPr="00B47190">
              <w:rPr>
                <w:rFonts w:cs="Times New Roman"/>
                <w:szCs w:val="28"/>
              </w:rPr>
              <w:t>de</w:t>
            </w:r>
            <w:proofErr w:type="spellEnd"/>
            <w:r w:rsidRPr="00B47190">
              <w:rPr>
                <w:rFonts w:cs="Times New Roman"/>
                <w:szCs w:val="28"/>
              </w:rPr>
              <w:t xml:space="preserve"> </w:t>
            </w:r>
            <w:proofErr w:type="spellStart"/>
            <w:r w:rsidRPr="00B47190">
              <w:rPr>
                <w:rFonts w:cs="Times New Roman"/>
                <w:szCs w:val="28"/>
              </w:rPr>
              <w:t>acordare</w:t>
            </w:r>
            <w:proofErr w:type="spellEnd"/>
            <w:r w:rsidRPr="00B47190">
              <w:rPr>
                <w:rFonts w:cs="Times New Roman"/>
                <w:szCs w:val="28"/>
              </w:rPr>
              <w:t xml:space="preserve"> a </w:t>
            </w:r>
            <w:proofErr w:type="spellStart"/>
            <w:r w:rsidRPr="00B47190">
              <w:rPr>
                <w:rFonts w:cs="Times New Roman"/>
                <w:szCs w:val="28"/>
              </w:rPr>
              <w:t>unei</w:t>
            </w:r>
            <w:proofErr w:type="spellEnd"/>
            <w:r w:rsidRPr="00B47190">
              <w:rPr>
                <w:rFonts w:cs="Times New Roman"/>
                <w:szCs w:val="28"/>
              </w:rPr>
              <w:t xml:space="preserve"> </w:t>
            </w:r>
            <w:proofErr w:type="spellStart"/>
            <w:r w:rsidRPr="00B47190">
              <w:rPr>
                <w:rFonts w:cs="Times New Roman"/>
                <w:szCs w:val="28"/>
              </w:rPr>
              <w:t>derogări</w:t>
            </w:r>
            <w:proofErr w:type="spellEnd"/>
            <w:r w:rsidRPr="00B47190">
              <w:rPr>
                <w:rFonts w:cs="Times New Roman"/>
                <w:szCs w:val="28"/>
              </w:rPr>
              <w:t xml:space="preserve"> </w:t>
            </w:r>
            <w:proofErr w:type="spellStart"/>
            <w:r w:rsidRPr="00B47190">
              <w:rPr>
                <w:rFonts w:cs="Times New Roman"/>
                <w:szCs w:val="28"/>
              </w:rPr>
              <w:t>de</w:t>
            </w:r>
            <w:proofErr w:type="spellEnd"/>
            <w:r w:rsidRPr="00B47190">
              <w:rPr>
                <w:rFonts w:cs="Times New Roman"/>
                <w:szCs w:val="28"/>
              </w:rPr>
              <w:t xml:space="preserve"> </w:t>
            </w:r>
            <w:proofErr w:type="spellStart"/>
            <w:r w:rsidRPr="00B47190">
              <w:rPr>
                <w:rFonts w:cs="Times New Roman"/>
                <w:szCs w:val="28"/>
              </w:rPr>
              <w:t>la</w:t>
            </w:r>
            <w:proofErr w:type="spellEnd"/>
            <w:r w:rsidRPr="00B47190">
              <w:rPr>
                <w:rFonts w:cs="Times New Roman"/>
                <w:szCs w:val="28"/>
              </w:rPr>
              <w:t xml:space="preserve"> </w:t>
            </w:r>
            <w:proofErr w:type="spellStart"/>
            <w:r w:rsidRPr="00B47190">
              <w:rPr>
                <w:rFonts w:cs="Times New Roman"/>
                <w:szCs w:val="28"/>
              </w:rPr>
              <w:t>anumite</w:t>
            </w:r>
            <w:proofErr w:type="spellEnd"/>
            <w:r w:rsidRPr="00B47190">
              <w:rPr>
                <w:rFonts w:cs="Times New Roman"/>
                <w:szCs w:val="28"/>
              </w:rPr>
              <w:t xml:space="preserve"> </w:t>
            </w:r>
            <w:proofErr w:type="spellStart"/>
            <w:r w:rsidRPr="00B47190">
              <w:rPr>
                <w:rFonts w:cs="Times New Roman"/>
                <w:szCs w:val="28"/>
              </w:rPr>
              <w:t>dispoziții</w:t>
            </w:r>
            <w:proofErr w:type="spellEnd"/>
            <w:r w:rsidRPr="00B47190">
              <w:rPr>
                <w:rFonts w:cs="Times New Roman"/>
                <w:szCs w:val="28"/>
              </w:rPr>
              <w:t xml:space="preserve"> </w:t>
            </w:r>
            <w:proofErr w:type="spellStart"/>
            <w:r w:rsidRPr="00B47190">
              <w:rPr>
                <w:rFonts w:cs="Times New Roman"/>
                <w:szCs w:val="28"/>
              </w:rPr>
              <w:t>ale</w:t>
            </w:r>
            <w:proofErr w:type="spellEnd"/>
            <w:r w:rsidRPr="00B47190">
              <w:rPr>
                <w:rFonts w:cs="Times New Roman"/>
                <w:szCs w:val="28"/>
              </w:rPr>
              <w:t xml:space="preserve"> </w:t>
            </w:r>
            <w:proofErr w:type="spellStart"/>
            <w:r w:rsidRPr="00B47190">
              <w:rPr>
                <w:rFonts w:cs="Times New Roman"/>
                <w:szCs w:val="28"/>
              </w:rPr>
              <w:t>anexei</w:t>
            </w:r>
            <w:proofErr w:type="spellEnd"/>
            <w:r w:rsidRPr="00B47190">
              <w:rPr>
                <w:rFonts w:cs="Times New Roman"/>
                <w:szCs w:val="28"/>
              </w:rPr>
              <w:t xml:space="preserve"> II </w:t>
            </w:r>
            <w:proofErr w:type="spellStart"/>
            <w:r w:rsidRPr="00B47190">
              <w:rPr>
                <w:rFonts w:cs="Times New Roman"/>
                <w:szCs w:val="28"/>
              </w:rPr>
              <w:t>la</w:t>
            </w:r>
            <w:proofErr w:type="spellEnd"/>
            <w:r w:rsidRPr="00B47190">
              <w:rPr>
                <w:rFonts w:cs="Times New Roman"/>
                <w:szCs w:val="28"/>
              </w:rPr>
              <w:t xml:space="preserve"> </w:t>
            </w:r>
            <w:proofErr w:type="spellStart"/>
            <w:r w:rsidRPr="00B47190">
              <w:rPr>
                <w:rFonts w:cs="Times New Roman"/>
                <w:szCs w:val="28"/>
              </w:rPr>
              <w:t>Regulamentul</w:t>
            </w:r>
            <w:proofErr w:type="spellEnd"/>
            <w:r w:rsidRPr="00B47190">
              <w:rPr>
                <w:rFonts w:cs="Times New Roman"/>
                <w:szCs w:val="28"/>
              </w:rPr>
              <w:t xml:space="preserve"> (CE) </w:t>
            </w:r>
            <w:proofErr w:type="spellStart"/>
            <w:r w:rsidRPr="00B47190">
              <w:rPr>
                <w:rFonts w:cs="Times New Roman"/>
                <w:szCs w:val="28"/>
              </w:rPr>
              <w:t>nr</w:t>
            </w:r>
            <w:proofErr w:type="spellEnd"/>
            <w:r w:rsidRPr="00B47190">
              <w:rPr>
                <w:rFonts w:cs="Times New Roman"/>
                <w:szCs w:val="28"/>
              </w:rPr>
              <w:t xml:space="preserve">. 852/2004 </w:t>
            </w:r>
            <w:proofErr w:type="spellStart"/>
            <w:r w:rsidRPr="00B47190">
              <w:rPr>
                <w:rFonts w:cs="Times New Roman"/>
                <w:szCs w:val="28"/>
              </w:rPr>
              <w:t>al</w:t>
            </w:r>
            <w:proofErr w:type="spellEnd"/>
            <w:r w:rsidRPr="00B47190">
              <w:rPr>
                <w:rFonts w:cs="Times New Roman"/>
                <w:szCs w:val="28"/>
              </w:rPr>
              <w:t xml:space="preserve"> </w:t>
            </w:r>
            <w:proofErr w:type="spellStart"/>
            <w:r w:rsidRPr="00B47190">
              <w:rPr>
                <w:rFonts w:cs="Times New Roman"/>
                <w:szCs w:val="28"/>
              </w:rPr>
              <w:t>Parlamentului</w:t>
            </w:r>
            <w:proofErr w:type="spellEnd"/>
            <w:r w:rsidRPr="00B47190">
              <w:rPr>
                <w:rFonts w:cs="Times New Roman"/>
                <w:szCs w:val="28"/>
              </w:rPr>
              <w:t xml:space="preserve"> </w:t>
            </w:r>
            <w:proofErr w:type="spellStart"/>
            <w:r w:rsidRPr="00B47190">
              <w:rPr>
                <w:rFonts w:cs="Times New Roman"/>
                <w:szCs w:val="28"/>
              </w:rPr>
              <w:t>European</w:t>
            </w:r>
            <w:proofErr w:type="spellEnd"/>
            <w:r w:rsidRPr="00B47190">
              <w:rPr>
                <w:rFonts w:cs="Times New Roman"/>
                <w:szCs w:val="28"/>
              </w:rPr>
              <w:t xml:space="preserve"> </w:t>
            </w:r>
            <w:proofErr w:type="spellStart"/>
            <w:r w:rsidRPr="00B47190">
              <w:rPr>
                <w:rFonts w:cs="Times New Roman"/>
                <w:szCs w:val="28"/>
              </w:rPr>
              <w:t>și</w:t>
            </w:r>
            <w:proofErr w:type="spellEnd"/>
            <w:r w:rsidRPr="00B47190">
              <w:rPr>
                <w:rFonts w:cs="Times New Roman"/>
                <w:szCs w:val="28"/>
              </w:rPr>
              <w:t xml:space="preserve"> </w:t>
            </w:r>
            <w:proofErr w:type="spellStart"/>
            <w:r w:rsidRPr="00B47190">
              <w:rPr>
                <w:rFonts w:cs="Times New Roman"/>
                <w:szCs w:val="28"/>
              </w:rPr>
              <w:t>al</w:t>
            </w:r>
            <w:proofErr w:type="spellEnd"/>
            <w:r w:rsidRPr="00B47190">
              <w:rPr>
                <w:rFonts w:cs="Times New Roman"/>
                <w:szCs w:val="28"/>
              </w:rPr>
              <w:t xml:space="preserve"> </w:t>
            </w:r>
            <w:proofErr w:type="spellStart"/>
            <w:r w:rsidRPr="00B47190">
              <w:rPr>
                <w:rFonts w:cs="Times New Roman"/>
                <w:szCs w:val="28"/>
              </w:rPr>
              <w:t>Consiliului</w:t>
            </w:r>
            <w:proofErr w:type="spellEnd"/>
            <w:r w:rsidRPr="00B47190">
              <w:rPr>
                <w:rFonts w:cs="Times New Roman"/>
                <w:szCs w:val="28"/>
              </w:rPr>
              <w:t xml:space="preserve"> </w:t>
            </w:r>
            <w:proofErr w:type="spellStart"/>
            <w:r w:rsidRPr="00B47190">
              <w:rPr>
                <w:rFonts w:cs="Times New Roman"/>
                <w:szCs w:val="28"/>
              </w:rPr>
              <w:t>în</w:t>
            </w:r>
            <w:proofErr w:type="spellEnd"/>
            <w:r w:rsidRPr="00B47190">
              <w:rPr>
                <w:rFonts w:cs="Times New Roman"/>
                <w:szCs w:val="28"/>
              </w:rPr>
              <w:t xml:space="preserve"> </w:t>
            </w:r>
            <w:proofErr w:type="spellStart"/>
            <w:r w:rsidRPr="00B47190">
              <w:rPr>
                <w:rFonts w:cs="Times New Roman"/>
                <w:szCs w:val="28"/>
              </w:rPr>
              <w:t>ceea</w:t>
            </w:r>
            <w:proofErr w:type="spellEnd"/>
            <w:r w:rsidRPr="00B47190">
              <w:rPr>
                <w:rFonts w:cs="Times New Roman"/>
                <w:szCs w:val="28"/>
              </w:rPr>
              <w:t xml:space="preserve"> </w:t>
            </w:r>
            <w:proofErr w:type="spellStart"/>
            <w:r w:rsidRPr="00B47190">
              <w:rPr>
                <w:rFonts w:cs="Times New Roman"/>
                <w:szCs w:val="28"/>
              </w:rPr>
              <w:t>ce</w:t>
            </w:r>
            <w:proofErr w:type="spellEnd"/>
            <w:r w:rsidRPr="00B47190">
              <w:rPr>
                <w:rFonts w:cs="Times New Roman"/>
                <w:szCs w:val="28"/>
              </w:rPr>
              <w:t xml:space="preserve"> </w:t>
            </w:r>
            <w:proofErr w:type="spellStart"/>
            <w:r w:rsidRPr="00B47190">
              <w:rPr>
                <w:rFonts w:cs="Times New Roman"/>
                <w:szCs w:val="28"/>
              </w:rPr>
              <w:t>privește</w:t>
            </w:r>
            <w:proofErr w:type="spellEnd"/>
            <w:r w:rsidRPr="00B47190">
              <w:rPr>
                <w:rFonts w:cs="Times New Roman"/>
                <w:szCs w:val="28"/>
              </w:rPr>
              <w:t xml:space="preserve"> </w:t>
            </w:r>
            <w:proofErr w:type="spellStart"/>
            <w:r w:rsidRPr="00B47190">
              <w:rPr>
                <w:rFonts w:cs="Times New Roman"/>
                <w:szCs w:val="28"/>
              </w:rPr>
              <w:t>transportul</w:t>
            </w:r>
            <w:proofErr w:type="spellEnd"/>
            <w:r w:rsidRPr="00B47190">
              <w:rPr>
                <w:rFonts w:cs="Times New Roman"/>
                <w:szCs w:val="28"/>
              </w:rPr>
              <w:t xml:space="preserve"> </w:t>
            </w:r>
            <w:proofErr w:type="spellStart"/>
            <w:r w:rsidRPr="00B47190">
              <w:rPr>
                <w:rFonts w:cs="Times New Roman"/>
                <w:szCs w:val="28"/>
              </w:rPr>
              <w:t>maritim</w:t>
            </w:r>
            <w:proofErr w:type="spellEnd"/>
            <w:r w:rsidRPr="00B47190">
              <w:rPr>
                <w:rFonts w:cs="Times New Roman"/>
                <w:szCs w:val="28"/>
              </w:rPr>
              <w:t xml:space="preserve"> </w:t>
            </w:r>
            <w:proofErr w:type="spellStart"/>
            <w:r w:rsidRPr="00B47190">
              <w:rPr>
                <w:rFonts w:cs="Times New Roman"/>
                <w:szCs w:val="28"/>
              </w:rPr>
              <w:t>al</w:t>
            </w:r>
            <w:proofErr w:type="spellEnd"/>
            <w:r w:rsidRPr="00B47190">
              <w:rPr>
                <w:rFonts w:cs="Times New Roman"/>
                <w:szCs w:val="28"/>
              </w:rPr>
              <w:t xml:space="preserve"> </w:t>
            </w:r>
            <w:proofErr w:type="spellStart"/>
            <w:r w:rsidRPr="00B47190">
              <w:rPr>
                <w:rFonts w:cs="Times New Roman"/>
                <w:szCs w:val="28"/>
              </w:rPr>
              <w:t>uleiurilor</w:t>
            </w:r>
            <w:proofErr w:type="spellEnd"/>
            <w:r w:rsidRPr="00B47190">
              <w:rPr>
                <w:rFonts w:cs="Times New Roman"/>
                <w:szCs w:val="28"/>
              </w:rPr>
              <w:t xml:space="preserve"> </w:t>
            </w:r>
            <w:proofErr w:type="spellStart"/>
            <w:r w:rsidRPr="00B47190">
              <w:rPr>
                <w:rFonts w:cs="Times New Roman"/>
                <w:szCs w:val="28"/>
              </w:rPr>
              <w:t>și</w:t>
            </w:r>
            <w:proofErr w:type="spellEnd"/>
            <w:r w:rsidRPr="00B47190">
              <w:rPr>
                <w:rFonts w:cs="Times New Roman"/>
                <w:szCs w:val="28"/>
              </w:rPr>
              <w:t xml:space="preserve"> </w:t>
            </w:r>
            <w:proofErr w:type="spellStart"/>
            <w:r w:rsidRPr="00B47190">
              <w:rPr>
                <w:rFonts w:cs="Times New Roman"/>
                <w:szCs w:val="28"/>
              </w:rPr>
              <w:t>al</w:t>
            </w:r>
            <w:proofErr w:type="spellEnd"/>
            <w:r w:rsidRPr="00B47190">
              <w:rPr>
                <w:rFonts w:cs="Times New Roman"/>
                <w:szCs w:val="28"/>
              </w:rPr>
              <w:t xml:space="preserve"> </w:t>
            </w:r>
            <w:proofErr w:type="spellStart"/>
            <w:r w:rsidRPr="00B47190">
              <w:rPr>
                <w:rFonts w:cs="Times New Roman"/>
                <w:szCs w:val="28"/>
              </w:rPr>
              <w:t>grăsimilor</w:t>
            </w:r>
            <w:proofErr w:type="spellEnd"/>
            <w:r w:rsidRPr="00B47190">
              <w:rPr>
                <w:rFonts w:cs="Times New Roman"/>
                <w:szCs w:val="28"/>
              </w:rPr>
              <w:t xml:space="preserve"> </w:t>
            </w:r>
            <w:proofErr w:type="spellStart"/>
            <w:r w:rsidRPr="00B47190">
              <w:rPr>
                <w:rFonts w:cs="Times New Roman"/>
                <w:szCs w:val="28"/>
              </w:rPr>
              <w:t>lichide</w:t>
            </w:r>
            <w:proofErr w:type="spellEnd"/>
            <w:proofErr w:type="gramEnd"/>
            <w:r>
              <w:rPr>
                <w:rFonts w:cs="Times New Roman"/>
                <w:szCs w:val="28"/>
                <w:lang w:val="ro-RO"/>
              </w:rPr>
              <w:t xml:space="preserve"> și a </w:t>
            </w:r>
            <w:r w:rsidRPr="006A4E4E">
              <w:rPr>
                <w:rFonts w:cs="Times New Roman"/>
                <w:szCs w:val="28"/>
                <w:lang w:val="ro-RO"/>
              </w:rPr>
              <w:t>Regulamentul</w:t>
            </w:r>
            <w:r>
              <w:rPr>
                <w:rFonts w:cs="Times New Roman"/>
                <w:szCs w:val="28"/>
                <w:lang w:val="ro-RO"/>
              </w:rPr>
              <w:t>ui (UE) nr.1</w:t>
            </w:r>
            <w:r w:rsidRPr="006A4E4E">
              <w:rPr>
                <w:rFonts w:cs="Times New Roman"/>
                <w:szCs w:val="28"/>
                <w:lang w:val="ro-RO"/>
              </w:rPr>
              <w:t>169/2011 al Parlamentului European și al Consiliului din 25 octombrie 2011 privind informarea consumatorilor cu privire la produsele alimentare, de modif</w:t>
            </w:r>
            <w:r>
              <w:rPr>
                <w:rFonts w:cs="Times New Roman"/>
                <w:szCs w:val="28"/>
                <w:lang w:val="ro-RO"/>
              </w:rPr>
              <w:t>icare a Regulamentelor (CE) nr.</w:t>
            </w:r>
            <w:r w:rsidRPr="006A4E4E">
              <w:rPr>
                <w:rFonts w:cs="Times New Roman"/>
                <w:szCs w:val="28"/>
                <w:lang w:val="ro-RO"/>
              </w:rPr>
              <w:t>1924/2006 și (CE) nr.1925/2006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r>
              <w:rPr>
                <w:rFonts w:cs="Times New Roman"/>
                <w:szCs w:val="28"/>
                <w:lang w:val="ro-RO"/>
              </w:rPr>
              <w:t>.</w:t>
            </w:r>
          </w:p>
        </w:tc>
      </w:tr>
      <w:tr w:rsidR="008241A7" w:rsidTr="008241A7">
        <w:tc>
          <w:tcPr>
            <w:tcW w:w="9344" w:type="dxa"/>
          </w:tcPr>
          <w:p w:rsidR="008241A7" w:rsidRPr="008241A7" w:rsidRDefault="008241A7" w:rsidP="008241A7">
            <w:pPr>
              <w:pStyle w:val="a3"/>
              <w:numPr>
                <w:ilvl w:val="0"/>
                <w:numId w:val="1"/>
              </w:numPr>
              <w:jc w:val="both"/>
              <w:rPr>
                <w:b/>
                <w:i/>
                <w:szCs w:val="28"/>
                <w:lang w:val="ro-RO"/>
              </w:rPr>
            </w:pPr>
            <w:r w:rsidRPr="00BA044A">
              <w:rPr>
                <w:b/>
                <w:i/>
                <w:szCs w:val="28"/>
                <w:lang w:val="ro-RO"/>
              </w:rPr>
              <w:lastRenderedPageBreak/>
              <w:t>Principalele prevederi ale proiectului şi evidenţierea elementelor noi</w:t>
            </w:r>
          </w:p>
        </w:tc>
      </w:tr>
      <w:tr w:rsidR="008241A7" w:rsidTr="008241A7">
        <w:tc>
          <w:tcPr>
            <w:tcW w:w="9344" w:type="dxa"/>
          </w:tcPr>
          <w:p w:rsidR="008241A7" w:rsidRPr="00BA044A" w:rsidRDefault="008241A7" w:rsidP="008241A7">
            <w:pPr>
              <w:ind w:firstLine="709"/>
              <w:jc w:val="both"/>
              <w:rPr>
                <w:szCs w:val="28"/>
                <w:lang w:val="ro-RO"/>
              </w:rPr>
            </w:pPr>
            <w:r w:rsidRPr="00BA044A">
              <w:rPr>
                <w:szCs w:val="28"/>
                <w:lang w:val="ro-RO"/>
              </w:rPr>
              <w:t xml:space="preserve">Prezentul proiect are drept scop </w:t>
            </w:r>
            <w:r>
              <w:rPr>
                <w:szCs w:val="28"/>
                <w:lang w:val="ro-RO"/>
              </w:rPr>
              <w:t>ajustarea prevederilor unor acte legislative ca urmare a aprobării Legii nr.306/2018.</w:t>
            </w:r>
          </w:p>
          <w:p w:rsidR="008241A7" w:rsidRDefault="008241A7" w:rsidP="008241A7">
            <w:pPr>
              <w:ind w:firstLine="709"/>
              <w:jc w:val="both"/>
              <w:rPr>
                <w:szCs w:val="28"/>
                <w:lang w:val="ro-RO"/>
              </w:rPr>
            </w:pPr>
            <w:r w:rsidRPr="00BA044A">
              <w:rPr>
                <w:szCs w:val="28"/>
                <w:lang w:val="ro-RO"/>
              </w:rPr>
              <w:t xml:space="preserve">În acest sens, </w:t>
            </w:r>
            <w:r>
              <w:rPr>
                <w:szCs w:val="28"/>
                <w:lang w:val="ro-RO"/>
              </w:rPr>
              <w:t xml:space="preserve">Proiectul </w:t>
            </w:r>
            <w:proofErr w:type="spellStart"/>
            <w:r>
              <w:rPr>
                <w:szCs w:val="28"/>
                <w:lang w:val="ro-RO"/>
              </w:rPr>
              <w:t>Hotărîrii</w:t>
            </w:r>
            <w:proofErr w:type="spellEnd"/>
            <w:r>
              <w:rPr>
                <w:szCs w:val="28"/>
                <w:lang w:val="ro-RO"/>
              </w:rPr>
              <w:t xml:space="preserve"> de Guvern a fost elaborat </w:t>
            </w:r>
            <w:r w:rsidRPr="00BA044A">
              <w:rPr>
                <w:szCs w:val="28"/>
                <w:lang w:val="ro-RO"/>
              </w:rPr>
              <w:t xml:space="preserve">pentru înlăturarea lacunelor din actele normative, pentru perfecţionarea reglementării juridice </w:t>
            </w:r>
            <w:r>
              <w:rPr>
                <w:szCs w:val="28"/>
                <w:lang w:val="ro-RO"/>
              </w:rPr>
              <w:t>și pentru redactarea contextuală a prevederilor contradictorii și referințele legislative la Legea nr.78/2004 și la Legea nr.113/2012.</w:t>
            </w:r>
          </w:p>
          <w:p w:rsidR="008241A7" w:rsidRDefault="008241A7" w:rsidP="008241A7">
            <w:pPr>
              <w:ind w:firstLine="709"/>
              <w:jc w:val="both"/>
              <w:rPr>
                <w:szCs w:val="28"/>
                <w:lang w:val="ro-RO"/>
              </w:rPr>
            </w:pPr>
            <w:r>
              <w:rPr>
                <w:szCs w:val="28"/>
                <w:lang w:val="ro-RO"/>
              </w:rPr>
              <w:t xml:space="preserve">De asemenea, </w:t>
            </w:r>
            <w:r w:rsidRPr="00122648">
              <w:rPr>
                <w:szCs w:val="28"/>
                <w:lang w:val="ro-RO"/>
              </w:rPr>
              <w:t>proiectul dat</w:t>
            </w:r>
            <w:r>
              <w:rPr>
                <w:szCs w:val="28"/>
                <w:lang w:val="ro-RO"/>
              </w:rPr>
              <w:t xml:space="preserve"> vine</w:t>
            </w:r>
            <w:r w:rsidRPr="00122648">
              <w:rPr>
                <w:szCs w:val="28"/>
                <w:lang w:val="ro-RO"/>
              </w:rPr>
              <w:t xml:space="preserve"> să </w:t>
            </w:r>
            <w:r>
              <w:rPr>
                <w:szCs w:val="28"/>
                <w:lang w:val="ro-RO"/>
              </w:rPr>
              <w:t>r</w:t>
            </w:r>
            <w:r w:rsidRPr="00122648">
              <w:rPr>
                <w:szCs w:val="28"/>
                <w:lang w:val="ro-RO"/>
              </w:rPr>
              <w:t>eglementeze cerințele de transportare pe cale maritimă a uleiurilor și grăsimilor lichide conform practicilor aplicate în UE.</w:t>
            </w:r>
            <w:r w:rsidR="00DE5FBA">
              <w:rPr>
                <w:szCs w:val="28"/>
                <w:lang w:val="ro-RO"/>
              </w:rPr>
              <w:t xml:space="preserve"> Aceasta presupune </w:t>
            </w:r>
            <w:r w:rsidR="00DE5FBA" w:rsidRPr="00DE5FBA">
              <w:rPr>
                <w:szCs w:val="28"/>
                <w:lang w:val="ro-RO"/>
              </w:rPr>
              <w:t>completarea Legii nr.296/2017 cu cerințe noi privind transportul pe cale maritimă a uleiurilor și a grăsimilor lichide conform normelor UE. Completarea se referă la o derogare de la cerința generală ca produsele alimentare să fie transportate doar în rezervoare sau containere destinate doar pentru produsele alimentare. Aceste prevederi vor facilita transportul pe cale maritimă a uleiurilor destinate consumului uman și alinierea la cerințele UE.</w:t>
            </w:r>
          </w:p>
          <w:p w:rsidR="00DE5FBA" w:rsidRPr="00DE5FBA" w:rsidRDefault="00F05260" w:rsidP="00DE5FBA">
            <w:pPr>
              <w:ind w:firstLine="709"/>
              <w:jc w:val="both"/>
              <w:rPr>
                <w:szCs w:val="28"/>
                <w:lang w:val="ro-RO"/>
              </w:rPr>
            </w:pPr>
            <w:r>
              <w:rPr>
                <w:szCs w:val="28"/>
                <w:lang w:val="ro-RO"/>
              </w:rPr>
              <w:t>În același context menționăm că</w:t>
            </w:r>
            <w:r w:rsidR="00DE5FBA" w:rsidRPr="00DE5FBA">
              <w:rPr>
                <w:szCs w:val="28"/>
                <w:lang w:val="ro-RO"/>
              </w:rPr>
              <w:t xml:space="preserve">, </w:t>
            </w:r>
            <w:r w:rsidR="00DE5FBA">
              <w:rPr>
                <w:szCs w:val="28"/>
                <w:lang w:val="ro-RO"/>
              </w:rPr>
              <w:t xml:space="preserve">prezentul </w:t>
            </w:r>
            <w:r w:rsidR="00DE5FBA" w:rsidRPr="00DE5FBA">
              <w:rPr>
                <w:szCs w:val="28"/>
                <w:lang w:val="ro-RO"/>
              </w:rPr>
              <w:t xml:space="preserve">proiect de lege vine cu noi completări privind etichetarea produselor alimentare reglementată de Legea nr.279/2017. În special, aceste prevederi vor reflecta modalitatea de marcare a datei de fabricare și a durabilității minimale. </w:t>
            </w:r>
          </w:p>
          <w:p w:rsidR="00DE5FBA" w:rsidRDefault="00DE5FBA" w:rsidP="00DE5FBA">
            <w:pPr>
              <w:ind w:firstLine="709"/>
              <w:jc w:val="both"/>
              <w:rPr>
                <w:szCs w:val="28"/>
                <w:lang w:val="ro-RO"/>
              </w:rPr>
            </w:pPr>
            <w:r>
              <w:rPr>
                <w:szCs w:val="28"/>
                <w:lang w:val="ro-RO"/>
              </w:rPr>
              <w:t>De asemenea</w:t>
            </w:r>
            <w:r w:rsidRPr="00DE5FBA">
              <w:rPr>
                <w:szCs w:val="28"/>
                <w:lang w:val="ro-RO"/>
              </w:rPr>
              <w:t>, proiectul de lege modifică prevederile art.41, alin.(1) din Legea nr.279/2017, prin extinderea termenului de intrare în vigoare a acestuia cu încă 18 luni de la termenul stabilit anterior. Ca urmare acestei prevederi se va acorda timp pentru dotarea și acreditarea laboratorului I.P CRDV la metodele de analiză necesare pentru prezentarea declarației nutriționale corespunzătoare pe eticheta produsului alimentar.</w:t>
            </w:r>
          </w:p>
          <w:p w:rsidR="008241A7" w:rsidRDefault="00DE5FBA" w:rsidP="002815EE">
            <w:pPr>
              <w:ind w:firstLine="709"/>
              <w:jc w:val="both"/>
              <w:rPr>
                <w:szCs w:val="28"/>
                <w:lang w:val="ro-RO"/>
              </w:rPr>
            </w:pPr>
            <w:r>
              <w:rPr>
                <w:szCs w:val="28"/>
                <w:lang w:val="ro-RO"/>
              </w:rPr>
              <w:t>Astfel</w:t>
            </w:r>
            <w:r w:rsidR="008241A7">
              <w:rPr>
                <w:szCs w:val="28"/>
                <w:lang w:val="ro-RO"/>
              </w:rPr>
              <w:t>, prevederile prezentului proiect v</w:t>
            </w:r>
            <w:r>
              <w:rPr>
                <w:szCs w:val="28"/>
                <w:lang w:val="ro-RO"/>
              </w:rPr>
              <w:t>or</w:t>
            </w:r>
            <w:r w:rsidR="008241A7">
              <w:rPr>
                <w:szCs w:val="28"/>
                <w:lang w:val="ro-RO"/>
              </w:rPr>
              <w:t xml:space="preserve"> înlătura </w:t>
            </w:r>
            <w:r w:rsidR="008241A7" w:rsidRPr="00122648">
              <w:rPr>
                <w:szCs w:val="28"/>
                <w:lang w:val="ro-RO"/>
              </w:rPr>
              <w:t>impedimente</w:t>
            </w:r>
            <w:r w:rsidR="008241A7">
              <w:rPr>
                <w:szCs w:val="28"/>
                <w:lang w:val="ro-RO"/>
              </w:rPr>
              <w:t>le</w:t>
            </w:r>
            <w:r w:rsidR="008241A7" w:rsidRPr="00122648">
              <w:rPr>
                <w:szCs w:val="28"/>
                <w:lang w:val="ro-RO"/>
              </w:rPr>
              <w:t xml:space="preserve"> </w:t>
            </w:r>
            <w:r w:rsidR="008241A7">
              <w:rPr>
                <w:szCs w:val="28"/>
                <w:lang w:val="ro-RO"/>
              </w:rPr>
              <w:t>apărute</w:t>
            </w:r>
            <w:r w:rsidR="008241A7" w:rsidRPr="00122648">
              <w:rPr>
                <w:szCs w:val="28"/>
                <w:lang w:val="ro-RO"/>
              </w:rPr>
              <w:t xml:space="preserve"> în implementarea Legii nr.279/2017 privind informarea consumatorului cu privire la produsele alimentare</w:t>
            </w:r>
            <w:r w:rsidR="002815EE">
              <w:rPr>
                <w:szCs w:val="28"/>
                <w:lang w:val="ro-RO"/>
              </w:rPr>
              <w:t xml:space="preserve">. </w:t>
            </w:r>
          </w:p>
        </w:tc>
      </w:tr>
      <w:tr w:rsidR="008241A7" w:rsidTr="008241A7">
        <w:tc>
          <w:tcPr>
            <w:tcW w:w="9344" w:type="dxa"/>
          </w:tcPr>
          <w:p w:rsidR="008241A7" w:rsidRPr="008241A7" w:rsidRDefault="008241A7" w:rsidP="008241A7">
            <w:pPr>
              <w:pStyle w:val="a3"/>
              <w:numPr>
                <w:ilvl w:val="0"/>
                <w:numId w:val="1"/>
              </w:numPr>
              <w:ind w:left="993" w:hanging="284"/>
              <w:jc w:val="both"/>
              <w:rPr>
                <w:b/>
                <w:i/>
                <w:szCs w:val="28"/>
                <w:lang w:val="ro-RO"/>
              </w:rPr>
            </w:pPr>
            <w:r w:rsidRPr="00BA044A">
              <w:rPr>
                <w:b/>
                <w:i/>
                <w:szCs w:val="28"/>
                <w:lang w:val="ro-RO"/>
              </w:rPr>
              <w:t>Fun</w:t>
            </w:r>
            <w:r>
              <w:rPr>
                <w:b/>
                <w:i/>
                <w:szCs w:val="28"/>
                <w:lang w:val="ro-RO"/>
              </w:rPr>
              <w:t>damentarea economico-financiară</w:t>
            </w:r>
          </w:p>
        </w:tc>
      </w:tr>
      <w:tr w:rsidR="008241A7" w:rsidTr="008241A7">
        <w:tc>
          <w:tcPr>
            <w:tcW w:w="9344" w:type="dxa"/>
          </w:tcPr>
          <w:p w:rsidR="008241A7" w:rsidRDefault="008241A7" w:rsidP="008241A7">
            <w:pPr>
              <w:ind w:firstLine="709"/>
              <w:jc w:val="both"/>
              <w:rPr>
                <w:szCs w:val="28"/>
                <w:lang w:val="ro-RO"/>
              </w:rPr>
            </w:pPr>
            <w:r w:rsidRPr="00BA044A">
              <w:rPr>
                <w:szCs w:val="28"/>
                <w:lang w:val="ro-RO"/>
              </w:rPr>
              <w:t>Sub aspect financiar şi economic implementarea proiectului de lege nu va necesita finanţare din buget.</w:t>
            </w:r>
          </w:p>
        </w:tc>
      </w:tr>
      <w:tr w:rsidR="008241A7" w:rsidTr="008241A7">
        <w:tc>
          <w:tcPr>
            <w:tcW w:w="9344" w:type="dxa"/>
          </w:tcPr>
          <w:p w:rsidR="008241A7" w:rsidRPr="008241A7" w:rsidRDefault="008241A7" w:rsidP="008241A7">
            <w:pPr>
              <w:pStyle w:val="a3"/>
              <w:numPr>
                <w:ilvl w:val="0"/>
                <w:numId w:val="1"/>
              </w:numPr>
              <w:ind w:left="993" w:hanging="284"/>
              <w:jc w:val="both"/>
              <w:rPr>
                <w:b/>
                <w:i/>
                <w:szCs w:val="28"/>
                <w:lang w:val="ro-RO"/>
              </w:rPr>
            </w:pPr>
            <w:r w:rsidRPr="00BA044A">
              <w:rPr>
                <w:b/>
                <w:i/>
                <w:szCs w:val="28"/>
                <w:lang w:val="ro-RO"/>
              </w:rPr>
              <w:t>Modul de încorporare a actului în cadrul normativ în vigoare</w:t>
            </w:r>
          </w:p>
        </w:tc>
      </w:tr>
      <w:tr w:rsidR="008241A7" w:rsidTr="008241A7">
        <w:tc>
          <w:tcPr>
            <w:tcW w:w="9344" w:type="dxa"/>
          </w:tcPr>
          <w:p w:rsidR="008241A7" w:rsidRPr="00BA044A" w:rsidRDefault="008241A7" w:rsidP="008241A7">
            <w:pPr>
              <w:pStyle w:val="a3"/>
              <w:ind w:left="0" w:firstLine="709"/>
              <w:jc w:val="both"/>
              <w:rPr>
                <w:szCs w:val="28"/>
                <w:lang w:val="ro-RO"/>
              </w:rPr>
            </w:pPr>
            <w:r w:rsidRPr="00BA044A">
              <w:rPr>
                <w:szCs w:val="28"/>
                <w:lang w:val="ro-RO"/>
              </w:rPr>
              <w:t xml:space="preserve">Ca urmare a aprobării proiectului prenotat vor fi </w:t>
            </w:r>
            <w:r>
              <w:rPr>
                <w:szCs w:val="28"/>
                <w:lang w:val="ro-RO"/>
              </w:rPr>
              <w:t xml:space="preserve">ajustate prevederile a </w:t>
            </w:r>
            <w:r w:rsidRPr="00BA044A">
              <w:rPr>
                <w:szCs w:val="28"/>
                <w:lang w:val="ro-RO"/>
              </w:rPr>
              <w:t>un</w:t>
            </w:r>
            <w:r>
              <w:rPr>
                <w:szCs w:val="28"/>
                <w:lang w:val="ro-RO"/>
              </w:rPr>
              <w:t>ui</w:t>
            </w:r>
            <w:r w:rsidRPr="00BA044A">
              <w:rPr>
                <w:szCs w:val="28"/>
                <w:lang w:val="ro-RO"/>
              </w:rPr>
              <w:t xml:space="preserve"> șir de acte </w:t>
            </w:r>
            <w:r>
              <w:rPr>
                <w:szCs w:val="28"/>
                <w:lang w:val="ro-RO"/>
              </w:rPr>
              <w:t xml:space="preserve">legislative </w:t>
            </w:r>
            <w:r w:rsidRPr="00BA044A">
              <w:rPr>
                <w:szCs w:val="28"/>
                <w:lang w:val="ro-RO"/>
              </w:rPr>
              <w:t xml:space="preserve">care fac referință directă la reglementările </w:t>
            </w:r>
            <w:r>
              <w:rPr>
                <w:szCs w:val="28"/>
                <w:lang w:val="ro-RO"/>
              </w:rPr>
              <w:t xml:space="preserve">Legii </w:t>
            </w:r>
            <w:r>
              <w:rPr>
                <w:szCs w:val="28"/>
                <w:lang w:val="ro-RO"/>
              </w:rPr>
              <w:lastRenderedPageBreak/>
              <w:t>nr.78/2004 și a Legii nr.113/2012.</w:t>
            </w:r>
          </w:p>
        </w:tc>
      </w:tr>
      <w:tr w:rsidR="002815EE" w:rsidTr="008241A7">
        <w:tc>
          <w:tcPr>
            <w:tcW w:w="9344" w:type="dxa"/>
          </w:tcPr>
          <w:p w:rsidR="002815EE" w:rsidRPr="00BA044A" w:rsidRDefault="00F05260" w:rsidP="008241A7">
            <w:pPr>
              <w:pStyle w:val="a3"/>
              <w:ind w:left="0" w:firstLine="709"/>
              <w:jc w:val="both"/>
              <w:rPr>
                <w:szCs w:val="28"/>
                <w:lang w:val="ro-RO"/>
              </w:rPr>
            </w:pPr>
            <w:r w:rsidRPr="00F05260">
              <w:rPr>
                <w:b/>
                <w:i/>
                <w:szCs w:val="28"/>
                <w:lang w:val="ro-RO"/>
              </w:rPr>
              <w:lastRenderedPageBreak/>
              <w:t>7</w:t>
            </w:r>
            <w:r>
              <w:rPr>
                <w:szCs w:val="28"/>
                <w:lang w:val="ro-RO"/>
              </w:rPr>
              <w:t>.</w:t>
            </w:r>
            <w:r w:rsidRPr="00EF0154">
              <w:rPr>
                <w:b/>
                <w:i/>
                <w:szCs w:val="28"/>
                <w:lang w:val="ro-RO"/>
              </w:rPr>
              <w:t xml:space="preserve"> </w:t>
            </w:r>
            <w:r w:rsidRPr="00EF0154">
              <w:rPr>
                <w:b/>
                <w:i/>
                <w:szCs w:val="28"/>
                <w:lang w:val="ro-RO"/>
              </w:rPr>
              <w:t>Alte expertize</w:t>
            </w:r>
          </w:p>
        </w:tc>
      </w:tr>
      <w:tr w:rsidR="00F05260" w:rsidTr="008241A7">
        <w:tc>
          <w:tcPr>
            <w:tcW w:w="9344" w:type="dxa"/>
          </w:tcPr>
          <w:p w:rsidR="00F05260" w:rsidRPr="00BA044A" w:rsidRDefault="00F05260" w:rsidP="00F05260">
            <w:pPr>
              <w:ind w:firstLine="699"/>
              <w:jc w:val="both"/>
              <w:rPr>
                <w:szCs w:val="28"/>
                <w:lang w:val="ro-RO"/>
              </w:rPr>
            </w:pPr>
            <w:r>
              <w:rPr>
                <w:szCs w:val="28"/>
                <w:lang w:val="ro-RO"/>
              </w:rPr>
              <w:t>Prezentul p</w:t>
            </w:r>
            <w:r w:rsidRPr="00F05260">
              <w:rPr>
                <w:szCs w:val="28"/>
                <w:lang w:val="ro-RO"/>
              </w:rPr>
              <w:t>roiect</w:t>
            </w:r>
            <w:r>
              <w:rPr>
                <w:szCs w:val="28"/>
                <w:lang w:val="ro-RO"/>
              </w:rPr>
              <w:t xml:space="preserve"> </w:t>
            </w:r>
            <w:r w:rsidRPr="00F05260">
              <w:rPr>
                <w:szCs w:val="28"/>
                <w:lang w:val="ro-RO"/>
              </w:rPr>
              <w:t xml:space="preserve">conţine prevederi ce reglementează activitatea de întreprinzător în contextul Legii nr. 235/2006 cu privire la principiile de bază de reglementare a activităţii de întreprinzător, astfel </w:t>
            </w:r>
            <w:r>
              <w:rPr>
                <w:szCs w:val="28"/>
                <w:lang w:val="ro-RO"/>
              </w:rPr>
              <w:t>Analiza Impactului de Reglementare</w:t>
            </w:r>
            <w:r w:rsidRPr="00F05260">
              <w:rPr>
                <w:szCs w:val="28"/>
                <w:lang w:val="ro-RO"/>
              </w:rPr>
              <w:t xml:space="preserve"> a fost </w:t>
            </w:r>
            <w:r>
              <w:rPr>
                <w:szCs w:val="28"/>
                <w:lang w:val="ro-RO"/>
              </w:rPr>
              <w:t>supus examinării în cadrul</w:t>
            </w:r>
            <w:r w:rsidRPr="00F05260">
              <w:rPr>
                <w:szCs w:val="28"/>
                <w:lang w:val="ro-RO"/>
              </w:rPr>
              <w:t xml:space="preserve"> Grupul</w:t>
            </w:r>
            <w:r>
              <w:rPr>
                <w:szCs w:val="28"/>
                <w:lang w:val="ro-RO"/>
              </w:rPr>
              <w:t>ui</w:t>
            </w:r>
            <w:r w:rsidRPr="00F05260">
              <w:rPr>
                <w:szCs w:val="28"/>
                <w:lang w:val="ro-RO"/>
              </w:rPr>
              <w:t xml:space="preserve"> de lucru pentru reglementarea activităţii de întreprinzător</w:t>
            </w:r>
            <w:r w:rsidRPr="00F05260">
              <w:rPr>
                <w:szCs w:val="28"/>
                <w:lang w:val="ro-RO"/>
              </w:rPr>
              <w:t xml:space="preserve"> </w:t>
            </w:r>
            <w:r>
              <w:rPr>
                <w:szCs w:val="28"/>
                <w:lang w:val="ro-RO"/>
              </w:rPr>
              <w:t xml:space="preserve">și </w:t>
            </w:r>
            <w:r w:rsidRPr="00F05260">
              <w:rPr>
                <w:szCs w:val="28"/>
                <w:lang w:val="ro-RO"/>
              </w:rPr>
              <w:t xml:space="preserve">avizat </w:t>
            </w:r>
            <w:r>
              <w:rPr>
                <w:szCs w:val="28"/>
                <w:lang w:val="ro-RO"/>
              </w:rPr>
              <w:t>parțial pozitiv (conform procesului-verbal nr.26 din data de 26.11.2019)</w:t>
            </w:r>
            <w:r w:rsidRPr="00F05260">
              <w:rPr>
                <w:szCs w:val="28"/>
                <w:lang w:val="ro-RO"/>
              </w:rPr>
              <w:t xml:space="preserve">, </w:t>
            </w:r>
            <w:r>
              <w:rPr>
                <w:szCs w:val="28"/>
                <w:lang w:val="ro-RO"/>
              </w:rPr>
              <w:t xml:space="preserve">cu luarea în considerație a </w:t>
            </w:r>
            <w:r w:rsidRPr="00F05260">
              <w:rPr>
                <w:szCs w:val="28"/>
                <w:lang w:val="ro-RO"/>
              </w:rPr>
              <w:t>obiecțiil</w:t>
            </w:r>
            <w:r>
              <w:rPr>
                <w:szCs w:val="28"/>
                <w:lang w:val="ro-RO"/>
              </w:rPr>
              <w:t>or</w:t>
            </w:r>
            <w:r w:rsidRPr="00F05260">
              <w:rPr>
                <w:szCs w:val="28"/>
                <w:lang w:val="ro-RO"/>
              </w:rPr>
              <w:t xml:space="preserve"> și recomandăril</w:t>
            </w:r>
            <w:r>
              <w:rPr>
                <w:szCs w:val="28"/>
                <w:lang w:val="ro-RO"/>
              </w:rPr>
              <w:t>or.</w:t>
            </w:r>
          </w:p>
        </w:tc>
      </w:tr>
    </w:tbl>
    <w:p w:rsidR="001142BD" w:rsidRPr="00BA044A" w:rsidRDefault="001142BD" w:rsidP="0002790E">
      <w:pPr>
        <w:pStyle w:val="Style3"/>
        <w:widowControl/>
        <w:ind w:left="10"/>
        <w:jc w:val="center"/>
        <w:rPr>
          <w:szCs w:val="28"/>
          <w:lang w:val="ro-RO"/>
        </w:rPr>
      </w:pPr>
    </w:p>
    <w:p w:rsidR="00C253E1" w:rsidRDefault="00C253E1"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CA6893">
      <w:pPr>
        <w:spacing w:after="160" w:line="259" w:lineRule="auto"/>
        <w:jc w:val="center"/>
        <w:rPr>
          <w:rFonts w:eastAsia="Calibri"/>
          <w:b/>
          <w:noProof/>
          <w:szCs w:val="28"/>
        </w:rPr>
      </w:pPr>
      <w:r>
        <w:rPr>
          <w:rFonts w:eastAsia="Calibri"/>
          <w:b/>
          <w:noProof/>
          <w:szCs w:val="28"/>
        </w:rPr>
        <w:t>Ministru</w:t>
      </w:r>
      <w:r>
        <w:rPr>
          <w:rFonts w:eastAsia="Calibri"/>
          <w:b/>
          <w:noProof/>
          <w:szCs w:val="28"/>
        </w:rPr>
        <w:tab/>
      </w:r>
      <w:r>
        <w:rPr>
          <w:rFonts w:eastAsia="Calibri"/>
          <w:b/>
          <w:noProof/>
          <w:szCs w:val="28"/>
        </w:rPr>
        <w:tab/>
      </w:r>
      <w:r>
        <w:rPr>
          <w:rFonts w:eastAsia="Calibri"/>
          <w:b/>
          <w:noProof/>
          <w:szCs w:val="28"/>
        </w:rPr>
        <w:tab/>
      </w:r>
      <w:r>
        <w:rPr>
          <w:rFonts w:eastAsia="Calibri"/>
          <w:b/>
          <w:noProof/>
          <w:szCs w:val="28"/>
        </w:rPr>
        <w:tab/>
      </w:r>
      <w:r>
        <w:rPr>
          <w:rFonts w:eastAsia="Calibri"/>
          <w:b/>
          <w:noProof/>
          <w:szCs w:val="28"/>
        </w:rPr>
        <w:tab/>
      </w:r>
      <w:r>
        <w:rPr>
          <w:rFonts w:eastAsia="Calibri"/>
          <w:b/>
          <w:noProof/>
          <w:szCs w:val="28"/>
        </w:rPr>
        <w:tab/>
      </w:r>
      <w:r>
        <w:rPr>
          <w:rFonts w:eastAsia="Calibri"/>
          <w:b/>
          <w:noProof/>
          <w:szCs w:val="28"/>
        </w:rPr>
        <w:tab/>
      </w:r>
      <w:r>
        <w:rPr>
          <w:rFonts w:eastAsia="Calibri"/>
          <w:b/>
          <w:noProof/>
          <w:szCs w:val="28"/>
        </w:rPr>
        <w:tab/>
        <w:t>Ion PERJU</w:t>
      </w:r>
    </w:p>
    <w:p w:rsidR="00CF10BC" w:rsidRDefault="00CF10BC" w:rsidP="00CF10BC">
      <w:pPr>
        <w:spacing w:after="160" w:line="259" w:lineRule="auto"/>
        <w:rPr>
          <w:rFonts w:eastAsia="Calibri"/>
          <w:b/>
          <w:noProof/>
          <w:szCs w:val="28"/>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bookmarkStart w:id="0" w:name="_GoBack"/>
      <w:bookmarkEnd w:id="0"/>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F10BC" w:rsidRDefault="00CF10BC" w:rsidP="00BA044A">
      <w:pPr>
        <w:pStyle w:val="a3"/>
        <w:spacing w:line="240" w:lineRule="auto"/>
        <w:ind w:left="0" w:firstLine="709"/>
        <w:jc w:val="both"/>
        <w:rPr>
          <w:szCs w:val="28"/>
          <w:lang w:val="ro-RO"/>
        </w:rPr>
      </w:pPr>
    </w:p>
    <w:p w:rsidR="00C253E1" w:rsidRPr="00BA044A" w:rsidRDefault="00C253E1" w:rsidP="00C253E1">
      <w:pPr>
        <w:spacing w:line="240" w:lineRule="auto"/>
        <w:rPr>
          <w:rFonts w:cs="Times New Roman"/>
          <w:i/>
          <w:sz w:val="16"/>
          <w:szCs w:val="16"/>
          <w:lang w:val="ro-RO"/>
        </w:rPr>
      </w:pPr>
      <w:proofErr w:type="spellStart"/>
      <w:r w:rsidRPr="00BA044A">
        <w:rPr>
          <w:rFonts w:cs="Times New Roman"/>
          <w:i/>
          <w:sz w:val="16"/>
          <w:szCs w:val="16"/>
          <w:lang w:val="ro-RO"/>
        </w:rPr>
        <w:t>Ex.Mereuță</w:t>
      </w:r>
      <w:proofErr w:type="spellEnd"/>
      <w:r w:rsidRPr="00BA044A">
        <w:rPr>
          <w:rFonts w:cs="Times New Roman"/>
          <w:i/>
          <w:sz w:val="16"/>
          <w:szCs w:val="16"/>
          <w:lang w:val="ro-RO"/>
        </w:rPr>
        <w:t xml:space="preserve"> Albina</w:t>
      </w:r>
    </w:p>
    <w:p w:rsidR="00C253E1" w:rsidRPr="00BA044A" w:rsidRDefault="00C253E1" w:rsidP="00C253E1">
      <w:pPr>
        <w:spacing w:line="240" w:lineRule="auto"/>
        <w:rPr>
          <w:rFonts w:cs="Times New Roman"/>
          <w:i/>
          <w:sz w:val="16"/>
          <w:szCs w:val="16"/>
          <w:lang w:val="ro-RO"/>
        </w:rPr>
      </w:pPr>
      <w:r w:rsidRPr="00BA044A">
        <w:rPr>
          <w:rFonts w:cs="Times New Roman"/>
          <w:i/>
          <w:sz w:val="16"/>
          <w:szCs w:val="16"/>
          <w:lang w:val="ro-RO"/>
        </w:rPr>
        <w:t>Tel.022 204</w:t>
      </w:r>
      <w:r>
        <w:rPr>
          <w:rFonts w:cs="Times New Roman"/>
          <w:i/>
          <w:sz w:val="16"/>
          <w:szCs w:val="16"/>
          <w:lang w:val="ro-RO"/>
        </w:rPr>
        <w:t> </w:t>
      </w:r>
      <w:r w:rsidRPr="00BA044A">
        <w:rPr>
          <w:rFonts w:cs="Times New Roman"/>
          <w:i/>
          <w:sz w:val="16"/>
          <w:szCs w:val="16"/>
          <w:lang w:val="ro-RO"/>
        </w:rPr>
        <w:t>585</w:t>
      </w:r>
    </w:p>
    <w:sectPr w:rsidR="00C253E1" w:rsidRPr="00BA044A" w:rsidSect="001142BD">
      <w:pgSz w:w="11906" w:h="16838"/>
      <w:pgMar w:top="993" w:right="964" w:bottom="851" w:left="181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87" w:rsidRDefault="00670187" w:rsidP="000C4EA5">
      <w:pPr>
        <w:spacing w:line="240" w:lineRule="auto"/>
      </w:pPr>
      <w:r>
        <w:separator/>
      </w:r>
    </w:p>
  </w:endnote>
  <w:endnote w:type="continuationSeparator" w:id="0">
    <w:p w:rsidR="00670187" w:rsidRDefault="00670187" w:rsidP="000C4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87" w:rsidRDefault="00670187" w:rsidP="000C4EA5">
      <w:pPr>
        <w:spacing w:line="240" w:lineRule="auto"/>
      </w:pPr>
      <w:r>
        <w:separator/>
      </w:r>
    </w:p>
  </w:footnote>
  <w:footnote w:type="continuationSeparator" w:id="0">
    <w:p w:rsidR="00670187" w:rsidRDefault="00670187" w:rsidP="000C4E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D18"/>
    <w:multiLevelType w:val="hybridMultilevel"/>
    <w:tmpl w:val="B8508D44"/>
    <w:lvl w:ilvl="0" w:tplc="8A8A60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F837E6"/>
    <w:multiLevelType w:val="hybridMultilevel"/>
    <w:tmpl w:val="3D541A56"/>
    <w:lvl w:ilvl="0" w:tplc="C380957A">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DA4A2A"/>
    <w:multiLevelType w:val="hybridMultilevel"/>
    <w:tmpl w:val="E274262E"/>
    <w:lvl w:ilvl="0" w:tplc="8A8A60B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6D"/>
    <w:rsid w:val="0002790E"/>
    <w:rsid w:val="0006299E"/>
    <w:rsid w:val="00093443"/>
    <w:rsid w:val="000A2CD3"/>
    <w:rsid w:val="000C4EA5"/>
    <w:rsid w:val="001142BD"/>
    <w:rsid w:val="00122648"/>
    <w:rsid w:val="00162456"/>
    <w:rsid w:val="001C2B41"/>
    <w:rsid w:val="00210245"/>
    <w:rsid w:val="0025561F"/>
    <w:rsid w:val="002815EE"/>
    <w:rsid w:val="002B086D"/>
    <w:rsid w:val="003176F0"/>
    <w:rsid w:val="0035433A"/>
    <w:rsid w:val="00384A6D"/>
    <w:rsid w:val="003A24F4"/>
    <w:rsid w:val="003B5C4B"/>
    <w:rsid w:val="003F13AF"/>
    <w:rsid w:val="004779B3"/>
    <w:rsid w:val="0048158F"/>
    <w:rsid w:val="005123A0"/>
    <w:rsid w:val="00532053"/>
    <w:rsid w:val="00585C7F"/>
    <w:rsid w:val="005A6BD7"/>
    <w:rsid w:val="00631E33"/>
    <w:rsid w:val="00670187"/>
    <w:rsid w:val="006A4E4E"/>
    <w:rsid w:val="006E2980"/>
    <w:rsid w:val="00781879"/>
    <w:rsid w:val="007A4EC2"/>
    <w:rsid w:val="007E5870"/>
    <w:rsid w:val="008241A7"/>
    <w:rsid w:val="00876419"/>
    <w:rsid w:val="00885F25"/>
    <w:rsid w:val="008D1AFD"/>
    <w:rsid w:val="009B20A9"/>
    <w:rsid w:val="00A40C12"/>
    <w:rsid w:val="00AB6219"/>
    <w:rsid w:val="00B22331"/>
    <w:rsid w:val="00B47190"/>
    <w:rsid w:val="00B73918"/>
    <w:rsid w:val="00B878F5"/>
    <w:rsid w:val="00BA044A"/>
    <w:rsid w:val="00BF1720"/>
    <w:rsid w:val="00BF763D"/>
    <w:rsid w:val="00C2018F"/>
    <w:rsid w:val="00C253E1"/>
    <w:rsid w:val="00C52AFA"/>
    <w:rsid w:val="00CA2CB9"/>
    <w:rsid w:val="00CA6893"/>
    <w:rsid w:val="00CF10BC"/>
    <w:rsid w:val="00CF1187"/>
    <w:rsid w:val="00D175CA"/>
    <w:rsid w:val="00DE5FBA"/>
    <w:rsid w:val="00EB0DF6"/>
    <w:rsid w:val="00EB21A1"/>
    <w:rsid w:val="00F05260"/>
    <w:rsid w:val="00F8394F"/>
    <w:rsid w:val="00FC1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384A6D"/>
    <w:pPr>
      <w:widowControl w:val="0"/>
      <w:autoSpaceDE w:val="0"/>
      <w:autoSpaceDN w:val="0"/>
      <w:adjustRightInd w:val="0"/>
      <w:spacing w:line="240" w:lineRule="auto"/>
    </w:pPr>
    <w:rPr>
      <w:rFonts w:eastAsiaTheme="minorEastAsia" w:cs="Times New Roman"/>
      <w:sz w:val="24"/>
      <w:szCs w:val="24"/>
      <w:lang w:eastAsia="ru-RU"/>
    </w:rPr>
  </w:style>
  <w:style w:type="character" w:customStyle="1" w:styleId="FontStyle11">
    <w:name w:val="Font Style11"/>
    <w:basedOn w:val="a0"/>
    <w:uiPriority w:val="99"/>
    <w:rsid w:val="00384A6D"/>
    <w:rPr>
      <w:rFonts w:ascii="Times New Roman" w:hAnsi="Times New Roman" w:cs="Times New Roman"/>
      <w:b/>
      <w:bCs/>
      <w:spacing w:val="10"/>
      <w:sz w:val="24"/>
      <w:szCs w:val="24"/>
    </w:rPr>
  </w:style>
  <w:style w:type="paragraph" w:styleId="a3">
    <w:name w:val="List Paragraph"/>
    <w:basedOn w:val="a"/>
    <w:uiPriority w:val="34"/>
    <w:qFormat/>
    <w:rsid w:val="00CF1187"/>
    <w:pPr>
      <w:ind w:left="720"/>
      <w:contextualSpacing/>
    </w:pPr>
  </w:style>
  <w:style w:type="paragraph" w:styleId="a4">
    <w:name w:val="Balloon Text"/>
    <w:basedOn w:val="a"/>
    <w:link w:val="a5"/>
    <w:uiPriority w:val="99"/>
    <w:semiHidden/>
    <w:unhideWhenUsed/>
    <w:rsid w:val="00EB21A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1A1"/>
    <w:rPr>
      <w:rFonts w:ascii="Tahoma" w:hAnsi="Tahoma" w:cs="Tahoma"/>
      <w:sz w:val="16"/>
      <w:szCs w:val="16"/>
    </w:rPr>
  </w:style>
  <w:style w:type="paragraph" w:styleId="a6">
    <w:name w:val="header"/>
    <w:basedOn w:val="a"/>
    <w:link w:val="a7"/>
    <w:uiPriority w:val="99"/>
    <w:unhideWhenUsed/>
    <w:rsid w:val="000C4EA5"/>
    <w:pPr>
      <w:tabs>
        <w:tab w:val="center" w:pos="4677"/>
        <w:tab w:val="right" w:pos="9355"/>
      </w:tabs>
      <w:spacing w:line="240" w:lineRule="auto"/>
    </w:pPr>
  </w:style>
  <w:style w:type="character" w:customStyle="1" w:styleId="a7">
    <w:name w:val="Верхний колонтитул Знак"/>
    <w:basedOn w:val="a0"/>
    <w:link w:val="a6"/>
    <w:uiPriority w:val="99"/>
    <w:rsid w:val="000C4EA5"/>
  </w:style>
  <w:style w:type="paragraph" w:styleId="a8">
    <w:name w:val="footer"/>
    <w:basedOn w:val="a"/>
    <w:link w:val="a9"/>
    <w:uiPriority w:val="99"/>
    <w:unhideWhenUsed/>
    <w:rsid w:val="000C4EA5"/>
    <w:pPr>
      <w:tabs>
        <w:tab w:val="center" w:pos="4677"/>
        <w:tab w:val="right" w:pos="9355"/>
      </w:tabs>
      <w:spacing w:line="240" w:lineRule="auto"/>
    </w:pPr>
  </w:style>
  <w:style w:type="character" w:customStyle="1" w:styleId="a9">
    <w:name w:val="Нижний колонтитул Знак"/>
    <w:basedOn w:val="a0"/>
    <w:link w:val="a8"/>
    <w:uiPriority w:val="99"/>
    <w:rsid w:val="000C4EA5"/>
  </w:style>
  <w:style w:type="table" w:customStyle="1" w:styleId="1">
    <w:name w:val="Сетка таблицы1"/>
    <w:basedOn w:val="a1"/>
    <w:next w:val="aa"/>
    <w:uiPriority w:val="59"/>
    <w:rsid w:val="00C253E1"/>
    <w:pPr>
      <w:spacing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C253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384A6D"/>
    <w:pPr>
      <w:widowControl w:val="0"/>
      <w:autoSpaceDE w:val="0"/>
      <w:autoSpaceDN w:val="0"/>
      <w:adjustRightInd w:val="0"/>
      <w:spacing w:line="240" w:lineRule="auto"/>
    </w:pPr>
    <w:rPr>
      <w:rFonts w:eastAsiaTheme="minorEastAsia" w:cs="Times New Roman"/>
      <w:sz w:val="24"/>
      <w:szCs w:val="24"/>
      <w:lang w:eastAsia="ru-RU"/>
    </w:rPr>
  </w:style>
  <w:style w:type="character" w:customStyle="1" w:styleId="FontStyle11">
    <w:name w:val="Font Style11"/>
    <w:basedOn w:val="a0"/>
    <w:uiPriority w:val="99"/>
    <w:rsid w:val="00384A6D"/>
    <w:rPr>
      <w:rFonts w:ascii="Times New Roman" w:hAnsi="Times New Roman" w:cs="Times New Roman"/>
      <w:b/>
      <w:bCs/>
      <w:spacing w:val="10"/>
      <w:sz w:val="24"/>
      <w:szCs w:val="24"/>
    </w:rPr>
  </w:style>
  <w:style w:type="paragraph" w:styleId="a3">
    <w:name w:val="List Paragraph"/>
    <w:basedOn w:val="a"/>
    <w:uiPriority w:val="34"/>
    <w:qFormat/>
    <w:rsid w:val="00CF1187"/>
    <w:pPr>
      <w:ind w:left="720"/>
      <w:contextualSpacing/>
    </w:pPr>
  </w:style>
  <w:style w:type="paragraph" w:styleId="a4">
    <w:name w:val="Balloon Text"/>
    <w:basedOn w:val="a"/>
    <w:link w:val="a5"/>
    <w:uiPriority w:val="99"/>
    <w:semiHidden/>
    <w:unhideWhenUsed/>
    <w:rsid w:val="00EB21A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1A1"/>
    <w:rPr>
      <w:rFonts w:ascii="Tahoma" w:hAnsi="Tahoma" w:cs="Tahoma"/>
      <w:sz w:val="16"/>
      <w:szCs w:val="16"/>
    </w:rPr>
  </w:style>
  <w:style w:type="paragraph" w:styleId="a6">
    <w:name w:val="header"/>
    <w:basedOn w:val="a"/>
    <w:link w:val="a7"/>
    <w:uiPriority w:val="99"/>
    <w:unhideWhenUsed/>
    <w:rsid w:val="000C4EA5"/>
    <w:pPr>
      <w:tabs>
        <w:tab w:val="center" w:pos="4677"/>
        <w:tab w:val="right" w:pos="9355"/>
      </w:tabs>
      <w:spacing w:line="240" w:lineRule="auto"/>
    </w:pPr>
  </w:style>
  <w:style w:type="character" w:customStyle="1" w:styleId="a7">
    <w:name w:val="Верхний колонтитул Знак"/>
    <w:basedOn w:val="a0"/>
    <w:link w:val="a6"/>
    <w:uiPriority w:val="99"/>
    <w:rsid w:val="000C4EA5"/>
  </w:style>
  <w:style w:type="paragraph" w:styleId="a8">
    <w:name w:val="footer"/>
    <w:basedOn w:val="a"/>
    <w:link w:val="a9"/>
    <w:uiPriority w:val="99"/>
    <w:unhideWhenUsed/>
    <w:rsid w:val="000C4EA5"/>
    <w:pPr>
      <w:tabs>
        <w:tab w:val="center" w:pos="4677"/>
        <w:tab w:val="right" w:pos="9355"/>
      </w:tabs>
      <w:spacing w:line="240" w:lineRule="auto"/>
    </w:pPr>
  </w:style>
  <w:style w:type="character" w:customStyle="1" w:styleId="a9">
    <w:name w:val="Нижний колонтитул Знак"/>
    <w:basedOn w:val="a0"/>
    <w:link w:val="a8"/>
    <w:uiPriority w:val="99"/>
    <w:rsid w:val="000C4EA5"/>
  </w:style>
  <w:style w:type="table" w:customStyle="1" w:styleId="1">
    <w:name w:val="Сетка таблицы1"/>
    <w:basedOn w:val="a1"/>
    <w:next w:val="aa"/>
    <w:uiPriority w:val="59"/>
    <w:rsid w:val="00C253E1"/>
    <w:pPr>
      <w:spacing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C253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D3AF1-46F2-41FC-AD05-E1F6B077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3</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12</cp:revision>
  <cp:lastPrinted>2019-11-27T14:41:00Z</cp:lastPrinted>
  <dcterms:created xsi:type="dcterms:W3CDTF">2019-10-25T14:05:00Z</dcterms:created>
  <dcterms:modified xsi:type="dcterms:W3CDTF">2019-11-27T16:55:00Z</dcterms:modified>
</cp:coreProperties>
</file>