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EBD" w:rsidRPr="009C3DAE" w:rsidRDefault="00203422" w:rsidP="00203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C3DAE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:rsidR="00203422" w:rsidRPr="000B363C" w:rsidRDefault="00E925B9" w:rsidP="00EC7DE9">
      <w:pPr>
        <w:spacing w:after="0"/>
        <w:jc w:val="center"/>
        <w:rPr>
          <w:b/>
          <w:sz w:val="26"/>
          <w:szCs w:val="26"/>
          <w:lang w:val="ro-RO"/>
        </w:rPr>
      </w:pPr>
      <w:r w:rsidRPr="000B363C">
        <w:rPr>
          <w:rFonts w:ascii="Times New Roman" w:hAnsi="Times New Roman" w:cs="Times New Roman"/>
          <w:sz w:val="26"/>
          <w:szCs w:val="26"/>
          <w:lang w:val="ro-RO"/>
        </w:rPr>
        <w:t>la</w:t>
      </w:r>
      <w:r w:rsidR="00EC7DE9" w:rsidRPr="000B363C">
        <w:rPr>
          <w:rFonts w:ascii="Times New Roman" w:hAnsi="Times New Roman" w:cs="Times New Roman"/>
          <w:sz w:val="26"/>
          <w:szCs w:val="26"/>
          <w:lang w:val="ro-RO"/>
        </w:rPr>
        <w:t xml:space="preserve"> proiectul Hotărârii de Guvern</w:t>
      </w:r>
      <w:r w:rsidRPr="000B363C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EC7DE9" w:rsidRPr="000B363C">
        <w:rPr>
          <w:rFonts w:ascii="Times New Roman" w:hAnsi="Times New Roman" w:cs="Times New Roman"/>
          <w:sz w:val="26"/>
          <w:szCs w:val="26"/>
          <w:lang w:val="ro-RO"/>
        </w:rPr>
        <w:t xml:space="preserve">pentru modificarea anexelor nr. 1 </w:t>
      </w:r>
      <w:proofErr w:type="spellStart"/>
      <w:r w:rsidR="00EC7DE9" w:rsidRPr="000B363C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="00EC7DE9" w:rsidRPr="000B363C">
        <w:rPr>
          <w:rFonts w:ascii="Times New Roman" w:hAnsi="Times New Roman" w:cs="Times New Roman"/>
          <w:sz w:val="26"/>
          <w:szCs w:val="26"/>
          <w:lang w:val="ro-RO"/>
        </w:rPr>
        <w:t xml:space="preserve"> nr. 2 la </w:t>
      </w:r>
      <w:proofErr w:type="spellStart"/>
      <w:r w:rsidR="00EC7DE9" w:rsidRPr="000B363C">
        <w:rPr>
          <w:rFonts w:ascii="Times New Roman" w:hAnsi="Times New Roman" w:cs="Times New Roman"/>
          <w:sz w:val="26"/>
          <w:szCs w:val="26"/>
          <w:lang w:val="ro-RO"/>
        </w:rPr>
        <w:t>Hotărîrea</w:t>
      </w:r>
      <w:proofErr w:type="spellEnd"/>
      <w:r w:rsidR="00EC7DE9" w:rsidRPr="000B363C">
        <w:rPr>
          <w:rFonts w:ascii="Times New Roman" w:hAnsi="Times New Roman" w:cs="Times New Roman"/>
          <w:sz w:val="26"/>
          <w:szCs w:val="26"/>
          <w:lang w:val="ro-RO"/>
        </w:rPr>
        <w:t xml:space="preserve"> Guvernului nr. 206/2019 cu privire la  aprobarea Programului privind repartizarea mijloacelor fondului rutier pentru drumurile publice </w:t>
      </w:r>
      <w:proofErr w:type="spellStart"/>
      <w:r w:rsidR="00EC7DE9" w:rsidRPr="000B363C">
        <w:rPr>
          <w:rFonts w:ascii="Times New Roman" w:hAnsi="Times New Roman" w:cs="Times New Roman"/>
          <w:sz w:val="26"/>
          <w:szCs w:val="26"/>
          <w:lang w:val="ro-RO"/>
        </w:rPr>
        <w:t>naţionale</w:t>
      </w:r>
      <w:proofErr w:type="spellEnd"/>
      <w:r w:rsidR="00EC7DE9" w:rsidRPr="000B363C">
        <w:rPr>
          <w:rFonts w:ascii="Times New Roman" w:hAnsi="Times New Roman" w:cs="Times New Roman"/>
          <w:sz w:val="26"/>
          <w:szCs w:val="26"/>
          <w:lang w:val="ro-RO"/>
        </w:rPr>
        <w:t xml:space="preserve"> pe anul 2019 </w:t>
      </w:r>
      <w:proofErr w:type="spellStart"/>
      <w:r w:rsidR="00EC7DE9" w:rsidRPr="000B363C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="00EC7DE9" w:rsidRPr="000B363C">
        <w:rPr>
          <w:rFonts w:ascii="Times New Roman" w:hAnsi="Times New Roman" w:cs="Times New Roman"/>
          <w:sz w:val="26"/>
          <w:szCs w:val="26"/>
          <w:lang w:val="ro-RO"/>
        </w:rPr>
        <w:t xml:space="preserve"> a Programului de </w:t>
      </w:r>
      <w:proofErr w:type="spellStart"/>
      <w:r w:rsidR="00EC7DE9" w:rsidRPr="000B363C">
        <w:rPr>
          <w:rFonts w:ascii="Times New Roman" w:hAnsi="Times New Roman" w:cs="Times New Roman"/>
          <w:sz w:val="26"/>
          <w:szCs w:val="26"/>
          <w:lang w:val="ro-RO"/>
        </w:rPr>
        <w:t>reparaţie</w:t>
      </w:r>
      <w:proofErr w:type="spellEnd"/>
      <w:r w:rsidR="00EC7DE9" w:rsidRPr="000B363C">
        <w:rPr>
          <w:rFonts w:ascii="Times New Roman" w:hAnsi="Times New Roman" w:cs="Times New Roman"/>
          <w:sz w:val="26"/>
          <w:szCs w:val="26"/>
          <w:lang w:val="ro-RO"/>
        </w:rPr>
        <w:t xml:space="preserve"> periodică a drumurilor publice </w:t>
      </w:r>
      <w:proofErr w:type="spellStart"/>
      <w:r w:rsidR="00EC7DE9" w:rsidRPr="000B363C">
        <w:rPr>
          <w:rFonts w:ascii="Times New Roman" w:hAnsi="Times New Roman" w:cs="Times New Roman"/>
          <w:sz w:val="26"/>
          <w:szCs w:val="26"/>
          <w:lang w:val="ro-RO"/>
        </w:rPr>
        <w:t>naţionale</w:t>
      </w:r>
      <w:proofErr w:type="spellEnd"/>
      <w:r w:rsidR="00EC7DE9" w:rsidRPr="000B363C">
        <w:rPr>
          <w:rFonts w:ascii="Times New Roman" w:hAnsi="Times New Roman" w:cs="Times New Roman"/>
          <w:sz w:val="26"/>
          <w:szCs w:val="26"/>
          <w:lang w:val="ro-RO"/>
        </w:rPr>
        <w:t xml:space="preserve">, locale, comunale </w:t>
      </w:r>
      <w:proofErr w:type="spellStart"/>
      <w:r w:rsidR="00EC7DE9" w:rsidRPr="000B363C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="00EC7DE9" w:rsidRPr="000B363C">
        <w:rPr>
          <w:rFonts w:ascii="Times New Roman" w:hAnsi="Times New Roman" w:cs="Times New Roman"/>
          <w:sz w:val="26"/>
          <w:szCs w:val="26"/>
          <w:lang w:val="ro-RO"/>
        </w:rPr>
        <w:t xml:space="preserve"> a străzilor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15"/>
      </w:tblGrid>
      <w:tr w:rsidR="00203422" w:rsidRPr="009C3DAE" w:rsidTr="000B363C">
        <w:tc>
          <w:tcPr>
            <w:tcW w:w="5000" w:type="pct"/>
          </w:tcPr>
          <w:p w:rsidR="00203422" w:rsidRPr="00BC7D43" w:rsidRDefault="00203422" w:rsidP="00203422">
            <w:pPr>
              <w:numPr>
                <w:ilvl w:val="3"/>
                <w:numId w:val="3"/>
              </w:numPr>
              <w:tabs>
                <w:tab w:val="clear" w:pos="2880"/>
                <w:tab w:val="left" w:pos="284"/>
                <w:tab w:val="left" w:pos="1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BC7D43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 Denumirea autorului </w:t>
            </w:r>
            <w:proofErr w:type="spellStart"/>
            <w:r w:rsidRPr="00BC7D43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şi</w:t>
            </w:r>
            <w:proofErr w:type="spellEnd"/>
            <w:r w:rsidRPr="00BC7D43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, după caz, a </w:t>
            </w:r>
            <w:proofErr w:type="spellStart"/>
            <w:r w:rsidRPr="00BC7D43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participanţilor</w:t>
            </w:r>
            <w:proofErr w:type="spellEnd"/>
            <w:r w:rsidRPr="00BC7D43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 la elaborarea proiectului</w:t>
            </w:r>
          </w:p>
        </w:tc>
      </w:tr>
      <w:tr w:rsidR="00203422" w:rsidRPr="009C3DAE" w:rsidTr="000B363C">
        <w:tc>
          <w:tcPr>
            <w:tcW w:w="5000" w:type="pct"/>
          </w:tcPr>
          <w:p w:rsidR="00203422" w:rsidRPr="00BC7D43" w:rsidRDefault="00203422" w:rsidP="00787DAC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BC7D4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Proiectul este elaborat de Ministerul Economiei și Infrastructurii</w:t>
            </w:r>
          </w:p>
        </w:tc>
      </w:tr>
      <w:tr w:rsidR="00203422" w:rsidRPr="009C3DAE" w:rsidTr="000B363C">
        <w:tc>
          <w:tcPr>
            <w:tcW w:w="5000" w:type="pct"/>
          </w:tcPr>
          <w:p w:rsidR="00203422" w:rsidRPr="00BC7D43" w:rsidRDefault="00203422" w:rsidP="00F32619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BC7D43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2. </w:t>
            </w:r>
            <w:proofErr w:type="spellStart"/>
            <w:r w:rsidRPr="00BC7D43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Condiţiile</w:t>
            </w:r>
            <w:proofErr w:type="spellEnd"/>
            <w:r w:rsidRPr="00BC7D43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 ce au impus elaborarea proiectului de act normativ </w:t>
            </w:r>
            <w:proofErr w:type="spellStart"/>
            <w:r w:rsidRPr="00BC7D43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şi</w:t>
            </w:r>
            <w:proofErr w:type="spellEnd"/>
            <w:r w:rsidRPr="00BC7D43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 </w:t>
            </w:r>
            <w:proofErr w:type="spellStart"/>
            <w:r w:rsidRPr="00BC7D43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finalităţile</w:t>
            </w:r>
            <w:proofErr w:type="spellEnd"/>
            <w:r w:rsidRPr="00BC7D43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 urmărite</w:t>
            </w:r>
          </w:p>
        </w:tc>
      </w:tr>
      <w:tr w:rsidR="00203422" w:rsidRPr="009C3DAE" w:rsidTr="000B363C">
        <w:tc>
          <w:tcPr>
            <w:tcW w:w="5000" w:type="pct"/>
          </w:tcPr>
          <w:p w:rsidR="000B363C" w:rsidRPr="000B363C" w:rsidRDefault="000B363C" w:rsidP="000B36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Conform programului privind repartizarea mijloacelor fondului rutier pentru drumurile publice </w:t>
            </w:r>
            <w:proofErr w:type="spellStart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naţionale</w:t>
            </w:r>
            <w:proofErr w:type="spellEnd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pe anul 2019 </w:t>
            </w:r>
            <w:proofErr w:type="spellStart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şi</w:t>
            </w:r>
            <w:proofErr w:type="spellEnd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a Programului de </w:t>
            </w:r>
            <w:proofErr w:type="spellStart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reparaţie</w:t>
            </w:r>
            <w:proofErr w:type="spellEnd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periodică a drumurilor publice </w:t>
            </w:r>
            <w:proofErr w:type="spellStart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naţionale</w:t>
            </w:r>
            <w:proofErr w:type="spellEnd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, locale, comunale </w:t>
            </w:r>
            <w:proofErr w:type="spellStart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şi</w:t>
            </w:r>
            <w:proofErr w:type="spellEnd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a străzilor, aprobat p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rin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Hotărărea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Guvernului </w:t>
            </w:r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nr. 206 din 03.04.2019 cu modificările </w:t>
            </w:r>
            <w:proofErr w:type="spellStart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şi</w:t>
            </w:r>
            <w:proofErr w:type="spellEnd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completările ulterioare prin </w:t>
            </w:r>
            <w:proofErr w:type="spellStart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Hotărîrea</w:t>
            </w:r>
            <w:proofErr w:type="spellEnd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Guvernului nr. 459  din  25.09.2019, pentru </w:t>
            </w:r>
            <w:proofErr w:type="spellStart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întreţinerea</w:t>
            </w:r>
            <w:proofErr w:type="spellEnd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proofErr w:type="spellStart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şi</w:t>
            </w:r>
            <w:proofErr w:type="spellEnd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proofErr w:type="spellStart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reparaţia</w:t>
            </w:r>
            <w:proofErr w:type="spellEnd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drumurilor publice </w:t>
            </w:r>
            <w:proofErr w:type="spellStart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naţionale</w:t>
            </w:r>
            <w:proofErr w:type="spellEnd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proofErr w:type="spellStart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şi</w:t>
            </w:r>
            <w:proofErr w:type="spellEnd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proofErr w:type="spellStart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construcţiilor</w:t>
            </w:r>
            <w:proofErr w:type="spellEnd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proofErr w:type="spellStart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inginereşti</w:t>
            </w:r>
            <w:proofErr w:type="spellEnd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au fost alocate  1 024 089,1 mii lei. </w:t>
            </w:r>
          </w:p>
          <w:p w:rsidR="000B363C" w:rsidRDefault="000B363C" w:rsidP="000B36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Programul de </w:t>
            </w:r>
            <w:proofErr w:type="spellStart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reparaţie</w:t>
            </w:r>
            <w:proofErr w:type="spellEnd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periodică a drumurilor publice </w:t>
            </w:r>
            <w:proofErr w:type="spellStart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naţionale</w:t>
            </w:r>
            <w:proofErr w:type="spellEnd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, locale, comunale </w:t>
            </w:r>
            <w:proofErr w:type="spellStart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şi</w:t>
            </w:r>
            <w:proofErr w:type="spellEnd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străzilor pe anul 2019 a fost aprobat cu un deficit bugetar. Bugetul Programului </w:t>
            </w:r>
            <w:proofErr w:type="spellStart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menţionat</w:t>
            </w:r>
            <w:proofErr w:type="spellEnd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constituie  1 725,6 milioane lei </w:t>
            </w:r>
            <w:proofErr w:type="spellStart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faţă</w:t>
            </w:r>
            <w:proofErr w:type="spellEnd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de 950 milioane lei alocate în Bugetul de Stat pe anul 2019. </w:t>
            </w:r>
            <w:r w:rsidR="00835C51" w:rsidRPr="00835C51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Pe parcursul anului 2019 au fost executate lucrări în volum de 936 558,43 mii lei.</w:t>
            </w:r>
            <w:bookmarkStart w:id="0" w:name="_GoBack"/>
            <w:bookmarkEnd w:id="0"/>
          </w:p>
          <w:p w:rsidR="000B363C" w:rsidRPr="000B363C" w:rsidRDefault="000B363C" w:rsidP="000B36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Totodată în anul 2019 a apărut necesitatea majorării volumului mijloacelor financiare destinate lucrărilor pentru </w:t>
            </w:r>
            <w:proofErr w:type="spellStart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întreţinerea</w:t>
            </w:r>
            <w:proofErr w:type="spellEnd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de rutină a drumurilor (plombarea gropilor, profilarea </w:t>
            </w:r>
            <w:proofErr w:type="spellStart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părţii</w:t>
            </w:r>
            <w:proofErr w:type="spellEnd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carosabile cu adaos de material, </w:t>
            </w:r>
            <w:proofErr w:type="spellStart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întreţinerea</w:t>
            </w:r>
            <w:proofErr w:type="spellEnd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terasamentului </w:t>
            </w:r>
            <w:proofErr w:type="spellStart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şi</w:t>
            </w:r>
            <w:proofErr w:type="spellEnd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sistemelor de evacuare a apelor, </w:t>
            </w:r>
            <w:proofErr w:type="spellStart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întreţinerea</w:t>
            </w:r>
            <w:proofErr w:type="spellEnd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lucrărilor de artă, lucrări neprevăzute: în caz de </w:t>
            </w:r>
            <w:proofErr w:type="spellStart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inundaţii</w:t>
            </w:r>
            <w:proofErr w:type="spellEnd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, cu spălarea terasamentului </w:t>
            </w:r>
            <w:proofErr w:type="spellStart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şi</w:t>
            </w:r>
            <w:proofErr w:type="spellEnd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distrugerea podurilor, alunecări de teren etc);</w:t>
            </w:r>
          </w:p>
          <w:p w:rsidR="000B363C" w:rsidRPr="000B363C" w:rsidRDefault="000B363C" w:rsidP="000B36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Astfel pe parcursul anului 2019 s-au utilizat pentru lucrările de </w:t>
            </w:r>
            <w:proofErr w:type="spellStart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reparaţie</w:t>
            </w:r>
            <w:proofErr w:type="spellEnd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proofErr w:type="spellStart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şi</w:t>
            </w:r>
            <w:proofErr w:type="spellEnd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proofErr w:type="spellStart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întreţinere</w:t>
            </w:r>
            <w:proofErr w:type="spellEnd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a drumurilor publice mijloace financiare în volum total de  670 860,1 mii lei.</w:t>
            </w:r>
          </w:p>
          <w:p w:rsidR="008D3414" w:rsidRDefault="000B363C" w:rsidP="000B36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proofErr w:type="spellStart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Reieşind</w:t>
            </w:r>
            <w:proofErr w:type="spellEnd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din cele </w:t>
            </w:r>
            <w:proofErr w:type="spellStart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menţionate</w:t>
            </w:r>
            <w:proofErr w:type="spellEnd"/>
            <w:r w:rsidRPr="000B36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se propune redistribuirea mijloacelor fondului rutier pe capitolele de cheltuieli după cum urmează:</w:t>
            </w:r>
          </w:p>
          <w:tbl>
            <w:tblPr>
              <w:tblW w:w="9326" w:type="dxa"/>
              <w:tblInd w:w="96" w:type="dxa"/>
              <w:tblLook w:val="04A0" w:firstRow="1" w:lastRow="0" w:firstColumn="1" w:lastColumn="0" w:noHBand="0" w:noVBand="1"/>
            </w:tblPr>
            <w:tblGrid>
              <w:gridCol w:w="780"/>
              <w:gridCol w:w="4586"/>
              <w:gridCol w:w="1396"/>
              <w:gridCol w:w="1394"/>
              <w:gridCol w:w="1170"/>
            </w:tblGrid>
            <w:tr w:rsidR="000B363C" w:rsidRPr="00682ABB" w:rsidTr="00CD4FA4">
              <w:trPr>
                <w:trHeight w:val="975"/>
              </w:trPr>
              <w:tc>
                <w:tcPr>
                  <w:tcW w:w="53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Articolul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de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cheltuieli</w:t>
                  </w:r>
                  <w:proofErr w:type="spellEnd"/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</w:pPr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  <w:t>Aprobat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Propuneri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de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modificare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Precizat</w:t>
                  </w:r>
                  <w:proofErr w:type="spellEnd"/>
                </w:p>
              </w:tc>
            </w:tr>
            <w:tr w:rsidR="000B363C" w:rsidRPr="00682ABB" w:rsidTr="00CD4FA4">
              <w:trPr>
                <w:trHeight w:val="312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4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3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</w:tr>
            <w:tr w:rsidR="000B363C" w:rsidRPr="00682ABB" w:rsidTr="00CD4FA4">
              <w:trPr>
                <w:trHeight w:val="312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363C" w:rsidRPr="000B363C" w:rsidRDefault="000B363C" w:rsidP="000B363C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Total I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B363C">
                    <w:rPr>
                      <w:rFonts w:ascii="Times New Roman" w:hAnsi="Times New Roman" w:cs="Times New Roman"/>
                      <w:b/>
                      <w:bCs/>
                    </w:rPr>
                    <w:t>1 024 089,1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B363C">
                    <w:rPr>
                      <w:rFonts w:ascii="Times New Roman" w:hAnsi="Times New Roman" w:cs="Times New Roman"/>
                      <w:b/>
                      <w:bCs/>
                    </w:rPr>
                    <w:t>1 024 089,1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</w:tr>
            <w:tr w:rsidR="000B363C" w:rsidRPr="00682ABB" w:rsidTr="00CD4FA4">
              <w:trPr>
                <w:trHeight w:val="312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1.</w:t>
                  </w:r>
                </w:p>
              </w:tc>
              <w:tc>
                <w:tcPr>
                  <w:tcW w:w="4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363C" w:rsidRPr="000B363C" w:rsidRDefault="000B363C" w:rsidP="000B363C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Întreţinerea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drumurilor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- total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B363C">
                    <w:rPr>
                      <w:rFonts w:ascii="Times New Roman" w:hAnsi="Times New Roman" w:cs="Times New Roman"/>
                      <w:b/>
                      <w:bCs/>
                    </w:rPr>
                    <w:t>583 471,1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lang w:val="ro-RO"/>
                    </w:rPr>
                  </w:pPr>
                  <w:r w:rsidRPr="000B363C">
                    <w:rPr>
                      <w:rFonts w:ascii="Times New Roman" w:hAnsi="Times New Roman" w:cs="Times New Roman"/>
                      <w:b/>
                      <w:color w:val="000000"/>
                      <w:lang w:val="ro-RO"/>
                    </w:rPr>
                    <w:t>670 860,1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87</w:t>
                  </w:r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 w:rsidRPr="000B363C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389</w:t>
                  </w:r>
                </w:p>
              </w:tc>
            </w:tr>
            <w:tr w:rsidR="000B363C" w:rsidRPr="00682ABB" w:rsidTr="00CD4FA4">
              <w:trPr>
                <w:trHeight w:val="312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1.1</w:t>
                  </w:r>
                </w:p>
              </w:tc>
              <w:tc>
                <w:tcPr>
                  <w:tcW w:w="45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363C" w:rsidRPr="000B363C" w:rsidRDefault="000B363C" w:rsidP="000B363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inclusiv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:</w:t>
                  </w:r>
                </w:p>
              </w:tc>
              <w:tc>
                <w:tcPr>
                  <w:tcW w:w="139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322 211,10</w:t>
                  </w:r>
                </w:p>
              </w:tc>
              <w:tc>
                <w:tcPr>
                  <w:tcW w:w="1394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430 335,1</w:t>
                  </w:r>
                </w:p>
              </w:tc>
              <w:tc>
                <w:tcPr>
                  <w:tcW w:w="11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108 124</w:t>
                  </w:r>
                </w:p>
              </w:tc>
            </w:tr>
            <w:tr w:rsidR="000B363C" w:rsidRPr="00682ABB" w:rsidTr="00CD4FA4">
              <w:trPr>
                <w:trHeight w:val="1368"/>
              </w:trPr>
              <w:tc>
                <w:tcPr>
                  <w:tcW w:w="7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363C" w:rsidRPr="000B363C" w:rsidRDefault="000B363C" w:rsidP="000B363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363C" w:rsidRPr="000B363C" w:rsidRDefault="000B363C" w:rsidP="000B363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proofErr w:type="gram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întreţinerea</w:t>
                  </w:r>
                  <w:proofErr w:type="spellEnd"/>
                  <w:proofErr w:type="gram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de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rutină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a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drumurilor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(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plombarea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gropilor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,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profilarea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părţii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carosabile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cu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adaos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de material,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întreţinerea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terasamentului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şi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sistemelor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de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evacuare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a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apelor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,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întreţinerea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lucrărilor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de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artă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,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lucrări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neprevăzute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: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în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caz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de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inundaţii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, cu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spălarea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terasamentului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şi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distrugerea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podurilor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,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alunecări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de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teren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etc.);</w:t>
                  </w:r>
                </w:p>
              </w:tc>
              <w:tc>
                <w:tcPr>
                  <w:tcW w:w="139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363C" w:rsidRPr="000B363C" w:rsidRDefault="000B363C" w:rsidP="000B363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94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0B363C" w:rsidRPr="000B363C" w:rsidRDefault="000B363C" w:rsidP="000B363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363C" w:rsidRPr="000B363C" w:rsidRDefault="000B363C" w:rsidP="000B363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0B363C" w:rsidRPr="00682ABB" w:rsidTr="00CD4FA4">
              <w:trPr>
                <w:trHeight w:val="396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1.2</w:t>
                  </w:r>
                </w:p>
              </w:tc>
              <w:tc>
                <w:tcPr>
                  <w:tcW w:w="4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363C" w:rsidRPr="000B363C" w:rsidRDefault="000B363C" w:rsidP="000B363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întreţinerea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periodică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şi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reparaţii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curente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- total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363C">
                    <w:rPr>
                      <w:rFonts w:ascii="Times New Roman" w:hAnsi="Times New Roman" w:cs="Times New Roman"/>
                    </w:rPr>
                    <w:t>57 660</w:t>
                  </w:r>
                </w:p>
              </w:tc>
              <w:tc>
                <w:tcPr>
                  <w:tcW w:w="1394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57 413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-</w:t>
                  </w:r>
                  <w:r w:rsidRPr="000B363C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247</w:t>
                  </w:r>
                </w:p>
              </w:tc>
            </w:tr>
            <w:tr w:rsidR="000B363C" w:rsidRPr="00682ABB" w:rsidTr="00CD4FA4">
              <w:trPr>
                <w:trHeight w:val="255"/>
              </w:trPr>
              <w:tc>
                <w:tcPr>
                  <w:tcW w:w="7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363C" w:rsidRPr="000B363C" w:rsidRDefault="000B363C" w:rsidP="000B363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363C" w:rsidRPr="000B363C" w:rsidRDefault="000B363C" w:rsidP="000B363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inclusiv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: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363C" w:rsidRPr="000B363C" w:rsidRDefault="000B363C" w:rsidP="000B363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0B363C" w:rsidRPr="00682ABB" w:rsidTr="00CD4FA4">
              <w:trPr>
                <w:trHeight w:val="450"/>
              </w:trPr>
              <w:tc>
                <w:tcPr>
                  <w:tcW w:w="7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363C" w:rsidRPr="000B363C" w:rsidRDefault="000B363C" w:rsidP="000B363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363C" w:rsidRPr="000B363C" w:rsidRDefault="000B363C" w:rsidP="000B363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1.2.1)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drumuri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pietruite</w:t>
                  </w:r>
                  <w:proofErr w:type="spellEnd"/>
                </w:p>
              </w:tc>
              <w:tc>
                <w:tcPr>
                  <w:tcW w:w="1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363C">
                    <w:rPr>
                      <w:rFonts w:ascii="Times New Roman" w:hAnsi="Times New Roman" w:cs="Times New Roman"/>
                    </w:rPr>
                    <w:t>20 500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21 137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637</w:t>
                  </w:r>
                </w:p>
              </w:tc>
            </w:tr>
            <w:tr w:rsidR="000B363C" w:rsidRPr="00682ABB" w:rsidTr="00CD4FA4">
              <w:trPr>
                <w:trHeight w:val="495"/>
              </w:trPr>
              <w:tc>
                <w:tcPr>
                  <w:tcW w:w="7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363C" w:rsidRPr="000B363C" w:rsidRDefault="000B363C" w:rsidP="000B363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363C" w:rsidRPr="000B363C" w:rsidRDefault="000B363C" w:rsidP="000B363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1.2.2)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drumuri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asfaltate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(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egalizări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şi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înlocuirea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straturilor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)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363C">
                    <w:rPr>
                      <w:rFonts w:ascii="Times New Roman" w:hAnsi="Times New Roman" w:cs="Times New Roman"/>
                    </w:rPr>
                    <w:t>37 160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36 276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-</w:t>
                  </w:r>
                  <w:r w:rsidRPr="000B363C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884</w:t>
                  </w:r>
                </w:p>
              </w:tc>
            </w:tr>
            <w:tr w:rsidR="000B363C" w:rsidRPr="00682ABB" w:rsidTr="00CD4FA4">
              <w:trPr>
                <w:trHeight w:val="552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1.3</w:t>
                  </w:r>
                </w:p>
              </w:tc>
              <w:tc>
                <w:tcPr>
                  <w:tcW w:w="4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363C" w:rsidRPr="000B363C" w:rsidRDefault="000B363C" w:rsidP="000B363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lucrări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pentru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asigurarea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securităţii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circulaţiei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rutiere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(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marcaj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rutier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, parapet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metalic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,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înlocuirea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şi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reparaţia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indicatoarelor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de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circulaţie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);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363C">
                    <w:rPr>
                      <w:rFonts w:ascii="Times New Roman" w:hAnsi="Times New Roman" w:cs="Times New Roman"/>
                    </w:rPr>
                    <w:t>45 000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50 476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5 </w:t>
                  </w:r>
                  <w:r w:rsidRPr="000B363C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476</w:t>
                  </w:r>
                </w:p>
              </w:tc>
            </w:tr>
            <w:tr w:rsidR="000B363C" w:rsidRPr="00682ABB" w:rsidTr="00CD4FA4">
              <w:trPr>
                <w:trHeight w:val="552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1.4</w:t>
                  </w:r>
                </w:p>
              </w:tc>
              <w:tc>
                <w:tcPr>
                  <w:tcW w:w="4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363C" w:rsidRPr="000B363C" w:rsidRDefault="000B363C" w:rsidP="000B363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lucrări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de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întreţinere,reparaţii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curente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a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lucrărilor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de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artă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(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poduri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,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podeţe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)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363C">
                    <w:rPr>
                      <w:rFonts w:ascii="Times New Roman" w:hAnsi="Times New Roman" w:cs="Times New Roman"/>
                    </w:rPr>
                    <w:t>12 000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16 346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4</w:t>
                  </w:r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Pr="000B363C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346</w:t>
                  </w:r>
                </w:p>
              </w:tc>
            </w:tr>
            <w:tr w:rsidR="000B363C" w:rsidRPr="00682ABB" w:rsidTr="00CD4FA4">
              <w:trPr>
                <w:trHeight w:val="552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1.5</w:t>
                  </w:r>
                </w:p>
              </w:tc>
              <w:tc>
                <w:tcPr>
                  <w:tcW w:w="4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363C" w:rsidRPr="000B363C" w:rsidRDefault="000B363C" w:rsidP="000B363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întreţinerea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drumurilor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pe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timp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de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iarnă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(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deszăpezirea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,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combaterea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poleiului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);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363C">
                    <w:rPr>
                      <w:rFonts w:ascii="Times New Roman" w:hAnsi="Times New Roman" w:cs="Times New Roman"/>
                    </w:rPr>
                    <w:t>110 000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78 500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-31 500</w:t>
                  </w:r>
                </w:p>
              </w:tc>
            </w:tr>
            <w:tr w:rsidR="000B363C" w:rsidRPr="00682ABB" w:rsidTr="00CD4FA4">
              <w:trPr>
                <w:trHeight w:val="552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1.6</w:t>
                  </w:r>
                </w:p>
              </w:tc>
              <w:tc>
                <w:tcPr>
                  <w:tcW w:w="4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363C" w:rsidRPr="000B363C" w:rsidRDefault="000B363C" w:rsidP="000B363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crearea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de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spaţii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verzi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în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zonele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de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protecţie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a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drumurilor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(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plantarea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arborilor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şi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arbuştilor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şi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întreţinerea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lor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);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363C">
                    <w:rPr>
                      <w:rFonts w:ascii="Times New Roman" w:hAnsi="Times New Roman" w:cs="Times New Roman"/>
                    </w:rPr>
                    <w:t>500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71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-4</w:t>
                  </w:r>
                  <w:r w:rsidRPr="000B363C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29</w:t>
                  </w:r>
                </w:p>
              </w:tc>
            </w:tr>
            <w:tr w:rsidR="000B363C" w:rsidRPr="00682ABB" w:rsidTr="00CD4FA4">
              <w:trPr>
                <w:trHeight w:val="639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1.7</w:t>
                  </w:r>
                </w:p>
              </w:tc>
              <w:tc>
                <w:tcPr>
                  <w:tcW w:w="4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B363C" w:rsidRPr="000B363C" w:rsidRDefault="000B363C" w:rsidP="000B363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elaborarea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documentelor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normative,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implementarea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tehnologiilor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moderne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şi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efectuarea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controlului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calităţii</w:t>
                  </w:r>
                  <w:proofErr w:type="spellEnd"/>
                </w:p>
              </w:tc>
              <w:tc>
                <w:tcPr>
                  <w:tcW w:w="1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363C">
                    <w:rPr>
                      <w:rFonts w:ascii="Times New Roman" w:hAnsi="Times New Roman" w:cs="Times New Roman"/>
                    </w:rPr>
                    <w:t>4 100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3 929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-171</w:t>
                  </w:r>
                </w:p>
              </w:tc>
            </w:tr>
            <w:tr w:rsidR="000B363C" w:rsidRPr="00682ABB" w:rsidTr="00CD4FA4">
              <w:trPr>
                <w:trHeight w:val="552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1.8</w:t>
                  </w:r>
                </w:p>
              </w:tc>
              <w:tc>
                <w:tcPr>
                  <w:tcW w:w="4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363C" w:rsidRPr="000B363C" w:rsidRDefault="000B363C" w:rsidP="000B363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administrarea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drumurilor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publice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(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inclusiv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cheltuieli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de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arbitraj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şi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judecată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);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363C">
                    <w:rPr>
                      <w:rFonts w:ascii="Times New Roman" w:hAnsi="Times New Roman" w:cs="Times New Roman"/>
                    </w:rPr>
                    <w:t>32 000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33 790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1</w:t>
                  </w:r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Pr="000B363C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790</w:t>
                  </w:r>
                </w:p>
              </w:tc>
            </w:tr>
            <w:tr w:rsidR="000B363C" w:rsidRPr="00682ABB" w:rsidTr="00CD4FA4">
              <w:trPr>
                <w:trHeight w:val="636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2.</w:t>
                  </w:r>
                </w:p>
              </w:tc>
              <w:tc>
                <w:tcPr>
                  <w:tcW w:w="4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B363C" w:rsidRPr="000B363C" w:rsidRDefault="000B363C" w:rsidP="000B363C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Reparaţia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drumurilor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şi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a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construcţiilor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inginereşti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(conform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anexei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nr.1.1 la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prezentul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Program)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B363C">
                    <w:rPr>
                      <w:rFonts w:ascii="Times New Roman" w:hAnsi="Times New Roman" w:cs="Times New Roman"/>
                      <w:b/>
                      <w:bCs/>
                    </w:rPr>
                    <w:t>281 626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lang w:val="ro-RO"/>
                    </w:rPr>
                  </w:pPr>
                  <w:r w:rsidRPr="000B363C">
                    <w:rPr>
                      <w:rFonts w:ascii="Times New Roman" w:hAnsi="Times New Roman" w:cs="Times New Roman"/>
                      <w:b/>
                      <w:color w:val="000000"/>
                      <w:lang w:val="ro-RO"/>
                    </w:rPr>
                    <w:t xml:space="preserve">199 259 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-</w:t>
                  </w:r>
                  <w:r w:rsidRPr="000B363C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82</w:t>
                  </w:r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Pr="000B363C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367</w:t>
                  </w:r>
                </w:p>
              </w:tc>
            </w:tr>
            <w:tr w:rsidR="000B363C" w:rsidRPr="00682ABB" w:rsidTr="00CD4FA4">
              <w:trPr>
                <w:trHeight w:val="624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3.</w:t>
                  </w:r>
                </w:p>
              </w:tc>
              <w:tc>
                <w:tcPr>
                  <w:tcW w:w="4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363C" w:rsidRPr="000B363C" w:rsidRDefault="000B363C" w:rsidP="000B363C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Executarea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lucrărilor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de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proiectare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,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evaluare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a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drumurilor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şi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procurare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a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terenurilor</w:t>
                  </w:r>
                  <w:proofErr w:type="spellEnd"/>
                </w:p>
              </w:tc>
              <w:tc>
                <w:tcPr>
                  <w:tcW w:w="1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B363C">
                    <w:rPr>
                      <w:rFonts w:ascii="Times New Roman" w:hAnsi="Times New Roman" w:cs="Times New Roman"/>
                      <w:b/>
                      <w:bCs/>
                    </w:rPr>
                    <w:t>20 000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lang w:val="ro-RO"/>
                    </w:rPr>
                  </w:pPr>
                  <w:r w:rsidRPr="000B363C">
                    <w:rPr>
                      <w:rFonts w:ascii="Times New Roman" w:hAnsi="Times New Roman" w:cs="Times New Roman"/>
                      <w:b/>
                      <w:color w:val="000000"/>
                      <w:lang w:val="ro-RO"/>
                    </w:rPr>
                    <w:t>14 978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-5 022</w:t>
                  </w:r>
                </w:p>
              </w:tc>
            </w:tr>
            <w:tr w:rsidR="000B363C" w:rsidRPr="00682ABB" w:rsidTr="00CD4FA4">
              <w:trPr>
                <w:trHeight w:val="684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4.</w:t>
                  </w:r>
                </w:p>
              </w:tc>
              <w:tc>
                <w:tcPr>
                  <w:tcW w:w="4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363C" w:rsidRPr="000B363C" w:rsidRDefault="000B363C" w:rsidP="000B363C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Cofinanţarea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proiectelor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de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reabilitare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a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drumurilor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(conform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anexei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nr.1.2 la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prezentul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Program)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B363C">
                    <w:rPr>
                      <w:rFonts w:ascii="Times New Roman" w:hAnsi="Times New Roman" w:cs="Times New Roman"/>
                      <w:b/>
                      <w:bCs/>
                    </w:rPr>
                    <w:t>33 500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B363C">
                    <w:rPr>
                      <w:rFonts w:ascii="Times New Roman" w:hAnsi="Times New Roman" w:cs="Times New Roman"/>
                      <w:b/>
                      <w:bCs/>
                    </w:rPr>
                    <w:t>33 500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  <w:lang w:val="ro-RO"/>
                    </w:rPr>
                    <w:t>0</w:t>
                  </w:r>
                </w:p>
              </w:tc>
            </w:tr>
            <w:tr w:rsidR="000B363C" w:rsidRPr="00682ABB" w:rsidTr="00CD4FA4">
              <w:trPr>
                <w:trHeight w:val="684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5.</w:t>
                  </w:r>
                </w:p>
              </w:tc>
              <w:tc>
                <w:tcPr>
                  <w:tcW w:w="4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363C" w:rsidRPr="000B363C" w:rsidRDefault="000B363C" w:rsidP="000B363C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Achiziţionarea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sistemului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informatic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de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emitere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,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gestiune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,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monitorizare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şi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control al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vinietei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electronice</w:t>
                  </w:r>
                  <w:proofErr w:type="spellEnd"/>
                </w:p>
              </w:tc>
              <w:tc>
                <w:tcPr>
                  <w:tcW w:w="13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B363C">
                    <w:rPr>
                      <w:rFonts w:ascii="Times New Roman" w:hAnsi="Times New Roman" w:cs="Times New Roman"/>
                      <w:b/>
                      <w:bCs/>
                    </w:rPr>
                    <w:t>2 883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B363C">
                    <w:rPr>
                      <w:rFonts w:ascii="Times New Roman" w:hAnsi="Times New Roman" w:cs="Times New Roman"/>
                      <w:b/>
                      <w:bCs/>
                    </w:rPr>
                    <w:t>2 883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</w:tr>
            <w:tr w:rsidR="000B363C" w:rsidRPr="00682ABB" w:rsidTr="00CD4FA4">
              <w:trPr>
                <w:trHeight w:val="624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6.</w:t>
                  </w:r>
                </w:p>
              </w:tc>
              <w:tc>
                <w:tcPr>
                  <w:tcW w:w="4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B363C" w:rsidRPr="000B363C" w:rsidRDefault="000B363C" w:rsidP="000B363C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Achitarea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datoriilor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pentru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volumele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de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lucrări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valorificate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la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întreţinerea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drumurilor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publice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naţionale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, total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102</w:t>
                  </w:r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  <w:t xml:space="preserve"> </w:t>
                  </w:r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609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102</w:t>
                  </w:r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o-RO"/>
                    </w:rPr>
                    <w:t xml:space="preserve"> </w:t>
                  </w:r>
                  <w:r w:rsidRPr="000B363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609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</w:tr>
            <w:tr w:rsidR="000B363C" w:rsidRPr="00682ABB" w:rsidTr="00CD4FA4">
              <w:trPr>
                <w:trHeight w:val="312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B363C" w:rsidRPr="000B363C" w:rsidRDefault="000B363C" w:rsidP="000B363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5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B363C" w:rsidRPr="000B363C" w:rsidRDefault="000B363C" w:rsidP="000B363C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Inclusiv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363C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  <w:tr w:rsidR="000B363C" w:rsidRPr="00682ABB" w:rsidTr="00CD4FA4">
              <w:trPr>
                <w:trHeight w:val="312"/>
              </w:trPr>
              <w:tc>
                <w:tcPr>
                  <w:tcW w:w="7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363C" w:rsidRPr="000B363C" w:rsidRDefault="000B363C" w:rsidP="000B363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B363C" w:rsidRPr="000B363C" w:rsidRDefault="000B363C" w:rsidP="000B363C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7.1)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formate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la 31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decembrie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2018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100 000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100 000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</w:tr>
            <w:tr w:rsidR="000B363C" w:rsidRPr="00682ABB" w:rsidTr="00CD4FA4">
              <w:trPr>
                <w:trHeight w:val="312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B363C" w:rsidRPr="000B363C" w:rsidRDefault="000B363C" w:rsidP="000B363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B363C" w:rsidRPr="000B363C" w:rsidRDefault="000B363C" w:rsidP="000B363C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7.2)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formate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la 31 </w:t>
                  </w:r>
                  <w:proofErr w:type="spellStart"/>
                  <w:r w:rsidRPr="000B36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decembrie</w:t>
                  </w:r>
                  <w:proofErr w:type="spellEnd"/>
                  <w:r w:rsidRPr="000B363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2015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2 609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2 609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363C" w:rsidRPr="000B363C" w:rsidRDefault="000B363C" w:rsidP="000B363C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B363C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</w:tr>
          </w:tbl>
          <w:p w:rsidR="00E925B9" w:rsidRPr="00BC7D43" w:rsidRDefault="00E925B9" w:rsidP="000B3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203422" w:rsidRPr="009C3DAE" w:rsidTr="000B363C">
        <w:tc>
          <w:tcPr>
            <w:tcW w:w="5000" w:type="pct"/>
          </w:tcPr>
          <w:p w:rsidR="00203422" w:rsidRPr="00BC7D43" w:rsidRDefault="00203422" w:rsidP="00F32619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BC7D43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lastRenderedPageBreak/>
              <w:t>3. Descrierea gradului de compatibilitate pentru proiectele care au ca scop armonizarea legislaţiei naţionale cu legislaţia Uniunii Europene</w:t>
            </w:r>
          </w:p>
        </w:tc>
      </w:tr>
      <w:tr w:rsidR="00203422" w:rsidRPr="00CD4FA4" w:rsidTr="000B363C">
        <w:tc>
          <w:tcPr>
            <w:tcW w:w="5000" w:type="pct"/>
          </w:tcPr>
          <w:p w:rsidR="00203422" w:rsidRPr="00BC7D43" w:rsidRDefault="00225757" w:rsidP="00B51130">
            <w:pPr>
              <w:tabs>
                <w:tab w:val="left" w:pos="-1134"/>
              </w:tabs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BC7D4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Prezentul proiect de act normativ nu contravine legislației Uniunii Europene.</w:t>
            </w:r>
          </w:p>
        </w:tc>
      </w:tr>
      <w:tr w:rsidR="00203422" w:rsidRPr="009C3DAE" w:rsidTr="000B363C">
        <w:tc>
          <w:tcPr>
            <w:tcW w:w="5000" w:type="pct"/>
          </w:tcPr>
          <w:p w:rsidR="00203422" w:rsidRPr="00BC7D43" w:rsidRDefault="00203422" w:rsidP="00F32619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BC7D43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lastRenderedPageBreak/>
              <w:t>4. Principalele prevederi ale proiectului şi evidenţierea elementelor noi</w:t>
            </w:r>
          </w:p>
        </w:tc>
      </w:tr>
      <w:tr w:rsidR="00203422" w:rsidRPr="00E925B9" w:rsidTr="000B363C">
        <w:tc>
          <w:tcPr>
            <w:tcW w:w="5000" w:type="pct"/>
          </w:tcPr>
          <w:p w:rsidR="00203422" w:rsidRPr="00BC7D43" w:rsidRDefault="00203422" w:rsidP="00E925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o-RO"/>
              </w:rPr>
            </w:pPr>
            <w:r w:rsidRPr="00BC7D4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Proiectul iniţiat are drept scop</w:t>
            </w:r>
            <w:r w:rsidR="00BC6CE1" w:rsidRPr="00BC7D4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E925B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modificarea Programului privind </w:t>
            </w:r>
            <w:r w:rsidR="00E925B9" w:rsidRPr="00E925B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repartizarea mijloacelor fondului rutier pentru drumurile publice naționale pe anul 2019</w:t>
            </w:r>
            <w:r w:rsidR="00E925B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și Programului </w:t>
            </w:r>
            <w:r w:rsidR="00E925B9" w:rsidRPr="00E925B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de reparație periodică a drumurilor publice naționale, locale, comunale și străzilor pe anul 2019</w:t>
            </w:r>
            <w:r w:rsidR="00CB15D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</w:tr>
      <w:tr w:rsidR="00203422" w:rsidRPr="009C3DAE" w:rsidTr="000B363C">
        <w:tc>
          <w:tcPr>
            <w:tcW w:w="5000" w:type="pct"/>
          </w:tcPr>
          <w:p w:rsidR="00203422" w:rsidRPr="00BC7D43" w:rsidRDefault="00203422" w:rsidP="00F32619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BC7D43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5. Fundamentarea economico-financiară</w:t>
            </w:r>
          </w:p>
        </w:tc>
      </w:tr>
      <w:tr w:rsidR="00203422" w:rsidRPr="009C3DAE" w:rsidTr="000B363C">
        <w:tc>
          <w:tcPr>
            <w:tcW w:w="5000" w:type="pct"/>
          </w:tcPr>
          <w:p w:rsidR="00CB15D0" w:rsidRPr="00BC7D43" w:rsidRDefault="007E34D9" w:rsidP="00CB15D0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E34D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ab/>
            </w:r>
            <w:r w:rsidR="00CB15D0" w:rsidRPr="00CB15D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Proiectul este elaborat urmare a constatării degradării premature a stării drumurilor din care a apărut necesitatea majorării volumului mijloacelor financiare destinate lucrărilor pentru întreținerea de rutină a drumurilor prin redistribuirea mijloacelor fondului rutier pe capitolele de cheltuieli și a încadra Programul în prevederile legale urmare a executării lucrărilor de reparație.</w:t>
            </w:r>
          </w:p>
        </w:tc>
      </w:tr>
      <w:tr w:rsidR="00203422" w:rsidRPr="009C3DAE" w:rsidTr="000B363C">
        <w:tc>
          <w:tcPr>
            <w:tcW w:w="5000" w:type="pct"/>
          </w:tcPr>
          <w:p w:rsidR="00203422" w:rsidRPr="00BC7D43" w:rsidRDefault="00203422" w:rsidP="00F32619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BC7D43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6. Modul de încorporare a actului în cadrul normativ în vigoare</w:t>
            </w:r>
          </w:p>
        </w:tc>
      </w:tr>
      <w:tr w:rsidR="00203422" w:rsidRPr="009C3DAE" w:rsidTr="000B363C">
        <w:tc>
          <w:tcPr>
            <w:tcW w:w="5000" w:type="pct"/>
          </w:tcPr>
          <w:p w:rsidR="00203422" w:rsidRPr="00BC7D43" w:rsidRDefault="00203422" w:rsidP="00A36D87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BC7D4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Urmare aprobării prezentului proiect de hotărâre de Guvern nu va fi necesară modificarea altor acte normative</w:t>
            </w:r>
            <w:r w:rsidR="00A36D87" w:rsidRPr="00BC7D4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</w:tr>
      <w:tr w:rsidR="00203422" w:rsidRPr="009C3DAE" w:rsidTr="000B363C">
        <w:tc>
          <w:tcPr>
            <w:tcW w:w="5000" w:type="pct"/>
          </w:tcPr>
          <w:p w:rsidR="00203422" w:rsidRPr="00BC7D43" w:rsidRDefault="00203422" w:rsidP="00F32619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BC7D43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7. Avizarea şi consultarea publică a proiectului</w:t>
            </w:r>
          </w:p>
        </w:tc>
      </w:tr>
      <w:tr w:rsidR="00203422" w:rsidRPr="009C3DAE" w:rsidTr="000B363C">
        <w:tc>
          <w:tcPr>
            <w:tcW w:w="5000" w:type="pct"/>
          </w:tcPr>
          <w:p w:rsidR="00203422" w:rsidRPr="00BC7D43" w:rsidRDefault="00203422" w:rsidP="00DC4C6A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BC7D4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Anunţul privind iniţierea procesului de elaborare a proiectului de hotărâre a Guvernului </w:t>
            </w:r>
            <w:r w:rsidR="00E925B9" w:rsidRPr="00E925B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cu privire la aprobarea modificărilor ce se operează în Hotărârea Guvernului nr. 206/2019</w:t>
            </w:r>
            <w:r w:rsidR="00A36D87" w:rsidRPr="00BC7D4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Pr="00BC7D4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a fost plasat pe pagina web a Ministerului </w:t>
            </w:r>
            <w:r w:rsidR="00A36D87" w:rsidRPr="00BC7D4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Economiei și Infrastructurii</w:t>
            </w:r>
            <w:r w:rsidRPr="00BC7D4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hyperlink r:id="rId5" w:history="1">
              <w:r w:rsidR="00F1536D" w:rsidRPr="00BC7D43">
                <w:rPr>
                  <w:rStyle w:val="Hyperlink"/>
                  <w:rFonts w:ascii="Times New Roman" w:hAnsi="Times New Roman" w:cs="Times New Roman"/>
                  <w:sz w:val="26"/>
                  <w:szCs w:val="26"/>
                  <w:lang w:val="ro-RO"/>
                </w:rPr>
                <w:t>www.mei.gov.md</w:t>
              </w:r>
            </w:hyperlink>
            <w:r w:rsidR="00F1536D" w:rsidRPr="00BC7D4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Pr="00BC7D4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(directoriul </w:t>
            </w:r>
            <w:r w:rsidR="00F1536D" w:rsidRPr="00BC7D4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”</w:t>
            </w:r>
            <w:r w:rsidRPr="00BC7D4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Transparenţa decizională” compartimentul </w:t>
            </w:r>
            <w:r w:rsidR="00A36D87" w:rsidRPr="00BC7D4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”</w:t>
            </w:r>
            <w:r w:rsidR="00136B2E" w:rsidRPr="00BC7D4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Anunțuri privind consultările publice</w:t>
            </w:r>
            <w:r w:rsidRPr="00BC7D4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”), conform prevederilor Legii nr. 239/2008 privind transparenţa în procesul decizional.</w:t>
            </w:r>
          </w:p>
        </w:tc>
      </w:tr>
    </w:tbl>
    <w:p w:rsidR="00BC7D43" w:rsidRPr="009C3DAE" w:rsidRDefault="00BC7D4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7E34D9" w:rsidRDefault="007E34D9" w:rsidP="00853A3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E34D9" w:rsidRDefault="007E34D9" w:rsidP="00853A3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C3DAE" w:rsidRPr="009C3DAE" w:rsidRDefault="000B363C" w:rsidP="000B363C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0B363C">
        <w:rPr>
          <w:rFonts w:ascii="Times New Roman" w:hAnsi="Times New Roman" w:cs="Times New Roman"/>
          <w:b/>
          <w:sz w:val="28"/>
          <w:szCs w:val="28"/>
          <w:lang w:val="ro-RO"/>
        </w:rPr>
        <w:t>Ministru</w:t>
      </w:r>
      <w:r w:rsidRPr="000B363C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0B363C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0B363C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0B363C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0B363C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0B363C">
        <w:rPr>
          <w:rFonts w:ascii="Times New Roman" w:hAnsi="Times New Roman" w:cs="Times New Roman"/>
          <w:b/>
          <w:sz w:val="28"/>
          <w:szCs w:val="28"/>
          <w:lang w:val="ro-RO"/>
        </w:rPr>
        <w:tab/>
        <w:t>Anatol USATÎI</w:t>
      </w:r>
    </w:p>
    <w:sectPr w:rsidR="009C3DAE" w:rsidRPr="009C3DAE" w:rsidSect="000B363C">
      <w:pgSz w:w="12240" w:h="15840"/>
      <w:pgMar w:top="709" w:right="810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E48EB"/>
    <w:multiLevelType w:val="hybridMultilevel"/>
    <w:tmpl w:val="6BE213E0"/>
    <w:lvl w:ilvl="0" w:tplc="28FA5DE8">
      <w:start w:val="48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F823582" w:tentative="1">
      <w:start w:val="1"/>
      <w:numFmt w:val="bullet"/>
      <w:lvlText w:val="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2FEA6A5E" w:tentative="1">
      <w:start w:val="1"/>
      <w:numFmt w:val="bullet"/>
      <w:lvlText w:val="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F2C2C20E" w:tentative="1">
      <w:start w:val="1"/>
      <w:numFmt w:val="bullet"/>
      <w:lvlText w:val="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742ED0A" w:tentative="1">
      <w:start w:val="1"/>
      <w:numFmt w:val="bullet"/>
      <w:lvlText w:val="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ED4D374" w:tentative="1">
      <w:start w:val="1"/>
      <w:numFmt w:val="bullet"/>
      <w:lvlText w:val="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CF27316" w:tentative="1">
      <w:start w:val="1"/>
      <w:numFmt w:val="bullet"/>
      <w:lvlText w:val="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827A20FA" w:tentative="1">
      <w:start w:val="1"/>
      <w:numFmt w:val="bullet"/>
      <w:lvlText w:val="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95D0E0D8" w:tentative="1">
      <w:start w:val="1"/>
      <w:numFmt w:val="bullet"/>
      <w:lvlText w:val="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 w15:restartNumberingAfterBreak="0">
    <w:nsid w:val="521F2C3D"/>
    <w:multiLevelType w:val="hybridMultilevel"/>
    <w:tmpl w:val="D8CA3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E137C"/>
    <w:multiLevelType w:val="hybridMultilevel"/>
    <w:tmpl w:val="46CA3E50"/>
    <w:lvl w:ilvl="0" w:tplc="111A84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608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24D8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E0D5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9A7D0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9EC8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AC28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BCB7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04A4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EA8"/>
    <w:rsid w:val="00046459"/>
    <w:rsid w:val="00066EA8"/>
    <w:rsid w:val="000B363C"/>
    <w:rsid w:val="000C238C"/>
    <w:rsid w:val="000D2181"/>
    <w:rsid w:val="00121806"/>
    <w:rsid w:val="00136B2E"/>
    <w:rsid w:val="00137695"/>
    <w:rsid w:val="001D086E"/>
    <w:rsid w:val="001E0BC4"/>
    <w:rsid w:val="001F6591"/>
    <w:rsid w:val="00203422"/>
    <w:rsid w:val="00225757"/>
    <w:rsid w:val="00243775"/>
    <w:rsid w:val="00255642"/>
    <w:rsid w:val="002E1EBD"/>
    <w:rsid w:val="00330F2F"/>
    <w:rsid w:val="00392E7B"/>
    <w:rsid w:val="003E26E2"/>
    <w:rsid w:val="00407636"/>
    <w:rsid w:val="00472B36"/>
    <w:rsid w:val="004750E2"/>
    <w:rsid w:val="005178EC"/>
    <w:rsid w:val="00517F81"/>
    <w:rsid w:val="00606B49"/>
    <w:rsid w:val="00630D47"/>
    <w:rsid w:val="006679D0"/>
    <w:rsid w:val="00673DEF"/>
    <w:rsid w:val="006E45CA"/>
    <w:rsid w:val="00770EF5"/>
    <w:rsid w:val="00787DAC"/>
    <w:rsid w:val="007E34D9"/>
    <w:rsid w:val="00835C51"/>
    <w:rsid w:val="00853A31"/>
    <w:rsid w:val="008B298F"/>
    <w:rsid w:val="008D3414"/>
    <w:rsid w:val="00911569"/>
    <w:rsid w:val="00921D7F"/>
    <w:rsid w:val="009C3DAE"/>
    <w:rsid w:val="00A36D87"/>
    <w:rsid w:val="00A5445E"/>
    <w:rsid w:val="00A62365"/>
    <w:rsid w:val="00A80654"/>
    <w:rsid w:val="00A943FD"/>
    <w:rsid w:val="00B116B6"/>
    <w:rsid w:val="00B14308"/>
    <w:rsid w:val="00B51130"/>
    <w:rsid w:val="00B645CB"/>
    <w:rsid w:val="00B72826"/>
    <w:rsid w:val="00BA3F06"/>
    <w:rsid w:val="00BA5377"/>
    <w:rsid w:val="00BC6CE1"/>
    <w:rsid w:val="00BC7D43"/>
    <w:rsid w:val="00BF46EF"/>
    <w:rsid w:val="00C20A42"/>
    <w:rsid w:val="00C86C32"/>
    <w:rsid w:val="00C90F6E"/>
    <w:rsid w:val="00CB15D0"/>
    <w:rsid w:val="00CB5450"/>
    <w:rsid w:val="00CD4FA4"/>
    <w:rsid w:val="00DA327C"/>
    <w:rsid w:val="00DC4C6A"/>
    <w:rsid w:val="00E925B9"/>
    <w:rsid w:val="00EC7DE9"/>
    <w:rsid w:val="00F1536D"/>
    <w:rsid w:val="00F57782"/>
    <w:rsid w:val="00F72919"/>
    <w:rsid w:val="00F9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D37C71-3617-4476-8F0E-9A052C0D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E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0BC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98F"/>
    <w:rPr>
      <w:rFonts w:ascii="Segoe UI" w:hAnsi="Segoe UI" w:cs="Segoe UI"/>
      <w:sz w:val="18"/>
      <w:szCs w:val="18"/>
    </w:rPr>
  </w:style>
  <w:style w:type="paragraph" w:customStyle="1" w:styleId="tt">
    <w:name w:val="tt"/>
    <w:basedOn w:val="Normal"/>
    <w:uiPriority w:val="99"/>
    <w:semiHidden/>
    <w:rsid w:val="0020342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semiHidden/>
    <w:unhideWhenUsed/>
    <w:rsid w:val="00630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9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9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4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i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927</Words>
  <Characters>5286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Brinister</dc:creator>
  <cp:lastModifiedBy>Eremia</cp:lastModifiedBy>
  <cp:revision>9</cp:revision>
  <cp:lastPrinted>2019-12-23T14:14:00Z</cp:lastPrinted>
  <dcterms:created xsi:type="dcterms:W3CDTF">2019-09-12T11:45:00Z</dcterms:created>
  <dcterms:modified xsi:type="dcterms:W3CDTF">2019-12-23T14:14:00Z</dcterms:modified>
</cp:coreProperties>
</file>