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B6" w:rsidRDefault="00101EB6" w:rsidP="004A6DC3">
      <w:pPr>
        <w:overflowPunct w:val="0"/>
        <w:autoSpaceDE w:val="0"/>
        <w:autoSpaceDN w:val="0"/>
        <w:adjustRightInd w:val="0"/>
        <w:spacing w:after="0" w:line="240" w:lineRule="auto"/>
        <w:ind w:left="709" w:right="5389" w:firstLine="11"/>
        <w:textAlignment w:val="baseline"/>
        <w:rPr>
          <w:rFonts w:ascii="Calibri" w:eastAsia="Times New Roman" w:hAnsi="Calibri" w:cs="Times New Roman"/>
          <w:b/>
          <w:i/>
          <w:sz w:val="18"/>
          <w:szCs w:val="18"/>
          <w:lang w:val="ro-RO" w:eastAsia="ru-RU"/>
        </w:rPr>
      </w:pPr>
    </w:p>
    <w:p w:rsidR="0064055C" w:rsidRPr="00ED4921" w:rsidRDefault="00E50E82" w:rsidP="00685361">
      <w:pPr>
        <w:tabs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ind w:left="709" w:right="5217" w:firstLine="11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ED492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Cu privire la </w:t>
      </w:r>
      <w:r w:rsidR="00E23EC3" w:rsidRPr="00ED492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modificarea și completarea Regulamentului general de metrologie legală RGML 09:2018 </w:t>
      </w:r>
    </w:p>
    <w:p w:rsidR="0036372B" w:rsidRPr="00ED4921" w:rsidRDefault="0036372B" w:rsidP="00E15396">
      <w:pPr>
        <w:overflowPunct w:val="0"/>
        <w:autoSpaceDE w:val="0"/>
        <w:autoSpaceDN w:val="0"/>
        <w:adjustRightInd w:val="0"/>
        <w:spacing w:after="0" w:line="240" w:lineRule="auto"/>
        <w:ind w:right="4393" w:firstLine="720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  <w:lang w:val="ro-RO" w:eastAsia="ru-RU"/>
        </w:rPr>
      </w:pPr>
    </w:p>
    <w:p w:rsidR="00637D6B" w:rsidRPr="00ED4921" w:rsidRDefault="00637D6B" w:rsidP="00101EB6">
      <w:pPr>
        <w:overflowPunct w:val="0"/>
        <w:autoSpaceDE w:val="0"/>
        <w:autoSpaceDN w:val="0"/>
        <w:adjustRightInd w:val="0"/>
        <w:spacing w:after="0" w:line="240" w:lineRule="auto"/>
        <w:ind w:left="709" w:right="2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  <w:r w:rsidRPr="00ED4921">
        <w:rPr>
          <w:rFonts w:ascii="Times New Roman" w:hAnsi="Times New Roman" w:cs="Times New Roman"/>
          <w:sz w:val="26"/>
          <w:szCs w:val="26"/>
          <w:lang w:val="ro-MD"/>
        </w:rPr>
        <w:t>În temei</w:t>
      </w:r>
      <w:r w:rsidR="00A27302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ul prevederilor </w:t>
      </w:r>
      <w:r w:rsidR="00E23EC3" w:rsidRPr="00ED4921">
        <w:rPr>
          <w:rFonts w:ascii="Times New Roman" w:hAnsi="Times New Roman" w:cs="Times New Roman"/>
          <w:sz w:val="26"/>
          <w:szCs w:val="26"/>
          <w:lang w:val="ro-MD"/>
        </w:rPr>
        <w:t>art.5 alin.</w:t>
      </w:r>
      <w:r w:rsidR="00D671A4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23EC3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(3) lit. </w:t>
      </w:r>
      <w:r w:rsidR="00E22988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f) și </w:t>
      </w:r>
      <w:r w:rsidR="00E23EC3" w:rsidRPr="00ED4921">
        <w:rPr>
          <w:rFonts w:ascii="Times New Roman" w:hAnsi="Times New Roman" w:cs="Times New Roman"/>
          <w:sz w:val="26"/>
          <w:szCs w:val="26"/>
          <w:lang w:val="ro-MD"/>
        </w:rPr>
        <w:t>m)</w:t>
      </w:r>
      <w:r w:rsidR="00D671A4" w:rsidRPr="00ED4921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D671A4" w:rsidRPr="00ED4921">
        <w:rPr>
          <w:sz w:val="26"/>
          <w:szCs w:val="26"/>
        </w:rPr>
        <w:t xml:space="preserve"> </w:t>
      </w:r>
      <w:r w:rsidR="00D671A4" w:rsidRPr="00ED4921">
        <w:rPr>
          <w:rFonts w:ascii="Times New Roman" w:hAnsi="Times New Roman" w:cs="Times New Roman"/>
          <w:sz w:val="26"/>
          <w:szCs w:val="26"/>
          <w:lang w:val="ro-MD"/>
        </w:rPr>
        <w:t>art. 6 alin. (2) și art. 10 alin. (3)</w:t>
      </w:r>
      <w:r w:rsidR="00E23EC3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din </w:t>
      </w:r>
      <w:hyperlink r:id="rId8" w:history="1">
        <w:r w:rsidR="005A6DA2" w:rsidRPr="00ED4921">
          <w:rPr>
            <w:rFonts w:ascii="Times New Roman" w:hAnsi="Times New Roman" w:cs="Times New Roman"/>
            <w:sz w:val="26"/>
            <w:szCs w:val="26"/>
            <w:lang w:val="ro-MD"/>
          </w:rPr>
          <w:t>Legea metrologiei nr.19/</w:t>
        </w:r>
        <w:r w:rsidRPr="00ED4921">
          <w:rPr>
            <w:rFonts w:ascii="Times New Roman" w:hAnsi="Times New Roman" w:cs="Times New Roman"/>
            <w:sz w:val="26"/>
            <w:szCs w:val="26"/>
            <w:lang w:val="ro-MD"/>
          </w:rPr>
          <w:t>2016</w:t>
        </w:r>
      </w:hyperlink>
      <w:r w:rsidR="006C3150" w:rsidRPr="00ED4921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22988" w:rsidRPr="00ED4921">
        <w:rPr>
          <w:rFonts w:ascii="Times New Roman" w:hAnsi="Times New Roman" w:cs="Times New Roman"/>
          <w:sz w:val="26"/>
          <w:szCs w:val="26"/>
          <w:lang w:val="ro-MD"/>
        </w:rPr>
        <w:t xml:space="preserve">precum și ținînd cont de recomandarea Consiliului Naţional de Metrologie </w:t>
      </w:r>
      <w:r w:rsidR="00E82F6A" w:rsidRPr="002D10EC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E22988" w:rsidRPr="002D10EC">
        <w:rPr>
          <w:rFonts w:ascii="Times New Roman" w:hAnsi="Times New Roman" w:cs="Times New Roman"/>
          <w:sz w:val="26"/>
          <w:szCs w:val="26"/>
          <w:lang w:val="ro-MD"/>
        </w:rPr>
        <w:t>Procesul verbal nr.</w:t>
      </w:r>
      <w:r w:rsidR="00E82F6A" w:rsidRPr="002D10EC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E22988" w:rsidRPr="002D10EC">
        <w:rPr>
          <w:rFonts w:ascii="Times New Roman" w:hAnsi="Times New Roman" w:cs="Times New Roman"/>
          <w:sz w:val="26"/>
          <w:szCs w:val="26"/>
          <w:lang w:val="ro-MD"/>
        </w:rPr>
        <w:t xml:space="preserve"> din </w:t>
      </w:r>
      <w:r w:rsidR="00E82F6A" w:rsidRPr="002D10E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D10EC">
        <w:rPr>
          <w:rFonts w:ascii="Times New Roman" w:hAnsi="Times New Roman" w:cs="Times New Roman"/>
          <w:sz w:val="26"/>
          <w:szCs w:val="26"/>
          <w:lang w:val="ro-MD"/>
        </w:rPr>
        <w:t>00</w:t>
      </w:r>
      <w:r w:rsidR="00E22988" w:rsidRPr="002D10E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2D10EC">
        <w:rPr>
          <w:rFonts w:ascii="Times New Roman" w:hAnsi="Times New Roman" w:cs="Times New Roman"/>
          <w:sz w:val="26"/>
          <w:szCs w:val="26"/>
          <w:lang w:val="ro-MD"/>
        </w:rPr>
        <w:t>februa</w:t>
      </w:r>
      <w:r w:rsidR="00E82F6A" w:rsidRPr="002D10EC">
        <w:rPr>
          <w:rFonts w:ascii="Times New Roman" w:hAnsi="Times New Roman" w:cs="Times New Roman"/>
          <w:sz w:val="26"/>
          <w:szCs w:val="26"/>
          <w:lang w:val="ro-MD"/>
        </w:rPr>
        <w:t>rie 2020)</w:t>
      </w:r>
      <w:r w:rsidR="00E22988" w:rsidRPr="002D10EC">
        <w:rPr>
          <w:rFonts w:ascii="Times New Roman" w:hAnsi="Times New Roman" w:cs="Times New Roman"/>
          <w:sz w:val="26"/>
          <w:szCs w:val="26"/>
          <w:lang w:val="ro-MD"/>
        </w:rPr>
        <w:t>,</w:t>
      </w:r>
    </w:p>
    <w:p w:rsidR="0036372B" w:rsidRPr="00ED4921" w:rsidRDefault="00AD5761" w:rsidP="0063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ED492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</w:p>
    <w:p w:rsidR="00E50E82" w:rsidRPr="00ED4921" w:rsidRDefault="00E50E82" w:rsidP="00E15396">
      <w:pPr>
        <w:spacing w:after="0" w:line="240" w:lineRule="auto"/>
        <w:ind w:left="709" w:right="56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ED492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O R D O N:</w:t>
      </w:r>
    </w:p>
    <w:p w:rsidR="00E50E82" w:rsidRPr="00ED4921" w:rsidRDefault="00E50E82" w:rsidP="00E50E82">
      <w:pPr>
        <w:spacing w:after="0" w:line="240" w:lineRule="auto"/>
        <w:ind w:left="1416" w:right="141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7C0E6C" w:rsidRPr="00ED4921" w:rsidRDefault="002F1441" w:rsidP="005E78DD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 w:rsidRPr="00ED4921">
        <w:rPr>
          <w:b w:val="0"/>
          <w:sz w:val="26"/>
          <w:szCs w:val="26"/>
          <w:lang w:val="ro-MD"/>
        </w:rPr>
        <w:t>1.</w:t>
      </w:r>
      <w:r w:rsidRPr="00ED4921">
        <w:rPr>
          <w:b w:val="0"/>
          <w:sz w:val="26"/>
          <w:szCs w:val="26"/>
          <w:lang w:val="ro-MD"/>
        </w:rPr>
        <w:tab/>
      </w:r>
      <w:r w:rsidR="007C0E6C" w:rsidRPr="00ED4921">
        <w:rPr>
          <w:b w:val="0"/>
          <w:sz w:val="26"/>
          <w:szCs w:val="26"/>
          <w:lang w:val="ro-MD"/>
        </w:rPr>
        <w:t>Se modifică și se completează Regulamentul general de metrologie legală RGML 09:2018 “Elaborarea, aprobarea, conservarea, utilizarea, compararea, perfecţionarea etaloanelor naţionale ale unităţilor de măsură, precum şi înregistrarea/radierea acestora din Registrul de stat al etaloanelor unităţilor de măsură”, aprobat prin Ordinul Ministerului Economiei şi Infrastructurii nr. 133 din 13 martie 2018, după cum urmează:</w:t>
      </w:r>
    </w:p>
    <w:p w:rsidR="007C0E6C" w:rsidRDefault="007C0E6C" w:rsidP="005E78DD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 w:rsidRPr="00ED4921">
        <w:rPr>
          <w:b w:val="0"/>
          <w:sz w:val="26"/>
          <w:szCs w:val="26"/>
          <w:lang w:val="ro-MD"/>
        </w:rPr>
        <w:t xml:space="preserve">1) </w:t>
      </w:r>
      <w:r w:rsidR="00AA0817">
        <w:rPr>
          <w:b w:val="0"/>
          <w:sz w:val="26"/>
          <w:szCs w:val="26"/>
          <w:lang w:val="ro-MD"/>
        </w:rPr>
        <w:t>La</w:t>
      </w:r>
      <w:r w:rsidRPr="00ED4921">
        <w:rPr>
          <w:b w:val="0"/>
          <w:sz w:val="26"/>
          <w:szCs w:val="26"/>
          <w:lang w:val="ro-MD"/>
        </w:rPr>
        <w:t xml:space="preserve"> </w:t>
      </w:r>
      <w:r w:rsidR="00FB4A04">
        <w:rPr>
          <w:b w:val="0"/>
          <w:sz w:val="26"/>
          <w:szCs w:val="26"/>
          <w:lang w:val="ro-MD"/>
        </w:rPr>
        <w:t>pct. 1</w:t>
      </w:r>
      <w:r w:rsidR="00C00932">
        <w:rPr>
          <w:b w:val="0"/>
          <w:sz w:val="26"/>
          <w:szCs w:val="26"/>
          <w:lang w:val="ro-MD"/>
        </w:rPr>
        <w:t>, al doilea alineat, cuvintele ”precum și racordarea” și cuvintele ”la Sistemul Internațional de Unități (SI)” se exclud.</w:t>
      </w:r>
    </w:p>
    <w:p w:rsidR="00C00932" w:rsidRDefault="00C00932" w:rsidP="005E78DD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2) </w:t>
      </w:r>
      <w:r w:rsidR="00CC5AF7">
        <w:rPr>
          <w:b w:val="0"/>
          <w:sz w:val="26"/>
          <w:szCs w:val="26"/>
          <w:lang w:val="ro-MD"/>
        </w:rPr>
        <w:t>La</w:t>
      </w:r>
      <w:r w:rsidR="00465789">
        <w:rPr>
          <w:b w:val="0"/>
          <w:sz w:val="26"/>
          <w:szCs w:val="26"/>
          <w:lang w:val="ro-MD"/>
        </w:rPr>
        <w:t xml:space="preserve"> pct. 6</w:t>
      </w:r>
      <w:r w:rsidR="005E78DD">
        <w:rPr>
          <w:b w:val="0"/>
          <w:sz w:val="26"/>
          <w:szCs w:val="26"/>
          <w:lang w:val="ro-MD"/>
        </w:rPr>
        <w:t xml:space="preserve">, </w:t>
      </w:r>
      <w:r w:rsidR="0056791A">
        <w:rPr>
          <w:b w:val="0"/>
          <w:sz w:val="26"/>
          <w:szCs w:val="26"/>
          <w:lang w:val="ro-MD"/>
        </w:rPr>
        <w:t>subpct</w:t>
      </w:r>
      <w:r w:rsidR="005E78DD">
        <w:rPr>
          <w:b w:val="0"/>
          <w:sz w:val="26"/>
          <w:szCs w:val="26"/>
          <w:lang w:val="ro-MD"/>
        </w:rPr>
        <w:t>. 4) va avea următorul cuprins:</w:t>
      </w:r>
    </w:p>
    <w:p w:rsidR="005E78DD" w:rsidRDefault="005E78DD" w:rsidP="005E78DD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”</w:t>
      </w:r>
      <w:r w:rsidRPr="005E78DD">
        <w:rPr>
          <w:b w:val="0"/>
          <w:sz w:val="26"/>
          <w:szCs w:val="26"/>
          <w:lang w:val="ro-MD"/>
        </w:rPr>
        <w:t xml:space="preserve">4) studiul de fezabilitate privind elaborarea etalonului naţional </w:t>
      </w:r>
      <w:r w:rsidR="004C318E">
        <w:rPr>
          <w:b w:val="0"/>
          <w:sz w:val="26"/>
          <w:szCs w:val="26"/>
          <w:lang w:val="ro-MD"/>
        </w:rPr>
        <w:t>din punct de vedere a</w:t>
      </w:r>
      <w:r w:rsidR="00F63012">
        <w:rPr>
          <w:b w:val="0"/>
          <w:sz w:val="26"/>
          <w:szCs w:val="26"/>
          <w:lang w:val="ro-MD"/>
        </w:rPr>
        <w:t>l</w:t>
      </w:r>
      <w:r w:rsidRPr="005E78DD">
        <w:rPr>
          <w:b w:val="0"/>
          <w:sz w:val="26"/>
          <w:szCs w:val="26"/>
          <w:lang w:val="ro-MD"/>
        </w:rPr>
        <w:t xml:space="preserve"> posibilită</w:t>
      </w:r>
      <w:r w:rsidR="004C318E">
        <w:rPr>
          <w:b w:val="0"/>
          <w:sz w:val="26"/>
          <w:szCs w:val="26"/>
          <w:lang w:val="ro-MD"/>
        </w:rPr>
        <w:t>ților tehnice de realizare și a</w:t>
      </w:r>
      <w:r w:rsidR="00AA0817">
        <w:rPr>
          <w:b w:val="0"/>
          <w:sz w:val="26"/>
          <w:szCs w:val="26"/>
          <w:lang w:val="ro-MD"/>
        </w:rPr>
        <w:t>l</w:t>
      </w:r>
      <w:r w:rsidRPr="005E78DD">
        <w:rPr>
          <w:b w:val="0"/>
          <w:sz w:val="26"/>
          <w:szCs w:val="26"/>
          <w:lang w:val="ro-MD"/>
        </w:rPr>
        <w:t xml:space="preserve"> rentabilității economice.</w:t>
      </w:r>
    </w:p>
    <w:p w:rsidR="0078246A" w:rsidRDefault="0078246A" w:rsidP="0078246A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3) </w:t>
      </w:r>
      <w:r w:rsidR="00CC5AF7">
        <w:rPr>
          <w:b w:val="0"/>
          <w:sz w:val="26"/>
          <w:szCs w:val="26"/>
          <w:lang w:val="ro-MD"/>
        </w:rPr>
        <w:t>La</w:t>
      </w:r>
      <w:r>
        <w:rPr>
          <w:b w:val="0"/>
          <w:sz w:val="26"/>
          <w:szCs w:val="26"/>
          <w:lang w:val="ro-MD"/>
        </w:rPr>
        <w:t xml:space="preserve"> pct.11 și în pct. 12 </w:t>
      </w:r>
      <w:r w:rsidR="00126EDB">
        <w:rPr>
          <w:b w:val="0"/>
          <w:sz w:val="26"/>
          <w:szCs w:val="26"/>
          <w:lang w:val="ro-MD"/>
        </w:rPr>
        <w:t xml:space="preserve">cuvîntul ”anual” </w:t>
      </w:r>
      <w:r>
        <w:rPr>
          <w:b w:val="0"/>
          <w:sz w:val="26"/>
          <w:szCs w:val="26"/>
          <w:lang w:val="ro-MD"/>
        </w:rPr>
        <w:t>se exclud</w:t>
      </w:r>
      <w:r w:rsidR="00126EDB">
        <w:rPr>
          <w:b w:val="0"/>
          <w:sz w:val="26"/>
          <w:szCs w:val="26"/>
          <w:lang w:val="ro-MD"/>
        </w:rPr>
        <w:t>e</w:t>
      </w:r>
      <w:r>
        <w:rPr>
          <w:b w:val="0"/>
          <w:sz w:val="26"/>
          <w:szCs w:val="26"/>
          <w:lang w:val="ro-MD"/>
        </w:rPr>
        <w:t>.</w:t>
      </w:r>
    </w:p>
    <w:p w:rsidR="0078246A" w:rsidRDefault="0078246A" w:rsidP="0078246A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4) </w:t>
      </w:r>
      <w:r w:rsidR="00F13393">
        <w:rPr>
          <w:b w:val="0"/>
          <w:sz w:val="26"/>
          <w:szCs w:val="26"/>
          <w:lang w:val="ro-MD"/>
        </w:rPr>
        <w:t>Regulamentul s</w:t>
      </w:r>
      <w:r w:rsidR="001E5372">
        <w:rPr>
          <w:b w:val="0"/>
          <w:sz w:val="26"/>
          <w:szCs w:val="26"/>
          <w:lang w:val="ro-MD"/>
        </w:rPr>
        <w:t>e completează cu punctele 13</w:t>
      </w:r>
      <w:r w:rsidR="001E5372" w:rsidRPr="0056791A">
        <w:rPr>
          <w:b w:val="0"/>
          <w:sz w:val="26"/>
          <w:szCs w:val="26"/>
          <w:vertAlign w:val="superscript"/>
          <w:lang w:val="ro-MD"/>
        </w:rPr>
        <w:t>1</w:t>
      </w:r>
      <w:r w:rsidR="001E5372">
        <w:rPr>
          <w:b w:val="0"/>
          <w:sz w:val="26"/>
          <w:szCs w:val="26"/>
          <w:lang w:val="ro-MD"/>
        </w:rPr>
        <w:t xml:space="preserve"> – 13</w:t>
      </w:r>
      <w:r w:rsidR="0056791A">
        <w:rPr>
          <w:b w:val="0"/>
          <w:sz w:val="26"/>
          <w:szCs w:val="26"/>
          <w:vertAlign w:val="superscript"/>
          <w:lang w:val="ro-MD"/>
        </w:rPr>
        <w:t>8</w:t>
      </w:r>
      <w:r w:rsidR="001E5372">
        <w:rPr>
          <w:b w:val="0"/>
          <w:sz w:val="26"/>
          <w:szCs w:val="26"/>
          <w:lang w:val="ro-MD"/>
        </w:rPr>
        <w:t xml:space="preserve"> cu următorul cuprins:</w:t>
      </w:r>
    </w:p>
    <w:p w:rsidR="001E5372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56791A">
        <w:rPr>
          <w:sz w:val="26"/>
          <w:szCs w:val="26"/>
          <w:lang w:val="ro-MD"/>
        </w:rPr>
        <w:t>”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1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Elaborarea etaloanelor naționale este precedată de efectuarea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de către INM a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studiilor de fezabilitate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privind elaborarea 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etalonului naţional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din punct de vedere a</w:t>
      </w:r>
      <w:r w:rsidR="00F63012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posibilităților tehnice de realizare și al rentabilității economice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(în continuare – studiu de fezabilitate)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 Studiul de fezabilitate trebuie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să conţină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o analiză a următoarelor aspecte:</w:t>
      </w:r>
    </w:p>
    <w:p w:rsidR="001E5372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1)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situația tehnico</w:t>
      </w:r>
      <w:r w:rsidRPr="00AD633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-economic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ă</w:t>
      </w:r>
      <w:r w:rsidRPr="00AD633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actuală în domeniul vizat,</w:t>
      </w:r>
      <w:r w:rsidRPr="00E32E4B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cadrul</w:t>
      </w:r>
      <w:r w:rsidRPr="00E32E4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normativ relevant,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practica </w:t>
      </w:r>
      <w:r w:rsidRPr="00E32E4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altor state, inclusiv a ţărilor Uniunii Europene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E32E4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la acest capitol;</w:t>
      </w:r>
    </w:p>
    <w:p w:rsidR="001E5372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2) </w:t>
      </w:r>
      <w:r w:rsidRPr="00AD633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principalele costuri şi beneficii potenţiale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(cuantificate)</w:t>
      </w:r>
      <w:r w:rsidRPr="00AD633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C326D9">
        <w:t xml:space="preserve"> </w:t>
      </w:r>
      <w:r w:rsidRPr="00C326D9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confirmate prin dovezi şi presupuneri argumentate, care pot fi inclusiv economice, sociale şi de mediu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 sursele de finanțare;</w:t>
      </w:r>
    </w:p>
    <w:p w:rsidR="001E5372" w:rsidRDefault="00B6139A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B74F4F">
        <w:rPr>
          <w:rFonts w:asciiTheme="majorHAnsi" w:hAnsiTheme="majorHAnsi" w:cstheme="majorHAnsi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99FD7" wp14:editId="04F5E030">
                <wp:simplePos x="0" y="0"/>
                <wp:positionH relativeFrom="margin">
                  <wp:posOffset>493395</wp:posOffset>
                </wp:positionH>
                <wp:positionV relativeFrom="paragraph">
                  <wp:posOffset>531495</wp:posOffset>
                </wp:positionV>
                <wp:extent cx="62045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40D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85pt,41.85pt" to="527.4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E5372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3) evaluarea tehnică. 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Se analizeaz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ă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dac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ă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1E537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etalonul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este realizabil din punct de vedere tehnic / tehnolo</w:t>
      </w:r>
      <w:r w:rsidR="001E537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gic. Se analizează componentele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, procesele, produsele, programele aplicate. </w:t>
      </w:r>
      <w:r w:rsidR="001E537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Se </w:t>
      </w:r>
      <w:r w:rsidR="001E537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lastRenderedPageBreak/>
        <w:t>supun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analizei 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ş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i factorii specifici cum ar fi disponibilitatea tehnologiilor informa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ţ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ionale, personal calificat 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ş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i expertiz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ă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specific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ă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1E5372" w:rsidRPr="007F3496">
        <w:rPr>
          <w:rFonts w:ascii="Times New Roman" w:hAnsi="Times New Roman" w:cs="Times New Roman" w:hint="eastAsia"/>
          <w:color w:val="333333"/>
          <w:sz w:val="26"/>
          <w:szCs w:val="26"/>
          <w:shd w:val="clear" w:color="auto" w:fill="FFFFFF"/>
          <w:lang w:val="ro-RO"/>
        </w:rPr>
        <w:t>î</w:t>
      </w:r>
      <w:r w:rsidR="001E5372" w:rsidRPr="007F349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ro-RO"/>
        </w:rPr>
        <w:t>n domeniu</w:t>
      </w:r>
      <w:r w:rsidR="001E5372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 Se analizează etapele de realizare și durata elaborării. Se prezintă caracteristicile tehnice,  planul de punere în funcțiune și de implementare al etalonului;</w:t>
      </w:r>
    </w:p>
    <w:p w:rsidR="001E5372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4) </w:t>
      </w:r>
      <w:r w:rsidRPr="00AD633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părţile interesate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</w:t>
      </w:r>
    </w:p>
    <w:p w:rsidR="001E5372" w:rsidRPr="00B5643C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2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 de fezabilitate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enunţat în pct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3</w:t>
      </w:r>
      <w:r w:rsidRPr="00605086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 w:eastAsia="en-GB"/>
        </w:rPr>
        <w:t>1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din prezentul regulament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se examinează de către CNM.</w:t>
      </w:r>
    </w:p>
    <w:p w:rsidR="001E5372" w:rsidRPr="00605086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3</w:t>
      </w:r>
      <w:r w:rsidRPr="00F5722B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Urmare a examinării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studiului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de fezabilitate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prezentat, CNM emite recomandarea cu privire la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oportunitatea elaborării </w:t>
      </w:r>
      <w:r w:rsidRPr="004330B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etalonului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respectiv și aprobă</w:t>
      </w:r>
      <w:r w:rsidRPr="00756F5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r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ii</w:t>
      </w:r>
      <w:r w:rsidRPr="00756F5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ulterioare a acestuia, </w:t>
      </w:r>
      <w:r w:rsidRPr="00756F5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de către MEI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9E05C0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în calitate de etalon naţional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</w:t>
      </w:r>
      <w:r w:rsidRPr="00AC1969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</w:p>
    <w:p w:rsidR="001E5372" w:rsidRPr="00605086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4</w:t>
      </w:r>
      <w:r w:rsidRPr="00B5643C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Dacă în urma examinării au fost depistate neconformităţi în baza cărora CNM nu recomandă </w:t>
      </w:r>
      <w:r w:rsidRPr="008F2F9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elabor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area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Pr="00607DD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etalonului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corespunzător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 INM ia măsurile necesare în vederea eliminării neconformităţilor depistate.</w:t>
      </w:r>
    </w:p>
    <w:p w:rsidR="001E5372" w:rsidRPr="00605086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5</w:t>
      </w:r>
      <w:r w:rsidRPr="00B5643C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După eliminarea neconformităţilor menţionate la pct.</w:t>
      </w:r>
      <w:r w:rsidRPr="008F2F95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13</w:t>
      </w:r>
      <w:r w:rsidRPr="00605086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 w:eastAsia="en-GB"/>
        </w:rPr>
        <w:t>4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din prezentul regulament, INM prezintă repetat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 de fezabilitate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pentru examinare în cadrul CNM.</w:t>
      </w:r>
    </w:p>
    <w:p w:rsidR="001E5372" w:rsidRPr="00605086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13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6</w:t>
      </w:r>
      <w:r w:rsidRPr="00B5643C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Ca rezultat al examinării </w:t>
      </w:r>
      <w:r w:rsidRPr="008F2F9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ui</w:t>
      </w:r>
      <w:r w:rsidRPr="008F2F9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de fezabilitate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în cadrul CNM şi obţinerii recomandării pentru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elaborarea etalonului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INM inițiază elaborarea etalonului.</w:t>
      </w:r>
    </w:p>
    <w:p w:rsidR="001E5372" w:rsidRPr="00C015AD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13</w:t>
      </w:r>
      <w:r w:rsidRPr="007F3496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ro-RO" w:eastAsia="en-GB"/>
        </w:rPr>
        <w:t>7</w:t>
      </w:r>
      <w:r w:rsidRPr="00C015AD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.</w:t>
      </w:r>
      <w:r w:rsidRPr="00C015A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Proiectele de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elaborare </w:t>
      </w:r>
      <w:r w:rsidRPr="00C015A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se examinează în cadrul Consiliului Tehnico-Ştiinţific al INM.</w:t>
      </w:r>
    </w:p>
    <w:p w:rsidR="001E5372" w:rsidRDefault="001E5372" w:rsidP="00126ED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13</w:t>
      </w:r>
      <w:r w:rsidRPr="007F3496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ro-RO" w:eastAsia="en-GB"/>
        </w:rPr>
        <w:t>8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.</w:t>
      </w:r>
      <w:r w:rsidRPr="00C015A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În cazul recomandării pozitive a Consiliului Tehnico-Ştiinţific al INM,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setul de documente menționat la pct.1</w:t>
      </w:r>
      <w:r w:rsidR="00EA7F8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8</w:t>
      </w:r>
      <w:r w:rsidRPr="00C015A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se prezintă MEI pentru aprobare.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”.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</w:p>
    <w:p w:rsidR="001E5372" w:rsidRDefault="00126EDB" w:rsidP="0078246A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5</w:t>
      </w:r>
      <w:r>
        <w:rPr>
          <w:b w:val="0"/>
          <w:sz w:val="26"/>
          <w:szCs w:val="26"/>
          <w:lang w:val="ro-MD"/>
        </w:rPr>
        <w:t xml:space="preserve">) </w:t>
      </w:r>
      <w:r>
        <w:rPr>
          <w:b w:val="0"/>
          <w:sz w:val="26"/>
          <w:szCs w:val="26"/>
          <w:lang w:val="ro-MD"/>
        </w:rPr>
        <w:t>Pct. 15</w:t>
      </w:r>
      <w:r>
        <w:rPr>
          <w:b w:val="0"/>
          <w:sz w:val="26"/>
          <w:szCs w:val="26"/>
          <w:lang w:val="ro-MD"/>
        </w:rPr>
        <w:t xml:space="preserve"> va avea următorul cuprins:</w:t>
      </w:r>
    </w:p>
    <w:p w:rsidR="00126EDB" w:rsidRDefault="00126EDB" w:rsidP="00126EDB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”</w:t>
      </w:r>
      <w:r w:rsidR="00311429" w:rsidRPr="00311429">
        <w:t xml:space="preserve"> </w:t>
      </w:r>
      <w:r w:rsidR="00311429" w:rsidRPr="00311429">
        <w:rPr>
          <w:b w:val="0"/>
          <w:sz w:val="26"/>
          <w:szCs w:val="26"/>
          <w:lang w:val="ro-MD"/>
        </w:rPr>
        <w:t>15. Aprobarea este o etapă obligatorie, rezultată din examinarea de către MEI a setului de documente al etalonului, prezentat de INM.</w:t>
      </w:r>
      <w:r w:rsidR="00311429">
        <w:rPr>
          <w:b w:val="0"/>
          <w:sz w:val="26"/>
          <w:szCs w:val="26"/>
          <w:lang w:val="ro-MD"/>
        </w:rPr>
        <w:t>”.</w:t>
      </w:r>
    </w:p>
    <w:p w:rsidR="00311429" w:rsidRDefault="00311429" w:rsidP="00311429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6) Pct. 17, pct. 20</w:t>
      </w:r>
      <w:r w:rsidR="00B918A2">
        <w:rPr>
          <w:b w:val="0"/>
          <w:sz w:val="26"/>
          <w:szCs w:val="26"/>
          <w:lang w:val="ro-MD"/>
        </w:rPr>
        <w:t xml:space="preserve"> și pct. 34 se exclud</w:t>
      </w:r>
      <w:r>
        <w:rPr>
          <w:b w:val="0"/>
          <w:sz w:val="26"/>
          <w:szCs w:val="26"/>
          <w:lang w:val="ro-MD"/>
        </w:rPr>
        <w:t>.</w:t>
      </w:r>
    </w:p>
    <w:p w:rsidR="00311429" w:rsidRDefault="00311429" w:rsidP="00311429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7</w:t>
      </w:r>
      <w:r w:rsidR="00B918A2">
        <w:rPr>
          <w:b w:val="0"/>
          <w:sz w:val="26"/>
          <w:szCs w:val="26"/>
          <w:lang w:val="ro-MD"/>
        </w:rPr>
        <w:t>) Pct. 18 va avea următorul cuprins: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”</w:t>
      </w:r>
      <w:r w:rsidRPr="00B918A2">
        <w:rPr>
          <w:sz w:val="26"/>
          <w:szCs w:val="26"/>
          <w:lang w:val="ro-MD"/>
        </w:rPr>
        <w:t>18.</w:t>
      </w:r>
      <w:r>
        <w:rPr>
          <w:b w:val="0"/>
          <w:sz w:val="26"/>
          <w:szCs w:val="26"/>
          <w:lang w:val="ro-MD"/>
        </w:rPr>
        <w:t xml:space="preserve"> </w:t>
      </w:r>
      <w:r w:rsidRPr="00B918A2">
        <w:rPr>
          <w:b w:val="0"/>
          <w:sz w:val="26"/>
          <w:szCs w:val="26"/>
          <w:lang w:val="ro-MD"/>
        </w:rPr>
        <w:t>În scopul aprobării etalonului în calitate de naţional, INM prezintă MEI spre examinare setul de documente care trebuie să conţină: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1) referatul cu privire la etalonul unităţii de măsură, conform Anexei nr.1 la prezentul regulament;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2) fişa tehnică a etalonului, conform Anexei nr.2 la prezentul regulament;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3) regulile de conservare şi utilizare al etalonului, conform Anexei nr.3 la prezentul regulament;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4) datele informative despre etalon pentru introducerea în registru de stat al etaloanelor unităţilor de măsură, conform Anexei nr.4 la prezentul regulament;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5) scheme naţionale de trasabilitate a unităţii de măsură;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6) programul de implementare a etalonului şi a schemei de trasabilitate;</w:t>
      </w:r>
    </w:p>
    <w:p w:rsidR="00B918A2" w:rsidRP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7) certificatul care atestă că laboratoarele de etalonări din cadrul INM, în care urmează a fi conservate, menţinute şi utilizate etaloanele naţionale, îndeplinesc cerinţele sistemului de management al calităţii în conformitate cu standardul de referinţa SM EN ISO/IEC 17025 „Cerinţe generale pentru competenţa laboratoarelor de încercări şi etalonări”;</w:t>
      </w:r>
    </w:p>
    <w:p w:rsidR="00B918A2" w:rsidRDefault="00B918A2" w:rsidP="00B918A2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 w:rsidRPr="00B918A2">
        <w:rPr>
          <w:b w:val="0"/>
          <w:sz w:val="26"/>
          <w:szCs w:val="26"/>
          <w:lang w:val="ro-MD"/>
        </w:rPr>
        <w:t>8) studiul de fezabilitate cu recomandarea respectivă a CNM.</w:t>
      </w:r>
      <w:r>
        <w:rPr>
          <w:b w:val="0"/>
          <w:sz w:val="26"/>
          <w:szCs w:val="26"/>
          <w:lang w:val="ro-MD"/>
        </w:rPr>
        <w:t>”.</w:t>
      </w:r>
    </w:p>
    <w:p w:rsidR="00B918A2" w:rsidRDefault="00B918A2" w:rsidP="00B918A2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8) </w:t>
      </w:r>
      <w:r w:rsidR="00CC5AF7">
        <w:rPr>
          <w:b w:val="0"/>
          <w:sz w:val="26"/>
          <w:szCs w:val="26"/>
          <w:lang w:val="ro-MD"/>
        </w:rPr>
        <w:t>La</w:t>
      </w:r>
      <w:r w:rsidR="00EE31D4">
        <w:rPr>
          <w:b w:val="0"/>
          <w:sz w:val="26"/>
          <w:szCs w:val="26"/>
          <w:lang w:val="ro-MD"/>
        </w:rPr>
        <w:t xml:space="preserve"> pct. 19 și pct. 22 abrevierea ”CNM” se substituie cu abrevierea ”MEI”.</w:t>
      </w:r>
    </w:p>
    <w:p w:rsidR="00EE31D4" w:rsidRDefault="00EE31D4" w:rsidP="00B918A2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9) Pct. 21 va avea următorul cuprins:</w:t>
      </w:r>
    </w:p>
    <w:p w:rsidR="00EE31D4" w:rsidRDefault="00EE31D4" w:rsidP="00EE31D4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”</w:t>
      </w:r>
      <w:r w:rsidRPr="00EE31D4">
        <w:rPr>
          <w:sz w:val="26"/>
          <w:szCs w:val="26"/>
          <w:lang w:val="ro-MD"/>
        </w:rPr>
        <w:t>21.</w:t>
      </w:r>
      <w:r w:rsidRPr="00EE31D4">
        <w:rPr>
          <w:b w:val="0"/>
          <w:sz w:val="26"/>
          <w:szCs w:val="26"/>
          <w:lang w:val="ro-MD"/>
        </w:rPr>
        <w:t xml:space="preserve"> Dacă în urma examinării au fost depistate neconformităţi în baza cărora MEI nu poate aproba etalonul în calitate de etalon naţional, INM ia măsurile necesare în vederea eliminării neconformităţilor depistate.</w:t>
      </w:r>
      <w:r>
        <w:rPr>
          <w:b w:val="0"/>
          <w:sz w:val="26"/>
          <w:szCs w:val="26"/>
          <w:lang w:val="ro-MD"/>
        </w:rPr>
        <w:t>”.</w:t>
      </w:r>
    </w:p>
    <w:p w:rsidR="00EE31D4" w:rsidRDefault="00EE31D4" w:rsidP="00EE31D4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 xml:space="preserve">10) </w:t>
      </w:r>
      <w:r w:rsidR="00BF324E" w:rsidRPr="00BF324E">
        <w:rPr>
          <w:b w:val="0"/>
          <w:sz w:val="26"/>
          <w:szCs w:val="26"/>
          <w:lang w:val="ro-MD"/>
        </w:rPr>
        <w:t>Pct. 2</w:t>
      </w:r>
      <w:r w:rsidR="00BF324E">
        <w:rPr>
          <w:b w:val="0"/>
          <w:sz w:val="26"/>
          <w:szCs w:val="26"/>
          <w:lang w:val="ro-MD"/>
        </w:rPr>
        <w:t>3</w:t>
      </w:r>
      <w:r w:rsidR="00BF324E" w:rsidRPr="00BF324E">
        <w:rPr>
          <w:b w:val="0"/>
          <w:sz w:val="26"/>
          <w:szCs w:val="26"/>
          <w:lang w:val="ro-MD"/>
        </w:rPr>
        <w:t xml:space="preserve"> va avea următorul cuprins:</w:t>
      </w:r>
    </w:p>
    <w:p w:rsidR="00BF324E" w:rsidRDefault="00BF324E" w:rsidP="00BF324E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lastRenderedPageBreak/>
        <w:t>”</w:t>
      </w:r>
      <w:r w:rsidRPr="00BF324E">
        <w:rPr>
          <w:sz w:val="26"/>
          <w:szCs w:val="26"/>
          <w:lang w:val="ro-RO"/>
        </w:rPr>
        <w:t>23.</w:t>
      </w:r>
      <w:r w:rsidRPr="00BF324E">
        <w:rPr>
          <w:b w:val="0"/>
          <w:sz w:val="26"/>
          <w:szCs w:val="26"/>
          <w:lang w:val="ro-RO"/>
        </w:rPr>
        <w:t xml:space="preserve"> Ca rezultat al examinării setului de documente</w:t>
      </w:r>
      <w:r>
        <w:rPr>
          <w:b w:val="0"/>
          <w:sz w:val="26"/>
          <w:szCs w:val="26"/>
          <w:lang w:val="ro-RO"/>
        </w:rPr>
        <w:t>,</w:t>
      </w:r>
      <w:r w:rsidRPr="00BF324E">
        <w:rPr>
          <w:b w:val="0"/>
          <w:sz w:val="26"/>
          <w:szCs w:val="26"/>
          <w:lang w:val="ro-RO"/>
        </w:rPr>
        <w:t xml:space="preserve"> MEI emite ordinul de aprobare a etalonului în calitate de etalon naţional. Ulterior, ordinul se transmite pentru publicare în Monitorul Oficial al Republicii Moldova, pe pagina web a MEI şi INM, precum şi în revista „Metrologie”.</w:t>
      </w:r>
      <w:r>
        <w:rPr>
          <w:b w:val="0"/>
          <w:sz w:val="26"/>
          <w:szCs w:val="26"/>
          <w:lang w:val="ro-RO"/>
        </w:rPr>
        <w:t>”.</w:t>
      </w:r>
    </w:p>
    <w:p w:rsidR="00BF324E" w:rsidRDefault="00BF324E" w:rsidP="00EE31D4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11) Pct. 24 se completează cu subp</w:t>
      </w:r>
      <w:r w:rsidR="00EA7F88">
        <w:rPr>
          <w:b w:val="0"/>
          <w:sz w:val="26"/>
          <w:szCs w:val="26"/>
          <w:lang w:val="ro-RO"/>
        </w:rPr>
        <w:t>ct.</w:t>
      </w:r>
      <w:r>
        <w:rPr>
          <w:b w:val="0"/>
          <w:sz w:val="26"/>
          <w:szCs w:val="26"/>
          <w:lang w:val="ro-RO"/>
        </w:rPr>
        <w:t xml:space="preserve"> 8) cu următorul cuprins:</w:t>
      </w:r>
    </w:p>
    <w:p w:rsidR="00BF324E" w:rsidRDefault="00BF324E" w:rsidP="00BF324E">
      <w:pPr>
        <w:pStyle w:val="cb"/>
        <w:tabs>
          <w:tab w:val="left" w:pos="990"/>
        </w:tabs>
        <w:ind w:left="720" w:firstLine="720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”</w:t>
      </w:r>
      <w:r w:rsidRPr="00BF324E">
        <w:rPr>
          <w:b w:val="0"/>
          <w:sz w:val="26"/>
          <w:szCs w:val="26"/>
          <w:lang w:val="ro-RO"/>
        </w:rPr>
        <w:t>8) studiul de fezabilitate cu recomandarea respectivă a CNM</w:t>
      </w:r>
      <w:r>
        <w:rPr>
          <w:b w:val="0"/>
          <w:sz w:val="26"/>
          <w:szCs w:val="26"/>
          <w:lang w:val="ro-RO"/>
        </w:rPr>
        <w:t>.”.</w:t>
      </w:r>
    </w:p>
    <w:p w:rsidR="0056791A" w:rsidRDefault="0056791A" w:rsidP="0056791A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12</w:t>
      </w:r>
      <w:r>
        <w:rPr>
          <w:b w:val="0"/>
          <w:sz w:val="26"/>
          <w:szCs w:val="26"/>
          <w:lang w:val="ro-MD"/>
        </w:rPr>
        <w:t xml:space="preserve">) </w:t>
      </w:r>
      <w:r w:rsidR="00F13393" w:rsidRPr="00F13393">
        <w:rPr>
          <w:b w:val="0"/>
          <w:sz w:val="26"/>
          <w:szCs w:val="26"/>
          <w:lang w:val="ro-MD"/>
        </w:rPr>
        <w:t>Regulamentul se</w:t>
      </w:r>
      <w:r>
        <w:rPr>
          <w:b w:val="0"/>
          <w:sz w:val="26"/>
          <w:szCs w:val="26"/>
          <w:lang w:val="ro-MD"/>
        </w:rPr>
        <w:t xml:space="preserve"> completează cu punctele </w:t>
      </w:r>
      <w:r>
        <w:rPr>
          <w:b w:val="0"/>
          <w:sz w:val="26"/>
          <w:szCs w:val="26"/>
          <w:lang w:val="ro-MD"/>
        </w:rPr>
        <w:t>30</w:t>
      </w:r>
      <w:r w:rsidRPr="0056791A">
        <w:rPr>
          <w:b w:val="0"/>
          <w:sz w:val="26"/>
          <w:szCs w:val="26"/>
          <w:vertAlign w:val="superscript"/>
          <w:lang w:val="ro-MD"/>
        </w:rPr>
        <w:t>1</w:t>
      </w:r>
      <w:r>
        <w:rPr>
          <w:b w:val="0"/>
          <w:sz w:val="26"/>
          <w:szCs w:val="26"/>
          <w:lang w:val="ro-MD"/>
        </w:rPr>
        <w:t xml:space="preserve"> – </w:t>
      </w:r>
      <w:r>
        <w:rPr>
          <w:b w:val="0"/>
          <w:sz w:val="26"/>
          <w:szCs w:val="26"/>
          <w:lang w:val="ro-MD"/>
        </w:rPr>
        <w:t>30</w:t>
      </w:r>
      <w:r>
        <w:rPr>
          <w:b w:val="0"/>
          <w:sz w:val="26"/>
          <w:szCs w:val="26"/>
          <w:vertAlign w:val="superscript"/>
          <w:lang w:val="ro-MD"/>
        </w:rPr>
        <w:t>5</w:t>
      </w:r>
      <w:r>
        <w:rPr>
          <w:b w:val="0"/>
          <w:sz w:val="26"/>
          <w:szCs w:val="26"/>
          <w:lang w:val="ro-MD"/>
        </w:rPr>
        <w:t xml:space="preserve"> cu următorul cuprins:</w:t>
      </w:r>
    </w:p>
    <w:p w:rsidR="0056791A" w:rsidRDefault="0056791A" w:rsidP="0056791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56791A">
        <w:rPr>
          <w:sz w:val="26"/>
          <w:szCs w:val="26"/>
          <w:lang w:val="ro-MD"/>
        </w:rPr>
        <w:t>”</w:t>
      </w:r>
      <w:r w:rsidRPr="0038649B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30</w:t>
      </w:r>
      <w:r w:rsidRPr="007F3496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ro-RO" w:eastAsia="en-GB"/>
        </w:rPr>
        <w:t>1</w:t>
      </w:r>
      <w:r w:rsidRPr="0038649B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.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Pr="0099288D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Perfecționarea etaloanelor aprobate în calitate de naționale este precedată</w:t>
      </w:r>
      <w:r w:rsidRPr="00987582">
        <w:t xml:space="preserve"> </w:t>
      </w:r>
      <w:r w:rsidRPr="00987582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de efectuarea de către INM a studiilor de fezabilitate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corespunzătoare</w:t>
      </w:r>
      <w:r w:rsidRPr="00987582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</w:t>
      </w:r>
    </w:p>
    <w:p w:rsidR="0056791A" w:rsidRPr="00B5643C" w:rsidRDefault="0056791A" w:rsidP="0056791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30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2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 de fezabilitate se examinează de către CNM.</w:t>
      </w:r>
    </w:p>
    <w:p w:rsidR="0056791A" w:rsidRPr="00605086" w:rsidRDefault="0056791A" w:rsidP="0056791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3</w:t>
      </w:r>
      <w:r w:rsidRPr="00F5722B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Urmare a examinării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studiului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de fezabilitate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prezentat, CNM emite recomandarea cu privire la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oportunitatea perfecționării etalonului național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</w:t>
      </w:r>
      <w:r w:rsidRPr="00AC1969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</w:p>
    <w:p w:rsidR="0056791A" w:rsidRPr="00605086" w:rsidRDefault="0056791A" w:rsidP="0056791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30</w:t>
      </w:r>
      <w:r w:rsidRPr="0060508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4</w:t>
      </w:r>
      <w:r w:rsidRPr="00B5643C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Dacă în urma examinării au fost depistate neconformităţi în baza cărora CNM nu recomandă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perfecționarea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Pr="00607DDC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etalonului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corespunzător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 INM ia măsurile necesare în vederea eliminării neconformităţilor depistate.</w:t>
      </w:r>
    </w:p>
    <w:p w:rsidR="0056791A" w:rsidRDefault="0056791A" w:rsidP="0056791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RO" w:eastAsia="en-GB"/>
        </w:rPr>
        <w:t>5</w:t>
      </w:r>
      <w:r w:rsidRPr="00B5643C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.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După eliminarea neconformităţilor menţionate la pct.</w:t>
      </w:r>
      <w:r w:rsidRPr="008F2F95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30</w:t>
      </w:r>
      <w:r w:rsidRPr="00605086">
        <w:rPr>
          <w:rFonts w:ascii="Times New Roman" w:eastAsia="Times New Roman" w:hAnsi="Times New Roman" w:cs="Times New Roman"/>
          <w:sz w:val="26"/>
          <w:szCs w:val="26"/>
          <w:vertAlign w:val="superscript"/>
          <w:lang w:val="ro-RO" w:eastAsia="en-GB"/>
        </w:rPr>
        <w:t>4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din prezentul regulament, INM prezintă repetat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 de fezabilitate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pentru examinare în cadrul CNM.</w:t>
      </w:r>
      <w:r w:rsidR="00642F21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”.</w:t>
      </w:r>
    </w:p>
    <w:p w:rsidR="00642F21" w:rsidRDefault="00642F21" w:rsidP="00642F21">
      <w:pPr>
        <w:pStyle w:val="cb"/>
        <w:tabs>
          <w:tab w:val="left" w:pos="990"/>
        </w:tabs>
        <w:ind w:left="720" w:firstLine="450"/>
        <w:jc w:val="both"/>
        <w:rPr>
          <w:b w:val="0"/>
          <w:sz w:val="26"/>
          <w:szCs w:val="26"/>
          <w:lang w:val="ro-MD"/>
        </w:rPr>
      </w:pPr>
      <w:r>
        <w:rPr>
          <w:b w:val="0"/>
          <w:sz w:val="26"/>
          <w:szCs w:val="26"/>
          <w:lang w:val="ro-MD"/>
        </w:rPr>
        <w:t>13</w:t>
      </w:r>
      <w:r>
        <w:rPr>
          <w:b w:val="0"/>
          <w:sz w:val="26"/>
          <w:szCs w:val="26"/>
          <w:lang w:val="ro-MD"/>
        </w:rPr>
        <w:t xml:space="preserve">) Pct. </w:t>
      </w:r>
      <w:r>
        <w:rPr>
          <w:b w:val="0"/>
          <w:sz w:val="26"/>
          <w:szCs w:val="26"/>
          <w:lang w:val="ro-MD"/>
        </w:rPr>
        <w:t>3</w:t>
      </w:r>
      <w:r>
        <w:rPr>
          <w:b w:val="0"/>
          <w:sz w:val="26"/>
          <w:szCs w:val="26"/>
          <w:lang w:val="ro-MD"/>
        </w:rPr>
        <w:t>1 va avea următorul cuprins:</w:t>
      </w:r>
    </w:p>
    <w:p w:rsidR="00642F21" w:rsidRDefault="00642F21" w:rsidP="00642F21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  <w:t>”</w:t>
      </w:r>
      <w:r w:rsidRPr="0038649B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31.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Ca rezultat al examinării </w:t>
      </w:r>
      <w:r w:rsidRPr="008F2F9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studiul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ui</w:t>
      </w:r>
      <w:r w:rsidRPr="008F2F95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de fezabilitate 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în cadrul CNM şi obţinerii recomandării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respective</w:t>
      </w:r>
      <w:r w:rsidRPr="00605086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INM </w:t>
      </w:r>
      <w:r w:rsidRPr="0038649B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elaborează proiectul de perfecţionare a etalonului.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”.</w:t>
      </w:r>
    </w:p>
    <w:p w:rsidR="00642F21" w:rsidRDefault="00642F21" w:rsidP="00642F21">
      <w:pPr>
        <w:spacing w:after="0" w:line="240" w:lineRule="auto"/>
        <w:ind w:left="720" w:firstLine="45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14) </w:t>
      </w:r>
      <w:r w:rsidR="00CC5AF7" w:rsidRPr="00CC5AF7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La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pct. 33, după cuvintele ”fișa tehnică a etalonului” se completează cu cuvintele ”, precum ș</w:t>
      </w:r>
      <w:r w:rsidR="00B6139A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i studiul de fezabilitate”.</w:t>
      </w:r>
    </w:p>
    <w:p w:rsidR="00B6139A" w:rsidRPr="0038649B" w:rsidRDefault="00B6139A" w:rsidP="00642F21">
      <w:pPr>
        <w:spacing w:after="0" w:line="240" w:lineRule="auto"/>
        <w:ind w:left="720" w:firstLine="45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15) </w:t>
      </w:r>
      <w:r w:rsidR="00CC5AF7" w:rsidRPr="00CC5AF7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La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pct. 3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 după cuvintele ”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Urmare a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” se completează cu cuvintele ”</w:t>
      </w:r>
      <w:r w:rsidRPr="00B6139A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examinării proiectului de perfecționare precum și a</w:t>
      </w:r>
      <w:r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”.</w:t>
      </w:r>
    </w:p>
    <w:p w:rsidR="0056791A" w:rsidRPr="00685361" w:rsidRDefault="0056791A" w:rsidP="00642F21">
      <w:pPr>
        <w:spacing w:after="0" w:line="240" w:lineRule="auto"/>
        <w:ind w:left="720" w:firstLine="720"/>
        <w:jc w:val="both"/>
        <w:rPr>
          <w:b/>
          <w:sz w:val="16"/>
          <w:szCs w:val="16"/>
          <w:lang w:val="ro-RO"/>
        </w:rPr>
      </w:pPr>
    </w:p>
    <w:p w:rsidR="00ED4921" w:rsidRDefault="00ED4921" w:rsidP="00ED4921">
      <w:pPr>
        <w:pStyle w:val="cb"/>
        <w:tabs>
          <w:tab w:val="left" w:pos="990"/>
        </w:tabs>
        <w:ind w:left="720"/>
        <w:jc w:val="both"/>
        <w:rPr>
          <w:b w:val="0"/>
          <w:sz w:val="26"/>
          <w:szCs w:val="26"/>
          <w:lang w:val="ro-MD"/>
        </w:rPr>
      </w:pPr>
      <w:r w:rsidRPr="00ED4921">
        <w:rPr>
          <w:b w:val="0"/>
          <w:sz w:val="26"/>
          <w:szCs w:val="26"/>
          <w:lang w:val="ro-MD"/>
        </w:rPr>
        <w:t>2. Prezentul ordin se publică în Monitorul Oficial al Republicii Moldova şi se plasează pe pagina web a Ministerului Economiei şi Infrastructurii.</w:t>
      </w:r>
    </w:p>
    <w:p w:rsidR="00685361" w:rsidRPr="00685361" w:rsidRDefault="00685361" w:rsidP="00ED4921">
      <w:pPr>
        <w:pStyle w:val="cb"/>
        <w:tabs>
          <w:tab w:val="left" w:pos="990"/>
        </w:tabs>
        <w:ind w:left="720"/>
        <w:jc w:val="both"/>
        <w:rPr>
          <w:b w:val="0"/>
          <w:sz w:val="16"/>
          <w:szCs w:val="16"/>
          <w:lang w:val="ro-MD"/>
        </w:rPr>
      </w:pPr>
    </w:p>
    <w:p w:rsidR="00ED4921" w:rsidRPr="00ED4921" w:rsidRDefault="00ED4921" w:rsidP="00ED4921">
      <w:pPr>
        <w:pStyle w:val="cb"/>
        <w:tabs>
          <w:tab w:val="left" w:pos="990"/>
        </w:tabs>
        <w:ind w:left="720"/>
        <w:jc w:val="both"/>
        <w:rPr>
          <w:b w:val="0"/>
          <w:sz w:val="26"/>
          <w:szCs w:val="26"/>
          <w:lang w:val="ro-MD"/>
        </w:rPr>
      </w:pPr>
      <w:r w:rsidRPr="00ED4921">
        <w:rPr>
          <w:b w:val="0"/>
          <w:sz w:val="26"/>
          <w:szCs w:val="26"/>
          <w:lang w:val="ro-MD"/>
        </w:rPr>
        <w:t>3. Se pune în sarcina I.P. „Institutul Naţional de Metrologie” plasarea pe pagina web a prezentului ordin şi publicarea acestuia în revista de specialitate „Metrologie”.</w:t>
      </w:r>
    </w:p>
    <w:p w:rsidR="00ED4921" w:rsidRDefault="00ED4921" w:rsidP="00ED4921">
      <w:pPr>
        <w:pStyle w:val="cb"/>
        <w:tabs>
          <w:tab w:val="left" w:pos="990"/>
        </w:tabs>
        <w:jc w:val="both"/>
        <w:rPr>
          <w:b w:val="0"/>
          <w:lang w:val="ro-MD"/>
        </w:rPr>
      </w:pPr>
    </w:p>
    <w:p w:rsidR="00E940B5" w:rsidRDefault="00E940B5" w:rsidP="00E940B5">
      <w:pPr>
        <w:pStyle w:val="Bodytext20"/>
        <w:shd w:val="clear" w:color="auto" w:fill="auto"/>
        <w:tabs>
          <w:tab w:val="left" w:pos="990"/>
        </w:tabs>
        <w:spacing w:before="0" w:after="0" w:line="240" w:lineRule="auto"/>
        <w:ind w:firstLine="0"/>
        <w:jc w:val="both"/>
        <w:rPr>
          <w:sz w:val="24"/>
          <w:szCs w:val="24"/>
          <w:lang w:val="ro-MD"/>
        </w:rPr>
      </w:pPr>
    </w:p>
    <w:p w:rsidR="00685361" w:rsidRPr="00E940B5" w:rsidRDefault="00685361" w:rsidP="00E940B5">
      <w:pPr>
        <w:pStyle w:val="Bodytext20"/>
        <w:shd w:val="clear" w:color="auto" w:fill="auto"/>
        <w:tabs>
          <w:tab w:val="left" w:pos="990"/>
        </w:tabs>
        <w:spacing w:before="0" w:after="0" w:line="240" w:lineRule="auto"/>
        <w:ind w:firstLine="0"/>
        <w:jc w:val="both"/>
        <w:rPr>
          <w:sz w:val="24"/>
          <w:szCs w:val="24"/>
          <w:lang w:val="ro-MD"/>
        </w:rPr>
      </w:pPr>
    </w:p>
    <w:p w:rsidR="00A151AA" w:rsidRPr="00357DC9" w:rsidRDefault="00A151AA" w:rsidP="00A151AA">
      <w:pPr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 xml:space="preserve">  </w:t>
      </w:r>
      <w:r w:rsidRPr="001A58D9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Ministru</w:t>
      </w:r>
      <w:r w:rsidRPr="00357D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</w:t>
      </w:r>
      <w:r w:rsidRPr="00357D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Anatol USATÎI</w:t>
      </w:r>
    </w:p>
    <w:p w:rsidR="00A151AA" w:rsidRDefault="00A151AA" w:rsidP="00A151AA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671A4" w:rsidRDefault="00D671A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71A4" w:rsidRDefault="00D671A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D4921" w:rsidRDefault="00ED492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71A4" w:rsidRDefault="00D671A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046B4" w:rsidRDefault="001046B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671A4" w:rsidRDefault="00D671A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5361" w:rsidRDefault="00685361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</w:p>
    <w:sectPr w:rsidR="00685361" w:rsidSect="00BF32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720" w:bottom="810" w:left="993" w:header="11" w:footer="1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786" w:rsidRDefault="00FD6786" w:rsidP="003550DA">
      <w:pPr>
        <w:spacing w:after="0" w:line="240" w:lineRule="auto"/>
      </w:pPr>
      <w:r>
        <w:separator/>
      </w:r>
    </w:p>
  </w:endnote>
  <w:endnote w:type="continuationSeparator" w:id="0">
    <w:p w:rsidR="00FD6786" w:rsidRDefault="00FD6786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Pr="00B74F4F" w:rsidRDefault="00506594" w:rsidP="00743041">
    <w:pPr>
      <w:ind w:left="-450"/>
      <w:rPr>
        <w:lang w:val="ro-MD"/>
      </w:rPr>
    </w:pPr>
  </w:p>
  <w:p w:rsidR="00506594" w:rsidRDefault="005065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8B" w:rsidRPr="0065778B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>Piaţa Marii Adunări Naţionale nr. 1, Chişinău, MD-2012, tel. +373 022 250107, fax +373 022 234064</w:t>
    </w:r>
  </w:p>
  <w:p w:rsidR="00506594" w:rsidRPr="00117583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D16244">
        <w:rPr>
          <w:rStyle w:val="Hyperlink"/>
          <w:rFonts w:ascii="Calibri Light" w:hAnsi="Calibri Light" w:cs="Calibri Light"/>
          <w:sz w:val="18"/>
          <w:szCs w:val="18"/>
          <w:lang w:val="ro-MD"/>
        </w:rPr>
        <w:t>secretariat@mei.gov.md</w:t>
      </w:r>
    </w:hyperlink>
    <w:r w:rsidRPr="0065778B">
      <w:rPr>
        <w:rFonts w:ascii="Calibri Light" w:hAnsi="Calibri Light" w:cs="Calibri Light"/>
        <w:sz w:val="18"/>
        <w:szCs w:val="18"/>
        <w:lang w:val="ro-MD"/>
      </w:rPr>
      <w:t>,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65778B">
      <w:rPr>
        <w:rFonts w:ascii="Calibri Light" w:hAnsi="Calibri Light" w:cs="Calibri Light"/>
        <w:sz w:val="18"/>
        <w:szCs w:val="18"/>
        <w:lang w:val="ro-MD"/>
      </w:rPr>
      <w:t xml:space="preserve"> pagina web: </w:t>
    </w:r>
    <w:hyperlink r:id="rId2" w:history="1">
      <w:r w:rsidRPr="00D16244">
        <w:rPr>
          <w:rStyle w:val="Hyperlink"/>
          <w:rFonts w:ascii="Calibri Light" w:hAnsi="Calibri Light" w:cs="Calibri Light"/>
          <w:sz w:val="18"/>
          <w:szCs w:val="18"/>
          <w:lang w:val="ro-MD"/>
        </w:rPr>
        <w:t>www.mei.gov.md</w:t>
      </w:r>
    </w:hyperlink>
    <w:r>
      <w:rPr>
        <w:rFonts w:ascii="Calibri Light" w:hAnsi="Calibri Light" w:cs="Calibri Light"/>
        <w:sz w:val="18"/>
        <w:szCs w:val="18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786" w:rsidRDefault="00FD6786" w:rsidP="003550DA">
      <w:pPr>
        <w:spacing w:after="0" w:line="240" w:lineRule="auto"/>
      </w:pPr>
      <w:r>
        <w:separator/>
      </w:r>
    </w:p>
  </w:footnote>
  <w:footnote w:type="continuationSeparator" w:id="0">
    <w:p w:rsidR="00FD6786" w:rsidRDefault="00FD6786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>
    <w:pPr>
      <w:pStyle w:val="Header"/>
    </w:pPr>
  </w:p>
  <w:p w:rsidR="00506594" w:rsidRDefault="005065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 w:rsidP="005F281E">
    <w:pPr>
      <w:pStyle w:val="Header"/>
      <w:jc w:val="center"/>
    </w:pPr>
  </w:p>
  <w:p w:rsidR="00506594" w:rsidRDefault="00506594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6" w:rsidRDefault="00101EB6" w:rsidP="00943C96">
    <w:pPr>
      <w:pStyle w:val="Header"/>
      <w:jc w:val="right"/>
      <w:rPr>
        <w:lang w:val="ro-MD"/>
      </w:rPr>
    </w:pPr>
  </w:p>
  <w:p w:rsidR="00506594" w:rsidRDefault="00506594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17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594" w:rsidRDefault="00506594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18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594" w:rsidRDefault="00506594">
    <w:pPr>
      <w:pStyle w:val="Header"/>
      <w:rPr>
        <w:lang w:val="ro-MD"/>
      </w:rPr>
    </w:pPr>
  </w:p>
  <w:p w:rsidR="00506594" w:rsidRDefault="00506594">
    <w:pPr>
      <w:pStyle w:val="Header"/>
      <w:rPr>
        <w:lang w:val="ro-MD"/>
      </w:rPr>
    </w:pPr>
  </w:p>
  <w:p w:rsidR="00506594" w:rsidRDefault="00506594">
    <w:pPr>
      <w:pStyle w:val="Header"/>
      <w:rPr>
        <w:lang w:val="ro-MD"/>
      </w:rPr>
    </w:pPr>
  </w:p>
  <w:p w:rsidR="00506594" w:rsidRDefault="00506594" w:rsidP="00117583">
    <w:pPr>
      <w:tabs>
        <w:tab w:val="left" w:pos="5287"/>
      </w:tabs>
      <w:rPr>
        <w:sz w:val="28"/>
        <w:szCs w:val="28"/>
        <w:lang w:val="ro-MD"/>
      </w:rPr>
    </w:pPr>
  </w:p>
  <w:p w:rsidR="00101EB6" w:rsidRDefault="00101EB6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="006F14A0">
      <w:rPr>
        <w:rFonts w:cs="Calibri"/>
        <w:sz w:val="28"/>
        <w:szCs w:val="28"/>
        <w:u w:val="single"/>
        <w:lang w:val="ro-MD"/>
      </w:rPr>
      <w:t xml:space="preserve">    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="006F14A0">
      <w:rPr>
        <w:rFonts w:cs="Calibri"/>
        <w:sz w:val="28"/>
        <w:szCs w:val="28"/>
        <w:u w:val="single"/>
        <w:lang w:val="ro-MD"/>
      </w:rPr>
      <w:t xml:space="preserve">   </w:t>
    </w:r>
    <w:r w:rsidR="00DB0703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 w:rsidR="009575CD">
      <w:rPr>
        <w:rFonts w:cs="Calibri"/>
        <w:sz w:val="28"/>
        <w:szCs w:val="28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</w:t>
    </w:r>
    <w:r w:rsidR="00896CCB">
      <w:rPr>
        <w:rFonts w:cs="Calibri"/>
        <w:sz w:val="28"/>
        <w:szCs w:val="28"/>
        <w:u w:val="single"/>
        <w:lang w:val="ro-MD"/>
      </w:rPr>
      <w:t xml:space="preserve">   </w:t>
    </w:r>
    <w:r w:rsidR="0065778B">
      <w:rPr>
        <w:rFonts w:cs="Calibri"/>
        <w:sz w:val="28"/>
        <w:szCs w:val="28"/>
        <w:u w:val="single"/>
        <w:lang w:val="ro-MD"/>
      </w:rPr>
      <w:t xml:space="preserve">          </w:t>
    </w:r>
    <w:r w:rsidR="00896CCB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  </w:t>
    </w:r>
    <w:r w:rsidRPr="00627F20">
      <w:rPr>
        <w:rFonts w:cs="Calibri"/>
        <w:sz w:val="28"/>
        <w:szCs w:val="28"/>
        <w:lang w:val="ro-MD"/>
      </w:rPr>
      <w:t>20</w:t>
    </w:r>
    <w:r w:rsidR="004B0497">
      <w:rPr>
        <w:rFonts w:cs="Calibri"/>
        <w:sz w:val="28"/>
        <w:szCs w:val="28"/>
        <w:lang w:val="ro-MD"/>
      </w:rPr>
      <w:t>20</w:t>
    </w:r>
  </w:p>
  <w:p w:rsidR="00506594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101EB6" w:rsidRDefault="00101EB6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53E2"/>
    <w:multiLevelType w:val="hybridMultilevel"/>
    <w:tmpl w:val="6832CBA8"/>
    <w:lvl w:ilvl="0" w:tplc="659C7A0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D72A4"/>
    <w:multiLevelType w:val="hybridMultilevel"/>
    <w:tmpl w:val="14740A6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141D"/>
    <w:rsid w:val="00017EA1"/>
    <w:rsid w:val="0002599B"/>
    <w:rsid w:val="000362D3"/>
    <w:rsid w:val="0005069F"/>
    <w:rsid w:val="0006075F"/>
    <w:rsid w:val="00076473"/>
    <w:rsid w:val="000A35D1"/>
    <w:rsid w:val="000B0614"/>
    <w:rsid w:val="000B6B9D"/>
    <w:rsid w:val="000C3B4A"/>
    <w:rsid w:val="000E1673"/>
    <w:rsid w:val="000E46F0"/>
    <w:rsid w:val="00100E3C"/>
    <w:rsid w:val="00101EB6"/>
    <w:rsid w:val="0010443B"/>
    <w:rsid w:val="001046B4"/>
    <w:rsid w:val="00110D53"/>
    <w:rsid w:val="00117583"/>
    <w:rsid w:val="00126EDB"/>
    <w:rsid w:val="0013017C"/>
    <w:rsid w:val="00141603"/>
    <w:rsid w:val="00171A55"/>
    <w:rsid w:val="00172A77"/>
    <w:rsid w:val="0017651E"/>
    <w:rsid w:val="00181F36"/>
    <w:rsid w:val="001831A2"/>
    <w:rsid w:val="001B2E1B"/>
    <w:rsid w:val="001C0E63"/>
    <w:rsid w:val="001D4823"/>
    <w:rsid w:val="001D72F4"/>
    <w:rsid w:val="001E5372"/>
    <w:rsid w:val="00224721"/>
    <w:rsid w:val="0023029D"/>
    <w:rsid w:val="00245071"/>
    <w:rsid w:val="002641A1"/>
    <w:rsid w:val="00264849"/>
    <w:rsid w:val="00270935"/>
    <w:rsid w:val="002A1168"/>
    <w:rsid w:val="002D10EC"/>
    <w:rsid w:val="002D47F1"/>
    <w:rsid w:val="002F09BE"/>
    <w:rsid w:val="002F0BBD"/>
    <w:rsid w:val="002F1441"/>
    <w:rsid w:val="002F7ACD"/>
    <w:rsid w:val="002F7C48"/>
    <w:rsid w:val="00307792"/>
    <w:rsid w:val="00311429"/>
    <w:rsid w:val="00322CA1"/>
    <w:rsid w:val="0034483A"/>
    <w:rsid w:val="003550DA"/>
    <w:rsid w:val="00355141"/>
    <w:rsid w:val="0036372B"/>
    <w:rsid w:val="00366998"/>
    <w:rsid w:val="00371C31"/>
    <w:rsid w:val="00390976"/>
    <w:rsid w:val="003A0408"/>
    <w:rsid w:val="003A33F0"/>
    <w:rsid w:val="003D4C6B"/>
    <w:rsid w:val="003D6AC9"/>
    <w:rsid w:val="00417F31"/>
    <w:rsid w:val="00432344"/>
    <w:rsid w:val="004416A5"/>
    <w:rsid w:val="00443B28"/>
    <w:rsid w:val="00465789"/>
    <w:rsid w:val="0047107C"/>
    <w:rsid w:val="00481362"/>
    <w:rsid w:val="0048754F"/>
    <w:rsid w:val="004A6DC3"/>
    <w:rsid w:val="004B0497"/>
    <w:rsid w:val="004B70E2"/>
    <w:rsid w:val="004C318E"/>
    <w:rsid w:val="004F5C1A"/>
    <w:rsid w:val="00502941"/>
    <w:rsid w:val="00506594"/>
    <w:rsid w:val="00513385"/>
    <w:rsid w:val="005228B7"/>
    <w:rsid w:val="005239F7"/>
    <w:rsid w:val="00534104"/>
    <w:rsid w:val="00537C90"/>
    <w:rsid w:val="00551C70"/>
    <w:rsid w:val="0055418A"/>
    <w:rsid w:val="00554AC0"/>
    <w:rsid w:val="0056046C"/>
    <w:rsid w:val="0056791A"/>
    <w:rsid w:val="0057618E"/>
    <w:rsid w:val="005949DA"/>
    <w:rsid w:val="005A6DA2"/>
    <w:rsid w:val="005C49BD"/>
    <w:rsid w:val="005C5EBB"/>
    <w:rsid w:val="005D2AC0"/>
    <w:rsid w:val="005E78DD"/>
    <w:rsid w:val="005F281E"/>
    <w:rsid w:val="00606C7F"/>
    <w:rsid w:val="006109B8"/>
    <w:rsid w:val="00625026"/>
    <w:rsid w:val="006272C1"/>
    <w:rsid w:val="00627F20"/>
    <w:rsid w:val="00637D6B"/>
    <w:rsid w:val="0064055C"/>
    <w:rsid w:val="00642F21"/>
    <w:rsid w:val="006449F5"/>
    <w:rsid w:val="0065778B"/>
    <w:rsid w:val="0065796D"/>
    <w:rsid w:val="006646D1"/>
    <w:rsid w:val="006677D0"/>
    <w:rsid w:val="00685361"/>
    <w:rsid w:val="00690AC2"/>
    <w:rsid w:val="00696BAB"/>
    <w:rsid w:val="006B7540"/>
    <w:rsid w:val="006C1D55"/>
    <w:rsid w:val="006C3150"/>
    <w:rsid w:val="006E3575"/>
    <w:rsid w:val="006F03E3"/>
    <w:rsid w:val="006F14A0"/>
    <w:rsid w:val="006F5557"/>
    <w:rsid w:val="0072794C"/>
    <w:rsid w:val="007327C2"/>
    <w:rsid w:val="00743041"/>
    <w:rsid w:val="0076054B"/>
    <w:rsid w:val="007615BC"/>
    <w:rsid w:val="00765056"/>
    <w:rsid w:val="0078246A"/>
    <w:rsid w:val="00790613"/>
    <w:rsid w:val="007A04A9"/>
    <w:rsid w:val="007B5098"/>
    <w:rsid w:val="007C0E6C"/>
    <w:rsid w:val="007D45D1"/>
    <w:rsid w:val="007F037D"/>
    <w:rsid w:val="007F0F6D"/>
    <w:rsid w:val="00815DCD"/>
    <w:rsid w:val="008433B7"/>
    <w:rsid w:val="008434E2"/>
    <w:rsid w:val="00847782"/>
    <w:rsid w:val="0087386C"/>
    <w:rsid w:val="00875236"/>
    <w:rsid w:val="0088231A"/>
    <w:rsid w:val="008935A3"/>
    <w:rsid w:val="008953C3"/>
    <w:rsid w:val="00896B63"/>
    <w:rsid w:val="00896CCB"/>
    <w:rsid w:val="008B2EFF"/>
    <w:rsid w:val="008D0B57"/>
    <w:rsid w:val="008E53A2"/>
    <w:rsid w:val="008F11EC"/>
    <w:rsid w:val="008F2B23"/>
    <w:rsid w:val="00904498"/>
    <w:rsid w:val="0090708C"/>
    <w:rsid w:val="00913CB5"/>
    <w:rsid w:val="009159D7"/>
    <w:rsid w:val="00943C96"/>
    <w:rsid w:val="009575CD"/>
    <w:rsid w:val="009918DD"/>
    <w:rsid w:val="00992024"/>
    <w:rsid w:val="0099579F"/>
    <w:rsid w:val="009A11E4"/>
    <w:rsid w:val="009A7760"/>
    <w:rsid w:val="009C44BF"/>
    <w:rsid w:val="009C79AE"/>
    <w:rsid w:val="00A104BD"/>
    <w:rsid w:val="00A151AA"/>
    <w:rsid w:val="00A27302"/>
    <w:rsid w:val="00A3062F"/>
    <w:rsid w:val="00A33BA8"/>
    <w:rsid w:val="00A34C9F"/>
    <w:rsid w:val="00A6236B"/>
    <w:rsid w:val="00A66A36"/>
    <w:rsid w:val="00A74A98"/>
    <w:rsid w:val="00A823F3"/>
    <w:rsid w:val="00A84995"/>
    <w:rsid w:val="00A92221"/>
    <w:rsid w:val="00AA0259"/>
    <w:rsid w:val="00AA0817"/>
    <w:rsid w:val="00AD5761"/>
    <w:rsid w:val="00AD5B36"/>
    <w:rsid w:val="00AE2485"/>
    <w:rsid w:val="00AF03CE"/>
    <w:rsid w:val="00AF3384"/>
    <w:rsid w:val="00B062C6"/>
    <w:rsid w:val="00B42E2A"/>
    <w:rsid w:val="00B43B0D"/>
    <w:rsid w:val="00B45448"/>
    <w:rsid w:val="00B47638"/>
    <w:rsid w:val="00B6139A"/>
    <w:rsid w:val="00B63BBD"/>
    <w:rsid w:val="00B74F4F"/>
    <w:rsid w:val="00B8658A"/>
    <w:rsid w:val="00B918A2"/>
    <w:rsid w:val="00B97316"/>
    <w:rsid w:val="00B97462"/>
    <w:rsid w:val="00BA05FA"/>
    <w:rsid w:val="00BB1F5D"/>
    <w:rsid w:val="00BF324E"/>
    <w:rsid w:val="00BF572B"/>
    <w:rsid w:val="00C00932"/>
    <w:rsid w:val="00C25BED"/>
    <w:rsid w:val="00C640CA"/>
    <w:rsid w:val="00C71ECE"/>
    <w:rsid w:val="00C82A02"/>
    <w:rsid w:val="00CC5AF7"/>
    <w:rsid w:val="00CC7AAC"/>
    <w:rsid w:val="00CD321E"/>
    <w:rsid w:val="00CE2025"/>
    <w:rsid w:val="00CE6244"/>
    <w:rsid w:val="00CE7C7C"/>
    <w:rsid w:val="00CF0245"/>
    <w:rsid w:val="00CF41AA"/>
    <w:rsid w:val="00D004CD"/>
    <w:rsid w:val="00D12F97"/>
    <w:rsid w:val="00D157EB"/>
    <w:rsid w:val="00D22AE7"/>
    <w:rsid w:val="00D3501B"/>
    <w:rsid w:val="00D41527"/>
    <w:rsid w:val="00D5527A"/>
    <w:rsid w:val="00D64DF7"/>
    <w:rsid w:val="00D64F9E"/>
    <w:rsid w:val="00D671A4"/>
    <w:rsid w:val="00D76090"/>
    <w:rsid w:val="00D80FAF"/>
    <w:rsid w:val="00D8109A"/>
    <w:rsid w:val="00D8243C"/>
    <w:rsid w:val="00D952C5"/>
    <w:rsid w:val="00DA428B"/>
    <w:rsid w:val="00DA487D"/>
    <w:rsid w:val="00DA612F"/>
    <w:rsid w:val="00DA77FC"/>
    <w:rsid w:val="00DA787D"/>
    <w:rsid w:val="00DB0703"/>
    <w:rsid w:val="00DC5F20"/>
    <w:rsid w:val="00DF480B"/>
    <w:rsid w:val="00E058A9"/>
    <w:rsid w:val="00E15396"/>
    <w:rsid w:val="00E22988"/>
    <w:rsid w:val="00E23EC3"/>
    <w:rsid w:val="00E50E82"/>
    <w:rsid w:val="00E82F6A"/>
    <w:rsid w:val="00E86412"/>
    <w:rsid w:val="00E86420"/>
    <w:rsid w:val="00E879E5"/>
    <w:rsid w:val="00E940B5"/>
    <w:rsid w:val="00EA7F88"/>
    <w:rsid w:val="00EB3334"/>
    <w:rsid w:val="00ED4921"/>
    <w:rsid w:val="00ED6195"/>
    <w:rsid w:val="00EE31D4"/>
    <w:rsid w:val="00F005A9"/>
    <w:rsid w:val="00F10039"/>
    <w:rsid w:val="00F13393"/>
    <w:rsid w:val="00F15948"/>
    <w:rsid w:val="00F33263"/>
    <w:rsid w:val="00F6227B"/>
    <w:rsid w:val="00F63012"/>
    <w:rsid w:val="00F930D5"/>
    <w:rsid w:val="00FA038B"/>
    <w:rsid w:val="00FA2E31"/>
    <w:rsid w:val="00FA326F"/>
    <w:rsid w:val="00FB4463"/>
    <w:rsid w:val="00FB4A04"/>
    <w:rsid w:val="00FB6BC8"/>
    <w:rsid w:val="00FC1128"/>
    <w:rsid w:val="00FD00BC"/>
    <w:rsid w:val="00FD4C28"/>
    <w:rsid w:val="00FD59AD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table" w:styleId="TableGrid">
    <w:name w:val="Table Grid"/>
    <w:basedOn w:val="TableNormal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BodyTextIndent">
    <w:name w:val="Body Text Indent"/>
    <w:basedOn w:val="Normal"/>
    <w:link w:val="BodyTextIndentChar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450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DefaultParagraphFont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603041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C0C77-F670-4BCC-B377-FA152430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2019-07-04T07:28:00Z</cp:lastPrinted>
  <dcterms:created xsi:type="dcterms:W3CDTF">2020-01-23T10:29:00Z</dcterms:created>
  <dcterms:modified xsi:type="dcterms:W3CDTF">2020-01-23T10:29:00Z</dcterms:modified>
</cp:coreProperties>
</file>