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5C" w:rsidRPr="00611C1C" w:rsidRDefault="00311C5C" w:rsidP="00311C5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</w:pPr>
      <w:r w:rsidRPr="00611C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>NOTA INFORMATIVĂ</w:t>
      </w:r>
    </w:p>
    <w:p w:rsidR="00311C5C" w:rsidRPr="00611C1C" w:rsidRDefault="00311C5C" w:rsidP="00E87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  <w:r w:rsidRPr="00611C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/>
        </w:rPr>
        <w:t xml:space="preserve">la proiectul Hotărârii Guvernului </w:t>
      </w:r>
      <w:r w:rsidR="00AE2C98" w:rsidRPr="00611C1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  <w:t>cu privire la transmiterea unor bunuri</w:t>
      </w:r>
    </w:p>
    <w:p w:rsidR="00A0067C" w:rsidRPr="00611C1C" w:rsidRDefault="00A0067C" w:rsidP="00E870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1C1C" w:rsidRPr="00611C1C" w:rsidTr="00CA6DDB">
        <w:tc>
          <w:tcPr>
            <w:tcW w:w="9776" w:type="dxa"/>
          </w:tcPr>
          <w:p w:rsidR="00311C5C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Denumirea autorului </w:t>
            </w:r>
            <w:proofErr w:type="spellStart"/>
            <w:r w:rsidRPr="00611C1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şi</w:t>
            </w:r>
            <w:proofErr w:type="spellEnd"/>
            <w:r w:rsidRPr="00611C1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, după caz, a </w:t>
            </w:r>
            <w:proofErr w:type="spellStart"/>
            <w:r w:rsidRPr="00611C1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participanţilor</w:t>
            </w:r>
            <w:proofErr w:type="spellEnd"/>
            <w:r w:rsidRPr="00611C1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la elaborarea proiectului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Autorul proiectului este Ministerul Finanțelor al Republicii Moldova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311C5C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Condițiile ce au impus elaborarea proiectului și finalitățile urmărite</w:t>
            </w:r>
          </w:p>
        </w:tc>
      </w:tr>
      <w:tr w:rsidR="00611C1C" w:rsidRPr="00611C1C" w:rsidTr="00CA6DDB">
        <w:tc>
          <w:tcPr>
            <w:tcW w:w="9776" w:type="dxa"/>
          </w:tcPr>
          <w:p w:rsidR="0079003E" w:rsidRPr="00611C1C" w:rsidRDefault="00DF266F" w:rsidP="00EB4BD1">
            <w:pPr>
              <w:ind w:firstLine="589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În scopul</w:t>
            </w:r>
            <w:r w:rsidR="00EB4BD1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asigurării</w:t>
            </w:r>
            <w:r w:rsidR="0079003E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</w:t>
            </w:r>
            <w:r w:rsidR="00611C1C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protecției</w:t>
            </w:r>
            <w:bookmarkStart w:id="0" w:name="_GoBack"/>
            <w:bookmarkEnd w:id="0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civile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a Republicii Moldova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 ceea ce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reprezintă un sistem de masuri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şi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acţiuni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, întreprinse pe scara întregului stat pe timp de pace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şi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de război, în vederea asigurării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pro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tecţiei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populaţiei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în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condiţiile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calamităţilor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naturale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şi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ecologice, avariilor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 catastrofelor și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incendiilor</w:t>
            </w:r>
            <w:r w:rsidR="0079003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 bunurile ce se propun a fi transmise</w:t>
            </w:r>
            <w:r w:rsidR="00985772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cu titlu gratuit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</w:t>
            </w:r>
            <w:r w:rsidR="0079003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de la Serviciul Fiscal de Stat la </w:t>
            </w:r>
            <w:r w:rsidR="0016181B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Ministerul Afacerilor Interne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</w:t>
            </w:r>
            <w:r w:rsidR="0079003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vor fi utilizate în </w:t>
            </w:r>
            <w:r w:rsidR="00985772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activitatea</w:t>
            </w:r>
            <w:r w:rsidR="0079003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Inspectoratului General pentru Situații de Urgență</w:t>
            </w:r>
            <w:r w:rsidR="0079003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, conform scopului determinat.</w:t>
            </w:r>
          </w:p>
          <w:p w:rsidR="00985772" w:rsidRPr="00611C1C" w:rsidRDefault="0079003E" w:rsidP="00985772">
            <w:pPr>
              <w:ind w:firstLine="589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Bunurile din anexa Hotărârii de Guvern reprezintă 4 (patru) </w:t>
            </w:r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Camere de </w:t>
            </w:r>
            <w:proofErr w:type="spellStart"/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termo</w:t>
            </w:r>
            <w:proofErr w:type="spellEnd"/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-viziune 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(noi)</w:t>
            </w:r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, marca “PULSAR Quantum XD 50S” și 5 (cinci) </w:t>
            </w:r>
            <w:proofErr w:type="spellStart"/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Staţii</w:t>
            </w:r>
            <w:proofErr w:type="spellEnd"/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de alimentare externă ale acestora 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 w:eastAsia="ru-RU"/>
              </w:rPr>
              <w:t>(noi)</w:t>
            </w:r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 de aceiași marcă</w:t>
            </w:r>
            <w:r w:rsidR="00985772"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611C1C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aflate în gestiunea Serviciului Fiscal de Stat.</w:t>
            </w:r>
          </w:p>
          <w:p w:rsidR="00DF266F" w:rsidRPr="00611C1C" w:rsidRDefault="0079003E" w:rsidP="0016181B">
            <w:pPr>
              <w:ind w:firstLine="589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Pe parcursul anilor 2018-2019, bunurile menționate la anexa </w:t>
            </w:r>
            <w:r w:rsidR="00EB4BD1"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proiectului </w:t>
            </w:r>
            <w:r w:rsidR="00985772"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Hotărârii de Guvern</w:t>
            </w:r>
            <w:r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 au fost propuse spre comercializare la o serie de agenți ec</w:t>
            </w:r>
            <w:r w:rsidR="00985772"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onomici, care nu au manifestat i</w:t>
            </w:r>
            <w:r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nteres pentru procurarea acestora. Informația despre prezentele bunuri se află </w:t>
            </w:r>
            <w:proofErr w:type="spellStart"/>
            <w:r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pînă</w:t>
            </w:r>
            <w:proofErr w:type="spellEnd"/>
            <w:r w:rsidRPr="00611C1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în prezent pe pagina internă a Serviciului Fiscal de Stat, pentru informarea publicului larg, la rubrica informații publice – oferte – bunuri confiscate. 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Descrierea gradului de compatibilitate pentru proiectele care au ca scop armonizarea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legislaţiei</w:t>
            </w:r>
            <w:proofErr w:type="spellEnd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naţionale</w:t>
            </w:r>
            <w:proofErr w:type="spellEnd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cu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legislaţia</w:t>
            </w:r>
            <w:proofErr w:type="spellEnd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Prezentul proiect </w:t>
            </w: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nu are ca scop armonizarea legislației naționale cu legislația Uniunii Europene, ceea ce denotă lipsa necesității descrierii gradului de compatibilitate a proiectului în acest sens.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Principalele prevederi ale proiectului</w:t>
            </w:r>
          </w:p>
        </w:tc>
      </w:tr>
      <w:tr w:rsidR="00611C1C" w:rsidRPr="00611C1C" w:rsidTr="00CA6DDB">
        <w:tc>
          <w:tcPr>
            <w:tcW w:w="9776" w:type="dxa"/>
          </w:tcPr>
          <w:p w:rsidR="007F4A8D" w:rsidRPr="00611C1C" w:rsidRDefault="00DF266F" w:rsidP="00DF266F">
            <w:pPr>
              <w:spacing w:line="276" w:lineRule="auto"/>
              <w:ind w:firstLine="589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Proiectul hotărârii prevede </w:t>
            </w:r>
            <w:r w:rsidR="00985772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transmiterea unor bunuri din gestiunea Serviciului Fiscal de Stat </w:t>
            </w:r>
            <w:r w:rsidR="007F4A8D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în gestiunea </w:t>
            </w:r>
            <w:r w:rsidR="0016181B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Ministerului Afacerilor Interne</w:t>
            </w:r>
            <w:r w:rsidR="007F4A8D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pentru utilizarea acestora conform scopurilor determinate.</w:t>
            </w:r>
          </w:p>
          <w:p w:rsidR="00DF266F" w:rsidRPr="00611C1C" w:rsidRDefault="007F4A8D" w:rsidP="00EB4BD1">
            <w:pPr>
              <w:spacing w:line="276" w:lineRule="auto"/>
              <w:ind w:firstLine="589"/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Bunurile transmise vor asigura identificarea persoanelor</w:t>
            </w:r>
            <w:r w:rsidR="00EB4BD1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aflate în situații de risc ca rezultat al producerii </w:t>
            </w:r>
            <w:r w:rsidR="00611C1C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calamităților</w:t>
            </w:r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naturale </w:t>
            </w:r>
            <w:proofErr w:type="spellStart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şi</w:t>
            </w:r>
            <w:proofErr w:type="spellEnd"/>
            <w:r w:rsidR="00EB4BD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 xml:space="preserve"> ecologice, avariilor, catastrofelor și incendiilor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, </w:t>
            </w:r>
            <w:proofErr w:type="spellStart"/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avînd</w:t>
            </w:r>
            <w:proofErr w:type="spellEnd"/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posibilitate stabilirii temperatu</w:t>
            </w:r>
            <w:r w:rsidR="00EB4BD1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rii corpului uman</w:t>
            </w: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  <w:lang w:val="ro-RO"/>
              </w:rPr>
              <w:t>.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Fundamentarea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economico</w:t>
            </w:r>
            <w:proofErr w:type="spellEnd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-financiară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4B7F4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Aprobarea prezentului proiect de hotărâre nu implică cheltuieli bugetare suplimentare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4B7F4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Drept urmare a adoptării prezentului proiect nu va fi necesară modificarea și completarea altor acte normative.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DF266F" w:rsidP="00DF266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Avizarea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şi</w:t>
            </w:r>
            <w:proofErr w:type="spellEnd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AE2C98" w:rsidP="004B7F43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lastRenderedPageBreak/>
              <w:t>Î</w:t>
            </w:r>
            <w:r w:rsidR="00C5197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n scopul respectă</w:t>
            </w:r>
            <w:r w:rsidR="00DF266F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rii prevederilor Legii nr. 239-XVI din 13 noiembrie 2008 privind trans</w:t>
            </w:r>
            <w:r w:rsidR="00C5197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parența în procesul decizional, proiectul a fost</w:t>
            </w:r>
            <w:r w:rsidR="00DF266F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plasat pe pagina web ofic</w:t>
            </w:r>
            <w:r w:rsidR="00C51971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ială a Ministerului F</w:t>
            </w:r>
            <w:r w:rsidR="00C53AFE" w:rsidRPr="00611C1C">
              <w:rPr>
                <w:rFonts w:ascii="Times New Roman" w:hAnsi="Times New Roman"/>
                <w:color w:val="000000" w:themeColor="text1"/>
                <w:sz w:val="26"/>
                <w:szCs w:val="26"/>
                <w:lang w:val="ro-RO"/>
              </w:rPr>
              <w:t>inanțelor al Republicii Moldova.</w:t>
            </w:r>
          </w:p>
        </w:tc>
      </w:tr>
      <w:tr w:rsidR="00611C1C" w:rsidRPr="00611C1C" w:rsidTr="00CA6DDB">
        <w:tc>
          <w:tcPr>
            <w:tcW w:w="9776" w:type="dxa"/>
          </w:tcPr>
          <w:p w:rsidR="00DF266F" w:rsidRPr="00611C1C" w:rsidRDefault="00C53AFE" w:rsidP="00C53A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 xml:space="preserve">Constatările expertizei </w:t>
            </w:r>
            <w:proofErr w:type="spellStart"/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anticorupţie</w:t>
            </w:r>
            <w:proofErr w:type="spellEnd"/>
          </w:p>
        </w:tc>
      </w:tr>
      <w:tr w:rsidR="00611C1C" w:rsidRPr="00611C1C" w:rsidTr="00CA6DDB">
        <w:tc>
          <w:tcPr>
            <w:tcW w:w="9776" w:type="dxa"/>
          </w:tcPr>
          <w:p w:rsidR="00C53AFE" w:rsidRPr="00611C1C" w:rsidRDefault="00AE2C98" w:rsidP="00AE2C9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Nu este necesară expertiza</w:t>
            </w:r>
            <w:r w:rsidR="00C53AFE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anticorupție </w:t>
            </w:r>
          </w:p>
        </w:tc>
      </w:tr>
      <w:tr w:rsidR="00611C1C" w:rsidRPr="00611C1C" w:rsidTr="00CA6DDB">
        <w:tc>
          <w:tcPr>
            <w:tcW w:w="9776" w:type="dxa"/>
          </w:tcPr>
          <w:p w:rsidR="00C53AFE" w:rsidRPr="00611C1C" w:rsidRDefault="00C53AFE" w:rsidP="00C53A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Constatările expertizei de compatibilitate</w:t>
            </w:r>
          </w:p>
        </w:tc>
      </w:tr>
      <w:tr w:rsidR="00611C1C" w:rsidRPr="00611C1C" w:rsidTr="00CA6DDB">
        <w:tc>
          <w:tcPr>
            <w:tcW w:w="9776" w:type="dxa"/>
          </w:tcPr>
          <w:p w:rsidR="00C53AFE" w:rsidRPr="00611C1C" w:rsidRDefault="00C53AFE" w:rsidP="004B7F43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Proiectul de </w:t>
            </w:r>
            <w:r w:rsidR="00611C1C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hotărâre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nu are drept scop armonizarea legislației naționale cu legislația Uniunii Europene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ro-RO"/>
              </w:rPr>
              <w:t>.</w:t>
            </w:r>
          </w:p>
        </w:tc>
      </w:tr>
      <w:tr w:rsidR="00611C1C" w:rsidRPr="00611C1C" w:rsidTr="00CA6DDB">
        <w:tc>
          <w:tcPr>
            <w:tcW w:w="9776" w:type="dxa"/>
          </w:tcPr>
          <w:p w:rsidR="00C53AFE" w:rsidRPr="00611C1C" w:rsidRDefault="00C53AFE" w:rsidP="00C53AFE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</w:pPr>
            <w:r w:rsidRPr="00611C1C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AE2C98" w:rsidRPr="00611C1C" w:rsidTr="00CA6DDB">
        <w:tc>
          <w:tcPr>
            <w:tcW w:w="9776" w:type="dxa"/>
          </w:tcPr>
          <w:p w:rsidR="00C53AFE" w:rsidRPr="00611C1C" w:rsidRDefault="00AE2C98" w:rsidP="00AE2C98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</w:pP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Nu este necesară expertiza</w:t>
            </w:r>
            <w:r w:rsidR="004B7F43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privind compatibilitatea proiectului de </w:t>
            </w:r>
            <w:r w:rsidR="00611C1C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hotărâre</w:t>
            </w:r>
            <w:r w:rsidR="004B7F43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cu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alte acte normative în vigoare. Normel</w:t>
            </w:r>
            <w:r w:rsidR="00611C1C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>e</w:t>
            </w:r>
            <w:r w:rsidR="004B7F43"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 de tehnică legislativă </w:t>
            </w:r>
            <w:r w:rsidRPr="00611C1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ro-RO"/>
              </w:rPr>
              <w:t xml:space="preserve">au fost respectate. </w:t>
            </w:r>
          </w:p>
        </w:tc>
      </w:tr>
    </w:tbl>
    <w:p w:rsidR="00391CE9" w:rsidRPr="00611C1C" w:rsidRDefault="00391CE9">
      <w:pPr>
        <w:rPr>
          <w:color w:val="000000" w:themeColor="text1"/>
          <w:lang w:val="ro-RO"/>
        </w:rPr>
      </w:pPr>
    </w:p>
    <w:p w:rsidR="006E4717" w:rsidRPr="00611C1C" w:rsidRDefault="006E4717">
      <w:pPr>
        <w:rPr>
          <w:color w:val="000000" w:themeColor="text1"/>
          <w:lang w:val="ro-RO"/>
        </w:rPr>
      </w:pPr>
    </w:p>
    <w:p w:rsidR="006E4717" w:rsidRPr="00611C1C" w:rsidRDefault="006E4717" w:rsidP="006E4717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611C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    Viceprim-ministru,</w:t>
      </w:r>
    </w:p>
    <w:p w:rsidR="006E4717" w:rsidRPr="00611C1C" w:rsidRDefault="006E4717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</w:pPr>
      <w:r w:rsidRPr="00611C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 xml:space="preserve">     Ministru al Finanțelor</w:t>
      </w:r>
      <w:r w:rsidRPr="00611C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ab/>
      </w:r>
      <w:r w:rsidRPr="00611C1C">
        <w:rPr>
          <w:rFonts w:ascii="Times New Roman" w:hAnsi="Times New Roman" w:cs="Times New Roman"/>
          <w:color w:val="000000" w:themeColor="text1"/>
          <w:sz w:val="26"/>
          <w:szCs w:val="26"/>
          <w:lang w:val="ro-RO"/>
        </w:rPr>
        <w:t xml:space="preserve">                                                               </w:t>
      </w:r>
      <w:r w:rsidRPr="00611C1C">
        <w:rPr>
          <w:rFonts w:ascii="Times New Roman" w:hAnsi="Times New Roman" w:cs="Times New Roman"/>
          <w:b/>
          <w:color w:val="000000" w:themeColor="text1"/>
          <w:sz w:val="26"/>
          <w:szCs w:val="26"/>
          <w:lang w:val="ro-RO"/>
        </w:rPr>
        <w:t>Serghei PUȘCUȚA</w:t>
      </w:r>
    </w:p>
    <w:p w:rsidR="006E4717" w:rsidRPr="00611C1C" w:rsidRDefault="006E4717">
      <w:pPr>
        <w:rPr>
          <w:color w:val="000000" w:themeColor="text1"/>
          <w:lang w:val="ro-RO"/>
        </w:rPr>
      </w:pPr>
    </w:p>
    <w:sectPr w:rsidR="006E4717" w:rsidRPr="00611C1C" w:rsidSect="006E4717">
      <w:pgSz w:w="12240" w:h="15840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A392E"/>
    <w:multiLevelType w:val="hybridMultilevel"/>
    <w:tmpl w:val="9FE0F0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EBD3246"/>
    <w:multiLevelType w:val="hybridMultilevel"/>
    <w:tmpl w:val="CB4EFDDC"/>
    <w:lvl w:ilvl="0" w:tplc="C2B8B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5C"/>
    <w:rsid w:val="000767E5"/>
    <w:rsid w:val="000E7955"/>
    <w:rsid w:val="0011125C"/>
    <w:rsid w:val="00112202"/>
    <w:rsid w:val="00132595"/>
    <w:rsid w:val="0016181B"/>
    <w:rsid w:val="00246B51"/>
    <w:rsid w:val="002745AA"/>
    <w:rsid w:val="00311C5C"/>
    <w:rsid w:val="00335437"/>
    <w:rsid w:val="00391CE9"/>
    <w:rsid w:val="003E4017"/>
    <w:rsid w:val="004B7F43"/>
    <w:rsid w:val="0056326F"/>
    <w:rsid w:val="005700EA"/>
    <w:rsid w:val="00575708"/>
    <w:rsid w:val="005A5277"/>
    <w:rsid w:val="00611C1C"/>
    <w:rsid w:val="0061274E"/>
    <w:rsid w:val="00672F28"/>
    <w:rsid w:val="00677174"/>
    <w:rsid w:val="006B3634"/>
    <w:rsid w:val="006E4717"/>
    <w:rsid w:val="00720B44"/>
    <w:rsid w:val="0079003E"/>
    <w:rsid w:val="007F4A8D"/>
    <w:rsid w:val="00876CAA"/>
    <w:rsid w:val="008F733A"/>
    <w:rsid w:val="00985772"/>
    <w:rsid w:val="00A0067C"/>
    <w:rsid w:val="00A414C5"/>
    <w:rsid w:val="00A45C09"/>
    <w:rsid w:val="00AE2C98"/>
    <w:rsid w:val="00B722BD"/>
    <w:rsid w:val="00C51971"/>
    <w:rsid w:val="00C53AFE"/>
    <w:rsid w:val="00CA6DDB"/>
    <w:rsid w:val="00CD42CE"/>
    <w:rsid w:val="00D00B19"/>
    <w:rsid w:val="00DA01EE"/>
    <w:rsid w:val="00DF266F"/>
    <w:rsid w:val="00E170CC"/>
    <w:rsid w:val="00E87072"/>
    <w:rsid w:val="00E9552D"/>
    <w:rsid w:val="00EB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CA6DE"/>
  <w15:docId w15:val="{3D0C8AF5-8236-42F2-963E-D2BC6D06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1C5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1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Tricolici Diana</dc:creator>
  <cp:lastModifiedBy>Morcov Marin</cp:lastModifiedBy>
  <cp:revision>21</cp:revision>
  <cp:lastPrinted>2020-02-04T06:34:00Z</cp:lastPrinted>
  <dcterms:created xsi:type="dcterms:W3CDTF">2019-04-05T14:41:00Z</dcterms:created>
  <dcterms:modified xsi:type="dcterms:W3CDTF">2020-02-04T17:38:00Z</dcterms:modified>
</cp:coreProperties>
</file>