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5DF" w:rsidRPr="0070124D" w:rsidRDefault="00E825DF" w:rsidP="00E825DF">
      <w:pPr>
        <w:spacing w:after="0" w:line="240" w:lineRule="auto"/>
        <w:jc w:val="center"/>
        <w:rPr>
          <w:rFonts w:ascii="Times New Roman" w:hAnsi="Times New Roman"/>
          <w:b/>
          <w:sz w:val="28"/>
          <w:szCs w:val="28"/>
          <w:lang w:val="ro-RO"/>
        </w:rPr>
      </w:pPr>
      <w:r w:rsidRPr="0070124D">
        <w:rPr>
          <w:rFonts w:ascii="Times New Roman" w:hAnsi="Times New Roman"/>
          <w:b/>
          <w:sz w:val="28"/>
          <w:szCs w:val="28"/>
          <w:lang w:val="ro-RO"/>
        </w:rPr>
        <w:t xml:space="preserve">NOTĂ INFORMATIVĂ </w:t>
      </w:r>
    </w:p>
    <w:p w:rsidR="00E825DF" w:rsidRPr="0070124D" w:rsidRDefault="00E825DF" w:rsidP="00E825DF">
      <w:pPr>
        <w:spacing w:after="0" w:line="240" w:lineRule="auto"/>
        <w:jc w:val="center"/>
        <w:rPr>
          <w:rFonts w:ascii="Times New Roman" w:hAnsi="Times New Roman"/>
          <w:b/>
          <w:sz w:val="28"/>
          <w:szCs w:val="28"/>
          <w:lang w:val="ro-RO"/>
        </w:rPr>
      </w:pPr>
      <w:r w:rsidRPr="0070124D">
        <w:rPr>
          <w:rFonts w:ascii="Times New Roman" w:hAnsi="Times New Roman"/>
          <w:b/>
          <w:sz w:val="28"/>
          <w:szCs w:val="28"/>
          <w:lang w:val="ro-RO"/>
        </w:rPr>
        <w:t xml:space="preserve">la proiectul </w:t>
      </w:r>
      <w:proofErr w:type="spellStart"/>
      <w:r w:rsidRPr="0070124D">
        <w:rPr>
          <w:rFonts w:ascii="Times New Roman" w:hAnsi="Times New Roman"/>
          <w:b/>
          <w:sz w:val="28"/>
          <w:szCs w:val="28"/>
          <w:lang w:val="ro-RO"/>
        </w:rPr>
        <w:t>hotărîrii</w:t>
      </w:r>
      <w:proofErr w:type="spellEnd"/>
      <w:r w:rsidRPr="0070124D">
        <w:rPr>
          <w:rFonts w:ascii="Times New Roman" w:hAnsi="Times New Roman"/>
          <w:b/>
          <w:sz w:val="28"/>
          <w:szCs w:val="28"/>
          <w:lang w:val="ro-RO"/>
        </w:rPr>
        <w:t xml:space="preserve"> Guvernului </w:t>
      </w:r>
    </w:p>
    <w:p w:rsidR="007B4BC5" w:rsidRPr="0070124D" w:rsidRDefault="007B4BC5" w:rsidP="007B4BC5">
      <w:pPr>
        <w:pStyle w:val="Corptext"/>
        <w:tabs>
          <w:tab w:val="right" w:pos="9055"/>
        </w:tabs>
        <w:spacing w:before="1"/>
        <w:ind w:right="409"/>
        <w:jc w:val="center"/>
        <w:rPr>
          <w:b/>
        </w:rPr>
      </w:pPr>
      <w:r w:rsidRPr="0070124D">
        <w:rPr>
          <w:b/>
        </w:rPr>
        <w:t>pentru aprobarea Regulamentului privind controlul emisiilor de compuși organici volatili (COV) rezultați din depozitarea și din distribuția benzinei de la terminale la stațiile de alimentare cu produse petroliere</w:t>
      </w:r>
    </w:p>
    <w:p w:rsidR="00E825DF" w:rsidRPr="0070124D" w:rsidRDefault="00E825DF" w:rsidP="00E825DF">
      <w:pPr>
        <w:widowControl w:val="0"/>
        <w:overflowPunct w:val="0"/>
        <w:adjustRightInd w:val="0"/>
        <w:spacing w:after="0" w:line="240" w:lineRule="auto"/>
        <w:ind w:firstLine="720"/>
        <w:jc w:val="center"/>
        <w:rPr>
          <w:rFonts w:ascii="Times New Roman" w:hAnsi="Times New Roman"/>
          <w:color w:val="191919"/>
          <w:sz w:val="28"/>
          <w:szCs w:val="28"/>
          <w:lang w:val="ro-RO"/>
        </w:rPr>
      </w:pPr>
    </w:p>
    <w:tbl>
      <w:tblPr>
        <w:tblStyle w:val="Tabelgril"/>
        <w:tblW w:w="9669" w:type="dxa"/>
        <w:tblInd w:w="-318" w:type="dxa"/>
        <w:tblLook w:val="04A0" w:firstRow="1" w:lastRow="0" w:firstColumn="1" w:lastColumn="0" w:noHBand="0" w:noVBand="1"/>
      </w:tblPr>
      <w:tblGrid>
        <w:gridCol w:w="9669"/>
      </w:tblGrid>
      <w:tr w:rsidR="00E825DF" w:rsidRPr="004A3555" w:rsidTr="00E5002E">
        <w:trPr>
          <w:trHeight w:val="507"/>
        </w:trPr>
        <w:tc>
          <w:tcPr>
            <w:tcW w:w="9669" w:type="dxa"/>
            <w:shd w:val="clear" w:color="auto" w:fill="D9D9D9" w:themeFill="background1" w:themeFillShade="D9"/>
          </w:tcPr>
          <w:p w:rsidR="00E825DF" w:rsidRPr="0070124D" w:rsidRDefault="00E825DF" w:rsidP="002A1ED2">
            <w:pPr>
              <w:pStyle w:val="Listparagraf"/>
              <w:widowControl w:val="0"/>
              <w:numPr>
                <w:ilvl w:val="0"/>
                <w:numId w:val="1"/>
              </w:numPr>
              <w:overflowPunct w:val="0"/>
              <w:adjustRightInd w:val="0"/>
              <w:spacing w:after="0" w:line="240" w:lineRule="auto"/>
              <w:jc w:val="both"/>
              <w:rPr>
                <w:rFonts w:ascii="Times New Roman" w:hAnsi="Times New Roman"/>
                <w:color w:val="191919"/>
                <w:sz w:val="28"/>
                <w:szCs w:val="28"/>
                <w:lang w:val="ro-RO"/>
              </w:rPr>
            </w:pPr>
            <w:bookmarkStart w:id="0" w:name="_Hlk491071512"/>
            <w:r w:rsidRPr="0070124D">
              <w:rPr>
                <w:rFonts w:ascii="Times New Roman" w:hAnsi="Times New Roman"/>
                <w:color w:val="191919"/>
                <w:sz w:val="28"/>
                <w:szCs w:val="28"/>
                <w:lang w:val="ro-RO"/>
              </w:rPr>
              <w:t>Denumirea autorului, și, după caz, a participanților la elaborarea proiectului</w:t>
            </w:r>
          </w:p>
        </w:tc>
      </w:tr>
      <w:tr w:rsidR="00E825DF" w:rsidRPr="004A3555" w:rsidTr="002152B8">
        <w:tc>
          <w:tcPr>
            <w:tcW w:w="9669" w:type="dxa"/>
          </w:tcPr>
          <w:p w:rsidR="00E825DF" w:rsidRPr="0070124D" w:rsidRDefault="00E825DF" w:rsidP="0003664F">
            <w:pPr>
              <w:pStyle w:val="NormalWeb"/>
              <w:spacing w:before="0" w:beforeAutospacing="0"/>
              <w:ind w:right="28"/>
              <w:jc w:val="both"/>
              <w:rPr>
                <w:color w:val="FF0000"/>
                <w:sz w:val="26"/>
                <w:szCs w:val="26"/>
                <w:lang w:val="ro-RO"/>
              </w:rPr>
            </w:pPr>
            <w:r w:rsidRPr="0070124D">
              <w:rPr>
                <w:sz w:val="26"/>
                <w:szCs w:val="26"/>
                <w:lang w:val="ro-RO"/>
              </w:rPr>
              <w:t xml:space="preserve">Proiectul </w:t>
            </w:r>
            <w:proofErr w:type="spellStart"/>
            <w:r w:rsidRPr="0070124D">
              <w:rPr>
                <w:sz w:val="26"/>
                <w:szCs w:val="26"/>
                <w:lang w:val="ro-RO"/>
              </w:rPr>
              <w:t>hotărîrii</w:t>
            </w:r>
            <w:proofErr w:type="spellEnd"/>
            <w:r w:rsidRPr="0070124D">
              <w:rPr>
                <w:sz w:val="26"/>
                <w:szCs w:val="26"/>
                <w:lang w:val="ro-RO"/>
              </w:rPr>
              <w:t xml:space="preserve"> Guvernului </w:t>
            </w:r>
            <w:r w:rsidR="0003664F" w:rsidRPr="0070124D">
              <w:rPr>
                <w:sz w:val="26"/>
                <w:szCs w:val="26"/>
                <w:lang w:val="ro-RO"/>
              </w:rPr>
              <w:t>pentru aprobarea Regulamentului privind controlul emisiilor de compuși organici volatili (COV) rezultați din depozitarea și din distribuția benzinei de la terminale la stațiile de alimentare cu produse petroliere</w:t>
            </w:r>
            <w:r w:rsidR="0003664F" w:rsidRPr="0070124D">
              <w:rPr>
                <w:bCs/>
                <w:sz w:val="26"/>
                <w:szCs w:val="26"/>
                <w:lang w:val="ro-RO"/>
              </w:rPr>
              <w:t xml:space="preserve"> </w:t>
            </w:r>
            <w:r w:rsidRPr="0070124D">
              <w:rPr>
                <w:sz w:val="26"/>
                <w:szCs w:val="26"/>
                <w:lang w:val="ro-RO"/>
              </w:rPr>
              <w:t xml:space="preserve">a fost elaborat de către Ministerul Agriculturii, Dezvoltării Regionale și Mediului, cu suportul parțial al proiectului </w:t>
            </w:r>
            <w:r w:rsidR="00143228" w:rsidRPr="0070124D">
              <w:rPr>
                <w:sz w:val="26"/>
                <w:szCs w:val="26"/>
                <w:lang w:val="ro-RO"/>
              </w:rPr>
              <w:t>Agenției de Cooperare Internațională a Germaniei</w:t>
            </w:r>
            <w:r w:rsidRPr="0070124D">
              <w:rPr>
                <w:sz w:val="26"/>
                <w:szCs w:val="26"/>
                <w:lang w:val="ro-RO"/>
              </w:rPr>
              <w:t xml:space="preserve"> </w:t>
            </w:r>
            <w:r w:rsidR="006278B0" w:rsidRPr="0070124D">
              <w:rPr>
                <w:sz w:val="26"/>
                <w:szCs w:val="26"/>
                <w:lang w:val="ro-RO"/>
              </w:rPr>
              <w:t xml:space="preserve">(GIZ) </w:t>
            </w:r>
            <w:r w:rsidRPr="0070124D">
              <w:rPr>
                <w:rFonts w:eastAsiaTheme="minorHAnsi"/>
                <w:sz w:val="26"/>
                <w:szCs w:val="26"/>
                <w:lang w:val="ro-RO" w:eastAsia="en-US"/>
              </w:rPr>
              <w:t>"Dezvoltarea Capacităților pentru Alinierea la Obiectivele Climatice ale Uniunii Europene în Ț</w:t>
            </w:r>
            <w:r w:rsidR="006278B0" w:rsidRPr="0070124D">
              <w:rPr>
                <w:rFonts w:eastAsiaTheme="minorHAnsi"/>
                <w:sz w:val="26"/>
                <w:szCs w:val="26"/>
                <w:lang w:val="ro-RO" w:eastAsia="en-US"/>
              </w:rPr>
              <w:t>ările din Parteneriatul Estic”</w:t>
            </w:r>
            <w:r w:rsidRPr="0070124D">
              <w:rPr>
                <w:rFonts w:eastAsiaTheme="minorHAnsi"/>
                <w:sz w:val="26"/>
                <w:szCs w:val="26"/>
                <w:lang w:val="ro-RO" w:eastAsia="en-US"/>
              </w:rPr>
              <w:t xml:space="preserve">, finanțat de către Ministerul Federal al Mediului, Conservării Naturii, Construcției și </w:t>
            </w:r>
            <w:r w:rsidR="00C13D4E" w:rsidRPr="0070124D">
              <w:rPr>
                <w:rFonts w:eastAsiaTheme="minorHAnsi"/>
                <w:sz w:val="26"/>
                <w:szCs w:val="26"/>
                <w:lang w:val="ro-RO" w:eastAsia="en-US"/>
              </w:rPr>
              <w:t>Securităț</w:t>
            </w:r>
            <w:r w:rsidRPr="0070124D">
              <w:rPr>
                <w:rFonts w:eastAsiaTheme="minorHAnsi"/>
                <w:sz w:val="26"/>
                <w:szCs w:val="26"/>
                <w:lang w:val="ro-RO" w:eastAsia="en-US"/>
              </w:rPr>
              <w:t xml:space="preserve">ii Nucleare al Germaniei. </w:t>
            </w:r>
          </w:p>
        </w:tc>
      </w:tr>
      <w:tr w:rsidR="00E825DF" w:rsidRPr="004A3555" w:rsidTr="002152B8">
        <w:tc>
          <w:tcPr>
            <w:tcW w:w="9669" w:type="dxa"/>
            <w:shd w:val="clear" w:color="auto" w:fill="D9D9D9" w:themeFill="background1" w:themeFillShade="D9"/>
          </w:tcPr>
          <w:p w:rsidR="0095513A" w:rsidRPr="0070124D" w:rsidRDefault="00E825DF" w:rsidP="002A1ED2">
            <w:pPr>
              <w:pStyle w:val="Listparagraf"/>
              <w:widowControl w:val="0"/>
              <w:numPr>
                <w:ilvl w:val="0"/>
                <w:numId w:val="1"/>
              </w:numPr>
              <w:overflowPunct w:val="0"/>
              <w:adjustRightInd w:val="0"/>
              <w:spacing w:after="0" w:line="240" w:lineRule="auto"/>
              <w:jc w:val="both"/>
              <w:rPr>
                <w:rFonts w:ascii="Times New Roman" w:hAnsi="Times New Roman"/>
                <w:color w:val="FF0000"/>
                <w:sz w:val="28"/>
                <w:szCs w:val="28"/>
                <w:lang w:val="ro-RO"/>
              </w:rPr>
            </w:pPr>
            <w:r w:rsidRPr="0070124D">
              <w:rPr>
                <w:rFonts w:ascii="Times New Roman" w:hAnsi="Times New Roman"/>
                <w:sz w:val="28"/>
                <w:szCs w:val="28"/>
                <w:lang w:val="ro-RO"/>
              </w:rPr>
              <w:t>Condițiile ce au impus elaborarea proiectului de act normativ și finalitățile acestuia</w:t>
            </w:r>
          </w:p>
        </w:tc>
      </w:tr>
      <w:tr w:rsidR="00E825DF" w:rsidRPr="004A3555" w:rsidTr="002152B8">
        <w:tc>
          <w:tcPr>
            <w:tcW w:w="9669" w:type="dxa"/>
          </w:tcPr>
          <w:p w:rsidR="00E16EF4" w:rsidRPr="0070124D" w:rsidRDefault="001F1FFE" w:rsidP="00DF71C3">
            <w:pPr>
              <w:spacing w:after="0"/>
              <w:jc w:val="both"/>
              <w:rPr>
                <w:rFonts w:ascii="Times New Roman" w:hAnsi="Times New Roman"/>
                <w:sz w:val="26"/>
                <w:szCs w:val="26"/>
                <w:lang w:val="ro-RO"/>
              </w:rPr>
            </w:pPr>
            <w:r w:rsidRPr="0070124D">
              <w:rPr>
                <w:rFonts w:ascii="Times New Roman" w:hAnsi="Times New Roman"/>
                <w:sz w:val="26"/>
                <w:szCs w:val="26"/>
                <w:lang w:val="ro-RO"/>
              </w:rPr>
              <w:t xml:space="preserve">Proiectul </w:t>
            </w:r>
            <w:proofErr w:type="spellStart"/>
            <w:r w:rsidRPr="0070124D">
              <w:rPr>
                <w:rFonts w:ascii="Times New Roman" w:hAnsi="Times New Roman"/>
                <w:sz w:val="26"/>
                <w:szCs w:val="26"/>
                <w:lang w:val="ro-RO"/>
              </w:rPr>
              <w:t>hotărîrii</w:t>
            </w:r>
            <w:proofErr w:type="spellEnd"/>
            <w:r w:rsidRPr="0070124D">
              <w:rPr>
                <w:rFonts w:ascii="Times New Roman" w:hAnsi="Times New Roman"/>
                <w:sz w:val="26"/>
                <w:szCs w:val="26"/>
                <w:lang w:val="ro-RO"/>
              </w:rPr>
              <w:t xml:space="preserve"> Guvernului pentru aprobarea Regulamentului privind controlul emisiilor de compuși organici volatili (COV) rezultați din depozitarea și din distribuția benzinei de la terminale la stațiile de alimentare cu produse petroliere</w:t>
            </w:r>
            <w:r w:rsidRPr="0070124D">
              <w:rPr>
                <w:rFonts w:ascii="Times New Roman" w:hAnsi="Times New Roman"/>
                <w:bCs/>
                <w:sz w:val="26"/>
                <w:szCs w:val="26"/>
                <w:lang w:val="ro-RO"/>
              </w:rPr>
              <w:t xml:space="preserve"> </w:t>
            </w:r>
            <w:r w:rsidR="00E825DF" w:rsidRPr="0070124D">
              <w:rPr>
                <w:rFonts w:ascii="Times New Roman" w:hAnsi="Times New Roman"/>
                <w:sz w:val="26"/>
                <w:szCs w:val="26"/>
                <w:lang w:val="ro-RO"/>
              </w:rPr>
              <w:t>este elaborat în conformitate cu prevederile</w:t>
            </w:r>
            <w:r w:rsidRPr="0070124D">
              <w:rPr>
                <w:rFonts w:ascii="Times New Roman" w:hAnsi="Times New Roman"/>
                <w:sz w:val="26"/>
                <w:szCs w:val="26"/>
                <w:lang w:val="ro-RO"/>
              </w:rPr>
              <w:t xml:space="preserve"> art</w:t>
            </w:r>
            <w:r w:rsidR="00965841" w:rsidRPr="0070124D">
              <w:rPr>
                <w:rFonts w:ascii="Times New Roman" w:hAnsi="Times New Roman"/>
                <w:sz w:val="26"/>
                <w:szCs w:val="26"/>
                <w:lang w:val="ro-RO"/>
              </w:rPr>
              <w:t>. 87 lit. (b) și (f)</w:t>
            </w:r>
            <w:r w:rsidRPr="0070124D">
              <w:rPr>
                <w:rFonts w:ascii="Times New Roman" w:hAnsi="Times New Roman"/>
                <w:sz w:val="26"/>
                <w:szCs w:val="26"/>
                <w:lang w:val="ro-RO"/>
              </w:rPr>
              <w:t xml:space="preserve"> din capitolul 16 ”Mediul înconjurător” și art. 92 din capitolul 17 ”Politici climatice”, titlul IV, din Acordul de Asociere dintre Republica Moldova, pe de o parte, și Uniunea Europeană și Comunitatea Europeană a Energiei Atomice și statele membre ale acestora, pe de altă parte, ratificat prin Legea nr. 112 din 2 iulie 2014 </w:t>
            </w:r>
            <w:r w:rsidR="00E825DF" w:rsidRPr="0070124D">
              <w:rPr>
                <w:rFonts w:ascii="Times New Roman" w:hAnsi="Times New Roman"/>
                <w:sz w:val="26"/>
                <w:szCs w:val="26"/>
                <w:lang w:val="ro-RO"/>
              </w:rPr>
              <w:t xml:space="preserve"> (Monitorul Oficial al Republicii Moldova, 2014, nr.185-199, art.442) </w:t>
            </w:r>
            <w:proofErr w:type="spellStart"/>
            <w:r w:rsidR="00E825DF" w:rsidRPr="0070124D">
              <w:rPr>
                <w:rFonts w:ascii="Times New Roman" w:hAnsi="Times New Roman"/>
                <w:sz w:val="26"/>
                <w:szCs w:val="26"/>
                <w:lang w:val="ro-RO"/>
              </w:rPr>
              <w:t>şi</w:t>
            </w:r>
            <w:proofErr w:type="spellEnd"/>
            <w:r w:rsidR="00E825DF" w:rsidRPr="0070124D">
              <w:rPr>
                <w:rFonts w:ascii="Times New Roman" w:hAnsi="Times New Roman"/>
                <w:sz w:val="26"/>
                <w:szCs w:val="26"/>
                <w:lang w:val="ro-RO"/>
              </w:rPr>
              <w:t xml:space="preserve"> a Planului național de acțiuni pentru implementarea Acordului de Asociere Republica Moldova–Uniunea Europeană în perioada 2017–2019, aprobat prin </w:t>
            </w:r>
            <w:proofErr w:type="spellStart"/>
            <w:r w:rsidR="00E825DF" w:rsidRPr="0070124D">
              <w:rPr>
                <w:rFonts w:ascii="Times New Roman" w:hAnsi="Times New Roman"/>
                <w:sz w:val="26"/>
                <w:szCs w:val="26"/>
                <w:lang w:val="ro-RO"/>
              </w:rPr>
              <w:t>Hotărîrea</w:t>
            </w:r>
            <w:proofErr w:type="spellEnd"/>
            <w:r w:rsidR="00E825DF" w:rsidRPr="0070124D">
              <w:rPr>
                <w:rFonts w:ascii="Times New Roman" w:hAnsi="Times New Roman"/>
                <w:sz w:val="26"/>
                <w:szCs w:val="26"/>
                <w:lang w:val="ro-RO"/>
              </w:rPr>
              <w:t xml:space="preserve"> Guvernului nr. 1472</w:t>
            </w:r>
            <w:r w:rsidR="00EF2011" w:rsidRPr="0070124D">
              <w:rPr>
                <w:rFonts w:ascii="Times New Roman" w:hAnsi="Times New Roman"/>
                <w:sz w:val="26"/>
                <w:szCs w:val="26"/>
                <w:lang w:val="ro-RO"/>
              </w:rPr>
              <w:t>/</w:t>
            </w:r>
            <w:r w:rsidR="00E825DF" w:rsidRPr="0070124D">
              <w:rPr>
                <w:rFonts w:ascii="Times New Roman" w:hAnsi="Times New Roman"/>
                <w:sz w:val="26"/>
                <w:szCs w:val="26"/>
                <w:lang w:val="ro-RO"/>
              </w:rPr>
              <w:t>2016 (Monitorul Oficial al Republicii Moldova,</w:t>
            </w:r>
            <w:r w:rsidRPr="0070124D">
              <w:rPr>
                <w:rFonts w:ascii="Times New Roman" w:hAnsi="Times New Roman"/>
                <w:sz w:val="26"/>
                <w:szCs w:val="26"/>
                <w:lang w:val="ro-RO"/>
              </w:rPr>
              <w:t xml:space="preserve">  2017, nr. 103-108, art. 271). </w:t>
            </w:r>
            <w:r w:rsidR="00965841" w:rsidRPr="0070124D">
              <w:rPr>
                <w:rFonts w:ascii="Times New Roman" w:hAnsi="Times New Roman"/>
                <w:sz w:val="26"/>
                <w:szCs w:val="26"/>
                <w:lang w:val="ro-RO"/>
              </w:rPr>
              <w:t xml:space="preserve">Necesită a fi menționat că, Legea nr. 1515/1993 privind protecția mediului înconjurător garantează asigurarea fiecărui om a dreptului la un mediu sănătos și estetic plăcut și obligă Guvernul să efectueze măsurile pentru diminuarea poluării atmosferei cu mai mulți poluanți printre care și compuși organici volatili. Actualmente, cadrul normativ existent nefiind </w:t>
            </w:r>
            <w:r w:rsidR="00DF71C3" w:rsidRPr="0070124D">
              <w:rPr>
                <w:rFonts w:ascii="Times New Roman" w:hAnsi="Times New Roman"/>
                <w:sz w:val="26"/>
                <w:szCs w:val="26"/>
                <w:lang w:val="ro-RO"/>
              </w:rPr>
              <w:t>armonizat cu aquis-</w:t>
            </w:r>
            <w:proofErr w:type="spellStart"/>
            <w:r w:rsidR="00DF71C3" w:rsidRPr="0070124D">
              <w:rPr>
                <w:rFonts w:ascii="Times New Roman" w:hAnsi="Times New Roman"/>
                <w:sz w:val="26"/>
                <w:szCs w:val="26"/>
                <w:lang w:val="ro-RO"/>
              </w:rPr>
              <w:t>ul</w:t>
            </w:r>
            <w:proofErr w:type="spellEnd"/>
            <w:r w:rsidR="00DF71C3" w:rsidRPr="0070124D">
              <w:rPr>
                <w:rFonts w:ascii="Times New Roman" w:hAnsi="Times New Roman"/>
                <w:sz w:val="26"/>
                <w:szCs w:val="26"/>
                <w:lang w:val="ro-RO"/>
              </w:rPr>
              <w:t xml:space="preserve"> comunitar, </w:t>
            </w:r>
            <w:r w:rsidR="00965841" w:rsidRPr="0070124D">
              <w:rPr>
                <w:rFonts w:ascii="Times New Roman" w:hAnsi="Times New Roman"/>
                <w:sz w:val="26"/>
                <w:szCs w:val="26"/>
                <w:lang w:val="ro-RO"/>
              </w:rPr>
              <w:t>nu stabilește careva cerințe/dispoziții tehnice pentru limitarea emisiilor de compuși or</w:t>
            </w:r>
            <w:r w:rsidR="007F75B5" w:rsidRPr="0070124D">
              <w:rPr>
                <w:rFonts w:ascii="Times New Roman" w:hAnsi="Times New Roman"/>
                <w:sz w:val="26"/>
                <w:szCs w:val="26"/>
                <w:lang w:val="ro-RO"/>
              </w:rPr>
              <w:t>ganici volatili.</w:t>
            </w:r>
          </w:p>
          <w:p w:rsidR="007F75B5" w:rsidRPr="0070124D" w:rsidRDefault="007F75B5" w:rsidP="00DF71C3">
            <w:pPr>
              <w:spacing w:after="0"/>
              <w:jc w:val="both"/>
              <w:rPr>
                <w:rFonts w:ascii="Times New Roman" w:hAnsi="Times New Roman"/>
                <w:sz w:val="26"/>
                <w:szCs w:val="26"/>
                <w:lang w:val="ro-RO"/>
              </w:rPr>
            </w:pPr>
            <w:r w:rsidRPr="0070124D">
              <w:rPr>
                <w:rFonts w:ascii="Times New Roman" w:hAnsi="Times New Roman"/>
                <w:sz w:val="26"/>
                <w:szCs w:val="26"/>
                <w:lang w:val="ro-RO"/>
              </w:rPr>
              <w:t xml:space="preserve">În urma operațiunilor de gestionare a carburanților cum este descărcarea </w:t>
            </w:r>
            <w:proofErr w:type="spellStart"/>
            <w:r w:rsidRPr="0070124D">
              <w:rPr>
                <w:rFonts w:ascii="Times New Roman" w:hAnsi="Times New Roman"/>
                <w:sz w:val="26"/>
                <w:szCs w:val="26"/>
                <w:lang w:val="ro-RO"/>
              </w:rPr>
              <w:t>şi</w:t>
            </w:r>
            <w:proofErr w:type="spellEnd"/>
            <w:r w:rsidRPr="0070124D">
              <w:rPr>
                <w:rFonts w:ascii="Times New Roman" w:hAnsi="Times New Roman"/>
                <w:sz w:val="26"/>
                <w:szCs w:val="26"/>
                <w:lang w:val="ro-RO"/>
              </w:rPr>
              <w:t xml:space="preserve"> distribuția carburanților de la un terminal la altul, sau de la un terminal la o </w:t>
            </w:r>
            <w:proofErr w:type="spellStart"/>
            <w:r w:rsidRPr="0070124D">
              <w:rPr>
                <w:rFonts w:ascii="Times New Roman" w:hAnsi="Times New Roman"/>
                <w:sz w:val="26"/>
                <w:szCs w:val="26"/>
                <w:lang w:val="ro-RO"/>
              </w:rPr>
              <w:t>staţie</w:t>
            </w:r>
            <w:proofErr w:type="spellEnd"/>
            <w:r w:rsidRPr="0070124D">
              <w:rPr>
                <w:rFonts w:ascii="Times New Roman" w:hAnsi="Times New Roman"/>
                <w:sz w:val="26"/>
                <w:szCs w:val="26"/>
                <w:lang w:val="ro-RO"/>
              </w:rPr>
              <w:t xml:space="preserve"> de distribuție a carburanților, sunt eliminați compușii organici volatili. Astfel este necesar o reglementare a conținutului acestora. </w:t>
            </w:r>
          </w:p>
          <w:p w:rsidR="00E825DF" w:rsidRPr="0070124D" w:rsidRDefault="007F75B5" w:rsidP="00DF71C3">
            <w:pPr>
              <w:spacing w:after="0"/>
              <w:jc w:val="both"/>
              <w:rPr>
                <w:rFonts w:ascii="Times New Roman" w:hAnsi="Times New Roman"/>
                <w:sz w:val="26"/>
                <w:szCs w:val="26"/>
                <w:lang w:val="ro-RO"/>
              </w:rPr>
            </w:pPr>
            <w:r w:rsidRPr="0070124D">
              <w:rPr>
                <w:rFonts w:ascii="Times New Roman" w:hAnsi="Times New Roman"/>
                <w:sz w:val="26"/>
                <w:szCs w:val="26"/>
                <w:lang w:val="ro-RO"/>
              </w:rPr>
              <w:t xml:space="preserve">Problema poluării atmosferice cu compuși organici volatili a deveni vizibilă și acută reieșind din faptul că se atestă o creștere a consumului de carburanți. În conformitate cu datele din </w:t>
            </w:r>
            <w:r w:rsidR="00DF71C3" w:rsidRPr="0070124D">
              <w:rPr>
                <w:rFonts w:ascii="Times New Roman" w:eastAsia="Calibri" w:hAnsi="Times New Roman"/>
                <w:spacing w:val="-4"/>
                <w:sz w:val="26"/>
                <w:szCs w:val="26"/>
                <w:lang w:val="ro-RO"/>
              </w:rPr>
              <w:t xml:space="preserve">ultimii 10 </w:t>
            </w:r>
            <w:r w:rsidR="00236AC6">
              <w:rPr>
                <w:rFonts w:ascii="Times New Roman" w:eastAsia="Calibri" w:hAnsi="Times New Roman"/>
                <w:spacing w:val="-4"/>
                <w:sz w:val="26"/>
                <w:szCs w:val="26"/>
                <w:lang w:val="ro-RO"/>
              </w:rPr>
              <w:t xml:space="preserve">ani </w:t>
            </w:r>
            <w:r w:rsidR="00DF71C3" w:rsidRPr="0070124D">
              <w:rPr>
                <w:rFonts w:ascii="Times New Roman" w:eastAsia="Calibri" w:hAnsi="Times New Roman"/>
                <w:spacing w:val="-4"/>
                <w:sz w:val="26"/>
                <w:szCs w:val="26"/>
                <w:lang w:val="ro-RO"/>
              </w:rPr>
              <w:t xml:space="preserve">din  </w:t>
            </w:r>
            <w:r w:rsidRPr="0070124D">
              <w:rPr>
                <w:rFonts w:ascii="Times New Roman" w:hAnsi="Times New Roman"/>
                <w:sz w:val="26"/>
                <w:szCs w:val="26"/>
                <w:lang w:val="ro-RO"/>
              </w:rPr>
              <w:t>rapoartele statistice ale Agenție Naționale pe</w:t>
            </w:r>
            <w:r w:rsidR="00DF71C3" w:rsidRPr="0070124D">
              <w:rPr>
                <w:rFonts w:ascii="Times New Roman" w:hAnsi="Times New Roman"/>
                <w:sz w:val="26"/>
                <w:szCs w:val="26"/>
                <w:lang w:val="ro-RO"/>
              </w:rPr>
              <w:t xml:space="preserve">ntru Reglementare în Energetică </w:t>
            </w:r>
            <w:r w:rsidRPr="0070124D">
              <w:rPr>
                <w:rFonts w:ascii="Times New Roman" w:hAnsi="Times New Roman"/>
                <w:sz w:val="26"/>
                <w:szCs w:val="26"/>
                <w:lang w:val="ro-RO"/>
              </w:rPr>
              <w:t xml:space="preserve">se înregistrează o creștere a </w:t>
            </w:r>
            <w:r w:rsidRPr="0070124D">
              <w:rPr>
                <w:rFonts w:ascii="Times New Roman" w:eastAsia="Calibri" w:hAnsi="Times New Roman"/>
                <w:sz w:val="26"/>
                <w:szCs w:val="26"/>
                <w:lang w:val="ro-RO"/>
              </w:rPr>
              <w:t xml:space="preserve">numărul titularilor de licențe și a stațiilor de distribuție certificate în </w:t>
            </w:r>
            <w:r w:rsidRPr="0070124D">
              <w:rPr>
                <w:rFonts w:ascii="Times New Roman" w:eastAsia="Calibri" w:hAnsi="Times New Roman"/>
                <w:spacing w:val="-4"/>
                <w:sz w:val="26"/>
                <w:szCs w:val="26"/>
                <w:lang w:val="ro-RO"/>
              </w:rPr>
              <w:t>comercializarea produselor petroliere</w:t>
            </w:r>
            <w:r w:rsidR="00DF71C3" w:rsidRPr="0070124D">
              <w:rPr>
                <w:rFonts w:ascii="Times New Roman" w:eastAsia="Calibri" w:hAnsi="Times New Roman"/>
                <w:spacing w:val="-4"/>
                <w:sz w:val="26"/>
                <w:szCs w:val="26"/>
                <w:lang w:val="ro-RO"/>
              </w:rPr>
              <w:t>,</w:t>
            </w:r>
            <w:r w:rsidR="00236AC6">
              <w:rPr>
                <w:rFonts w:ascii="Times New Roman" w:eastAsia="Calibri" w:hAnsi="Times New Roman"/>
                <w:spacing w:val="-4"/>
                <w:sz w:val="26"/>
                <w:szCs w:val="26"/>
                <w:lang w:val="ro-RO"/>
              </w:rPr>
              <w:t xml:space="preserve"> totodată</w:t>
            </w:r>
            <w:r w:rsidRPr="0070124D">
              <w:rPr>
                <w:rFonts w:ascii="Times New Roman" w:eastAsia="Calibri" w:hAnsi="Times New Roman"/>
                <w:spacing w:val="-4"/>
                <w:sz w:val="26"/>
                <w:szCs w:val="26"/>
                <w:lang w:val="ro-RO"/>
              </w:rPr>
              <w:t xml:space="preserve"> </w:t>
            </w:r>
            <w:r w:rsidRPr="0070124D">
              <w:rPr>
                <w:rFonts w:ascii="Times New Roman" w:hAnsi="Times New Roman"/>
                <w:sz w:val="26"/>
                <w:szCs w:val="26"/>
                <w:lang w:val="ro-RO"/>
              </w:rPr>
              <w:t xml:space="preserve">se observă creșterea consumului intern de benzină în Republica Moldova. </w:t>
            </w:r>
            <w:r w:rsidRPr="0070124D">
              <w:rPr>
                <w:rFonts w:ascii="Times New Roman" w:eastAsia="Calibri" w:hAnsi="Times New Roman"/>
                <w:bCs/>
                <w:sz w:val="26"/>
                <w:szCs w:val="26"/>
                <w:lang w:val="ro-RO"/>
              </w:rPr>
              <w:t xml:space="preserve">Reieșind din această analiză, reiese și </w:t>
            </w:r>
            <w:r w:rsidRPr="0070124D">
              <w:rPr>
                <w:rFonts w:ascii="Times New Roman" w:eastAsia="Calibri" w:hAnsi="Times New Roman"/>
                <w:bCs/>
                <w:sz w:val="26"/>
                <w:szCs w:val="26"/>
                <w:lang w:val="ro-RO"/>
              </w:rPr>
              <w:lastRenderedPageBreak/>
              <w:t xml:space="preserve">necesitatea limitării și </w:t>
            </w:r>
            <w:r w:rsidRPr="0070124D">
              <w:rPr>
                <w:rFonts w:ascii="Times New Roman" w:hAnsi="Times New Roman"/>
                <w:sz w:val="26"/>
                <w:szCs w:val="26"/>
                <w:lang w:val="ro-RO"/>
              </w:rPr>
              <w:t xml:space="preserve">reglementării care presupune un sistem de management al emisiilor de compuși organici volatili de la benzină, în conformitate cu standardele europene și internaționale; prin stabilirea măsurilor care au ca scop prevenirea poluării aerului atmosferic cu compuși organici volatili (COV) de la benzină; prin recuperarea vaporilor de la carburanții </w:t>
            </w:r>
            <w:proofErr w:type="spellStart"/>
            <w:r w:rsidRPr="0070124D">
              <w:rPr>
                <w:rFonts w:ascii="Times New Roman" w:hAnsi="Times New Roman"/>
                <w:sz w:val="26"/>
                <w:szCs w:val="26"/>
                <w:lang w:val="ro-RO"/>
              </w:rPr>
              <w:t>emişi</w:t>
            </w:r>
            <w:proofErr w:type="spellEnd"/>
            <w:r w:rsidRPr="0070124D">
              <w:rPr>
                <w:rFonts w:ascii="Times New Roman" w:hAnsi="Times New Roman"/>
                <w:sz w:val="26"/>
                <w:szCs w:val="26"/>
                <w:lang w:val="ro-RO"/>
              </w:rPr>
              <w:t xml:space="preserve"> în atmosferă în timpul acestor </w:t>
            </w:r>
            <w:proofErr w:type="spellStart"/>
            <w:r w:rsidRPr="0070124D">
              <w:rPr>
                <w:rFonts w:ascii="Times New Roman" w:hAnsi="Times New Roman"/>
                <w:sz w:val="26"/>
                <w:szCs w:val="26"/>
                <w:lang w:val="ro-RO"/>
              </w:rPr>
              <w:t>operaţii</w:t>
            </w:r>
            <w:proofErr w:type="spellEnd"/>
            <w:r w:rsidRPr="0070124D">
              <w:rPr>
                <w:rFonts w:ascii="Times New Roman" w:hAnsi="Times New Roman"/>
                <w:sz w:val="26"/>
                <w:szCs w:val="26"/>
                <w:lang w:val="ro-RO"/>
              </w:rPr>
              <w:t xml:space="preserve"> </w:t>
            </w:r>
            <w:proofErr w:type="spellStart"/>
            <w:r w:rsidRPr="0070124D">
              <w:rPr>
                <w:rFonts w:ascii="Times New Roman" w:hAnsi="Times New Roman"/>
                <w:sz w:val="26"/>
                <w:szCs w:val="26"/>
                <w:lang w:val="ro-RO"/>
              </w:rPr>
              <w:t>şi</w:t>
            </w:r>
            <w:proofErr w:type="spellEnd"/>
            <w:r w:rsidRPr="0070124D">
              <w:rPr>
                <w:rFonts w:ascii="Times New Roman" w:hAnsi="Times New Roman"/>
                <w:sz w:val="26"/>
                <w:szCs w:val="26"/>
                <w:lang w:val="ro-RO"/>
              </w:rPr>
              <w:t xml:space="preserve">/sau de către aceste instalații, vehicule </w:t>
            </w:r>
            <w:proofErr w:type="spellStart"/>
            <w:r w:rsidRPr="0070124D">
              <w:rPr>
                <w:rFonts w:ascii="Times New Roman" w:hAnsi="Times New Roman"/>
                <w:sz w:val="26"/>
                <w:szCs w:val="26"/>
                <w:lang w:val="ro-RO"/>
              </w:rPr>
              <w:t>şi</w:t>
            </w:r>
            <w:proofErr w:type="spellEnd"/>
            <w:r w:rsidRPr="0070124D">
              <w:rPr>
                <w:rFonts w:ascii="Times New Roman" w:hAnsi="Times New Roman"/>
                <w:sz w:val="26"/>
                <w:szCs w:val="26"/>
                <w:lang w:val="ro-RO"/>
              </w:rPr>
              <w:t xml:space="preserve"> nave, </w:t>
            </w:r>
            <w:proofErr w:type="spellStart"/>
            <w:r w:rsidRPr="0070124D">
              <w:rPr>
                <w:rFonts w:ascii="Times New Roman" w:hAnsi="Times New Roman"/>
                <w:sz w:val="26"/>
                <w:szCs w:val="26"/>
                <w:lang w:val="ro-RO"/>
              </w:rPr>
              <w:t>şi</w:t>
            </w:r>
            <w:proofErr w:type="spellEnd"/>
            <w:r w:rsidRPr="0070124D">
              <w:rPr>
                <w:rFonts w:ascii="Times New Roman" w:hAnsi="Times New Roman"/>
                <w:sz w:val="26"/>
                <w:szCs w:val="26"/>
                <w:lang w:val="ro-RO"/>
              </w:rPr>
              <w:t xml:space="preserve"> prin urmare reducerea efectelor nefaste ale acestor emisii asupra ecosistemelor </w:t>
            </w:r>
            <w:proofErr w:type="spellStart"/>
            <w:r w:rsidRPr="0070124D">
              <w:rPr>
                <w:rFonts w:ascii="Times New Roman" w:hAnsi="Times New Roman"/>
                <w:sz w:val="26"/>
                <w:szCs w:val="26"/>
                <w:lang w:val="ro-RO"/>
              </w:rPr>
              <w:t>şi</w:t>
            </w:r>
            <w:proofErr w:type="spellEnd"/>
            <w:r w:rsidRPr="0070124D">
              <w:rPr>
                <w:rFonts w:ascii="Times New Roman" w:hAnsi="Times New Roman"/>
                <w:sz w:val="26"/>
                <w:szCs w:val="26"/>
                <w:lang w:val="ro-RO"/>
              </w:rPr>
              <w:t xml:space="preserve"> a mediului înconjurător în ansamblu</w:t>
            </w:r>
            <w:r w:rsidR="00236AC6">
              <w:rPr>
                <w:rFonts w:ascii="Times New Roman" w:hAnsi="Times New Roman"/>
                <w:sz w:val="26"/>
                <w:szCs w:val="26"/>
                <w:lang w:val="ro-RO"/>
              </w:rPr>
              <w:t>, dar și asupra sănătății umane și a climei.</w:t>
            </w:r>
          </w:p>
          <w:p w:rsidR="00DF71C3" w:rsidRPr="0070124D" w:rsidRDefault="008E3679" w:rsidP="00DF71C3">
            <w:pPr>
              <w:spacing w:after="0"/>
              <w:jc w:val="both"/>
              <w:rPr>
                <w:rFonts w:ascii="Times New Roman" w:hAnsi="Times New Roman"/>
                <w:sz w:val="26"/>
                <w:szCs w:val="26"/>
                <w:lang w:val="ro-RO"/>
              </w:rPr>
            </w:pPr>
            <w:r w:rsidRPr="0070124D">
              <w:rPr>
                <w:rFonts w:ascii="Times New Roman" w:hAnsi="Times New Roman"/>
                <w:sz w:val="26"/>
                <w:szCs w:val="26"/>
                <w:lang w:val="ro-RO"/>
              </w:rPr>
              <w:t>Emisiile de COV reprezintă o contribuție sem</w:t>
            </w:r>
            <w:r w:rsidR="004A3555">
              <w:rPr>
                <w:rFonts w:ascii="Times New Roman" w:hAnsi="Times New Roman"/>
                <w:sz w:val="26"/>
                <w:szCs w:val="26"/>
                <w:lang w:val="ro-RO"/>
              </w:rPr>
              <w:t>nificativă la poluarea aerului,</w:t>
            </w:r>
            <w:bookmarkStart w:id="1" w:name="_GoBack"/>
            <w:bookmarkEnd w:id="1"/>
            <w:r w:rsidRPr="0070124D">
              <w:rPr>
                <w:rFonts w:ascii="Times New Roman" w:hAnsi="Times New Roman"/>
                <w:sz w:val="26"/>
                <w:szCs w:val="26"/>
                <w:lang w:val="ro-RO"/>
              </w:rPr>
              <w:t xml:space="preserve"> în special </w:t>
            </w:r>
            <w:r w:rsidR="00E42629" w:rsidRPr="0070124D">
              <w:rPr>
                <w:rFonts w:ascii="Times New Roman" w:hAnsi="Times New Roman"/>
                <w:sz w:val="26"/>
                <w:szCs w:val="26"/>
                <w:lang w:val="ro-RO"/>
              </w:rPr>
              <w:t xml:space="preserve">în zonele urbane. COV contribuie </w:t>
            </w:r>
            <w:r w:rsidR="007F75B5" w:rsidRPr="0070124D">
              <w:rPr>
                <w:rFonts w:ascii="Times New Roman" w:hAnsi="Times New Roman"/>
                <w:sz w:val="26"/>
                <w:szCs w:val="26"/>
                <w:lang w:val="ro-RO"/>
              </w:rPr>
              <w:t xml:space="preserve">la formarea ozonului </w:t>
            </w:r>
            <w:proofErr w:type="spellStart"/>
            <w:r w:rsidR="007F75B5" w:rsidRPr="0070124D">
              <w:rPr>
                <w:rFonts w:ascii="Times New Roman" w:hAnsi="Times New Roman"/>
                <w:sz w:val="26"/>
                <w:szCs w:val="26"/>
                <w:lang w:val="ro-RO"/>
              </w:rPr>
              <w:t>troposferic</w:t>
            </w:r>
            <w:proofErr w:type="spellEnd"/>
            <w:r w:rsidR="007F75B5" w:rsidRPr="0070124D">
              <w:rPr>
                <w:rFonts w:ascii="Times New Roman" w:hAnsi="Times New Roman"/>
                <w:sz w:val="26"/>
                <w:szCs w:val="26"/>
                <w:lang w:val="ro-RO"/>
              </w:rPr>
              <w:t xml:space="preserve"> care este un </w:t>
            </w:r>
            <w:r w:rsidR="00E42629" w:rsidRPr="0070124D">
              <w:rPr>
                <w:rFonts w:ascii="Times New Roman" w:hAnsi="Times New Roman"/>
                <w:sz w:val="26"/>
                <w:szCs w:val="26"/>
                <w:lang w:val="ro-RO"/>
              </w:rPr>
              <w:t xml:space="preserve"> </w:t>
            </w:r>
            <w:r w:rsidR="00236AC6">
              <w:rPr>
                <w:rFonts w:ascii="Times New Roman" w:hAnsi="Times New Roman"/>
                <w:sz w:val="26"/>
                <w:szCs w:val="26"/>
                <w:lang w:val="ro-RO"/>
              </w:rPr>
              <w:t>oxidant fotochimic</w:t>
            </w:r>
            <w:r w:rsidR="007F75B5" w:rsidRPr="0070124D">
              <w:rPr>
                <w:rFonts w:ascii="Times New Roman" w:hAnsi="Times New Roman"/>
                <w:sz w:val="26"/>
                <w:szCs w:val="26"/>
                <w:lang w:val="ro-RO"/>
              </w:rPr>
              <w:t>, care în concentrație ridicată, po</w:t>
            </w:r>
            <w:r w:rsidR="00236AC6">
              <w:rPr>
                <w:rFonts w:ascii="Times New Roman" w:hAnsi="Times New Roman"/>
                <w:sz w:val="26"/>
                <w:szCs w:val="26"/>
                <w:lang w:val="ro-RO"/>
              </w:rPr>
              <w:t>a</w:t>
            </w:r>
            <w:r w:rsidR="007F75B5" w:rsidRPr="0070124D">
              <w:rPr>
                <w:rFonts w:ascii="Times New Roman" w:hAnsi="Times New Roman"/>
                <w:sz w:val="26"/>
                <w:szCs w:val="26"/>
                <w:lang w:val="ro-RO"/>
              </w:rPr>
              <w:t>t</w:t>
            </w:r>
            <w:r w:rsidR="00236AC6">
              <w:rPr>
                <w:rFonts w:ascii="Times New Roman" w:hAnsi="Times New Roman"/>
                <w:sz w:val="26"/>
                <w:szCs w:val="26"/>
                <w:lang w:val="ro-RO"/>
              </w:rPr>
              <w:t>e</w:t>
            </w:r>
            <w:r w:rsidR="007F75B5" w:rsidRPr="0070124D">
              <w:rPr>
                <w:rFonts w:ascii="Times New Roman" w:hAnsi="Times New Roman"/>
                <w:sz w:val="26"/>
                <w:szCs w:val="26"/>
                <w:lang w:val="ro-RO"/>
              </w:rPr>
              <w:t xml:space="preserve"> dauna sănătății umane, vegetației și materialelor, </w:t>
            </w:r>
            <w:proofErr w:type="spellStart"/>
            <w:r w:rsidR="007F75B5" w:rsidRPr="0070124D">
              <w:rPr>
                <w:rFonts w:ascii="Times New Roman" w:hAnsi="Times New Roman"/>
                <w:sz w:val="26"/>
                <w:szCs w:val="26"/>
                <w:lang w:val="ro-RO"/>
              </w:rPr>
              <w:t>întrucît</w:t>
            </w:r>
            <w:proofErr w:type="spellEnd"/>
            <w:r w:rsidR="007F75B5" w:rsidRPr="0070124D">
              <w:rPr>
                <w:rFonts w:ascii="Times New Roman" w:hAnsi="Times New Roman"/>
                <w:sz w:val="26"/>
                <w:szCs w:val="26"/>
                <w:lang w:val="ro-RO"/>
              </w:rPr>
              <w:t xml:space="preserve"> unele emisii de COV din carburanți sunt clasificate drept toxice, cancerigene sau teratogene. </w:t>
            </w:r>
          </w:p>
          <w:p w:rsidR="007F75B5" w:rsidRPr="0070124D" w:rsidRDefault="00972535" w:rsidP="00DF71C3">
            <w:pPr>
              <w:spacing w:after="0"/>
              <w:jc w:val="both"/>
              <w:rPr>
                <w:rFonts w:ascii="Times New Roman" w:hAnsi="Times New Roman"/>
                <w:sz w:val="26"/>
                <w:szCs w:val="26"/>
                <w:lang w:val="ro-RO"/>
              </w:rPr>
            </w:pPr>
            <w:r w:rsidRPr="0070124D">
              <w:rPr>
                <w:rFonts w:ascii="Times New Roman" w:hAnsi="Times New Roman"/>
                <w:sz w:val="26"/>
                <w:szCs w:val="26"/>
                <w:lang w:val="ro-RO"/>
              </w:rPr>
              <w:t>Conform Stra</w:t>
            </w:r>
            <w:r w:rsidR="00E42629" w:rsidRPr="0070124D">
              <w:rPr>
                <w:rFonts w:ascii="Times New Roman" w:hAnsi="Times New Roman"/>
                <w:sz w:val="26"/>
                <w:szCs w:val="26"/>
                <w:lang w:val="ro-RO"/>
              </w:rPr>
              <w:t>tegiei ,,Sănătate 2020” elaborată de către Organizația mondial</w:t>
            </w:r>
            <w:r w:rsidRPr="0070124D">
              <w:rPr>
                <w:rFonts w:ascii="Times New Roman" w:hAnsi="Times New Roman"/>
                <w:sz w:val="26"/>
                <w:szCs w:val="26"/>
                <w:lang w:val="ro-RO"/>
              </w:rPr>
              <w:t>ă a Sănătății (OMS), pericolele</w:t>
            </w:r>
            <w:r w:rsidR="00E42629" w:rsidRPr="0070124D">
              <w:rPr>
                <w:rFonts w:ascii="Times New Roman" w:hAnsi="Times New Roman"/>
                <w:sz w:val="26"/>
                <w:szCs w:val="26"/>
                <w:lang w:val="ro-RO"/>
              </w:rPr>
              <w:t xml:space="preserve"> mediului ambiant sunt un determ</w:t>
            </w:r>
            <w:r w:rsidRPr="0070124D">
              <w:rPr>
                <w:rFonts w:ascii="Times New Roman" w:hAnsi="Times New Roman"/>
                <w:sz w:val="26"/>
                <w:szCs w:val="26"/>
                <w:lang w:val="ro-RO"/>
              </w:rPr>
              <w:t>i</w:t>
            </w:r>
            <w:r w:rsidR="00E42629" w:rsidRPr="0070124D">
              <w:rPr>
                <w:rFonts w:ascii="Times New Roman" w:hAnsi="Times New Roman"/>
                <w:sz w:val="26"/>
                <w:szCs w:val="26"/>
                <w:lang w:val="ro-RO"/>
              </w:rPr>
              <w:t>nat major al sănătății</w:t>
            </w:r>
            <w:r w:rsidRPr="0070124D">
              <w:rPr>
                <w:rFonts w:ascii="Times New Roman" w:hAnsi="Times New Roman"/>
                <w:sz w:val="26"/>
                <w:szCs w:val="26"/>
                <w:lang w:val="ro-RO"/>
              </w:rPr>
              <w:t>, multe tulburări ale sănătății</w:t>
            </w:r>
            <w:r w:rsidR="00E42629" w:rsidRPr="0070124D">
              <w:rPr>
                <w:rFonts w:ascii="Times New Roman" w:hAnsi="Times New Roman"/>
                <w:sz w:val="26"/>
                <w:szCs w:val="26"/>
                <w:lang w:val="ro-RO"/>
              </w:rPr>
              <w:t xml:space="preserve"> fiind legate de mediul poluat. Dintre acestea, cele mai importante sunt poluarea aerului și impactul schimbărilor climatice.</w:t>
            </w:r>
          </w:p>
          <w:p w:rsidR="00B86D7D" w:rsidRPr="0070124D" w:rsidRDefault="00972535" w:rsidP="00DF71C3">
            <w:pPr>
              <w:spacing w:after="0"/>
              <w:jc w:val="both"/>
              <w:rPr>
                <w:rFonts w:ascii="Times New Roman" w:hAnsi="Times New Roman"/>
                <w:sz w:val="26"/>
                <w:szCs w:val="26"/>
                <w:lang w:val="ro-RO"/>
              </w:rPr>
            </w:pPr>
            <w:r w:rsidRPr="0070124D">
              <w:rPr>
                <w:rFonts w:ascii="Times New Roman" w:hAnsi="Times New Roman"/>
                <w:sz w:val="26"/>
                <w:szCs w:val="26"/>
                <w:lang w:val="ro-RO"/>
              </w:rPr>
              <w:t xml:space="preserve">Dat fiind faptul că emisiile de COV contribuie la formarea de noxe în atmosferă, iar </w:t>
            </w:r>
            <w:proofErr w:type="spellStart"/>
            <w:r w:rsidRPr="0070124D">
              <w:rPr>
                <w:rFonts w:ascii="Times New Roman" w:hAnsi="Times New Roman"/>
                <w:sz w:val="26"/>
                <w:szCs w:val="26"/>
                <w:lang w:val="ro-RO"/>
              </w:rPr>
              <w:t>acidifierea</w:t>
            </w:r>
            <w:proofErr w:type="spellEnd"/>
            <w:r w:rsidRPr="0070124D">
              <w:rPr>
                <w:rFonts w:ascii="Times New Roman" w:hAnsi="Times New Roman"/>
                <w:sz w:val="26"/>
                <w:szCs w:val="26"/>
                <w:lang w:val="ro-RO"/>
              </w:rPr>
              <w:t xml:space="preserve"> este un fenomen transfrontalier care necesită soluții </w:t>
            </w:r>
            <w:proofErr w:type="spellStart"/>
            <w:r w:rsidRPr="0070124D">
              <w:rPr>
                <w:rFonts w:ascii="Times New Roman" w:hAnsi="Times New Roman"/>
                <w:sz w:val="26"/>
                <w:szCs w:val="26"/>
                <w:lang w:val="ro-RO"/>
              </w:rPr>
              <w:t>atît</w:t>
            </w:r>
            <w:proofErr w:type="spellEnd"/>
            <w:r w:rsidRPr="0070124D">
              <w:rPr>
                <w:rFonts w:ascii="Times New Roman" w:hAnsi="Times New Roman"/>
                <w:sz w:val="26"/>
                <w:szCs w:val="26"/>
                <w:lang w:val="ro-RO"/>
              </w:rPr>
              <w:t xml:space="preserve"> la nivel regional, </w:t>
            </w:r>
            <w:proofErr w:type="spellStart"/>
            <w:r w:rsidRPr="0070124D">
              <w:rPr>
                <w:rFonts w:ascii="Times New Roman" w:hAnsi="Times New Roman"/>
                <w:sz w:val="26"/>
                <w:szCs w:val="26"/>
                <w:lang w:val="ro-RO"/>
              </w:rPr>
              <w:t>cît</w:t>
            </w:r>
            <w:proofErr w:type="spellEnd"/>
            <w:r w:rsidRPr="0070124D">
              <w:rPr>
                <w:rFonts w:ascii="Times New Roman" w:hAnsi="Times New Roman"/>
                <w:sz w:val="26"/>
                <w:szCs w:val="26"/>
                <w:lang w:val="ro-RO"/>
              </w:rPr>
              <w:t xml:space="preserve"> și național și local, Republica Moldova fiind parte a Convenției asupra poluării atmosferice transfrontaliere pe distanțe lungi (</w:t>
            </w:r>
            <w:proofErr w:type="spellStart"/>
            <w:r w:rsidRPr="0070124D">
              <w:rPr>
                <w:rFonts w:ascii="Times New Roman" w:hAnsi="Times New Roman"/>
                <w:sz w:val="26"/>
                <w:szCs w:val="26"/>
                <w:lang w:val="ro-RO"/>
              </w:rPr>
              <w:t>Hotărîrea</w:t>
            </w:r>
            <w:proofErr w:type="spellEnd"/>
            <w:r w:rsidRPr="0070124D">
              <w:rPr>
                <w:rFonts w:ascii="Times New Roman" w:hAnsi="Times New Roman"/>
                <w:sz w:val="26"/>
                <w:szCs w:val="26"/>
                <w:lang w:val="ro-RO"/>
              </w:rPr>
              <w:t xml:space="preserve"> Parlamentului nr. 399/1995) are obligația de a întreprinde măsuri pentru reducerea emisiilor acestui poluant.</w:t>
            </w:r>
            <w:r w:rsidR="00BD42FF" w:rsidRPr="0070124D">
              <w:rPr>
                <w:rFonts w:ascii="Times New Roman" w:hAnsi="Times New Roman"/>
                <w:sz w:val="26"/>
                <w:szCs w:val="26"/>
                <w:lang w:val="ro-RO"/>
              </w:rPr>
              <w:t xml:space="preserve"> Necesitatea asigurării unei protec</w:t>
            </w:r>
            <w:r w:rsidR="00DA37D9" w:rsidRPr="0070124D">
              <w:rPr>
                <w:rFonts w:ascii="Times New Roman" w:hAnsi="Times New Roman"/>
                <w:sz w:val="26"/>
                <w:szCs w:val="26"/>
                <w:lang w:val="ro-RO"/>
              </w:rPr>
              <w:t>ții eficiente a populației împo</w:t>
            </w:r>
            <w:r w:rsidR="00BD42FF" w:rsidRPr="0070124D">
              <w:rPr>
                <w:rFonts w:ascii="Times New Roman" w:hAnsi="Times New Roman"/>
                <w:sz w:val="26"/>
                <w:szCs w:val="26"/>
                <w:lang w:val="ro-RO"/>
              </w:rPr>
              <w:t>triva riscurilor</w:t>
            </w:r>
            <w:r w:rsidR="0030257B" w:rsidRPr="0070124D">
              <w:rPr>
                <w:rFonts w:ascii="Times New Roman" w:hAnsi="Times New Roman"/>
                <w:sz w:val="26"/>
                <w:szCs w:val="26"/>
                <w:lang w:val="ro-RO"/>
              </w:rPr>
              <w:t xml:space="preserve"> pe care le prezintă poluarea a</w:t>
            </w:r>
            <w:r w:rsidR="00BD42FF" w:rsidRPr="0070124D">
              <w:rPr>
                <w:rFonts w:ascii="Times New Roman" w:hAnsi="Times New Roman"/>
                <w:sz w:val="26"/>
                <w:szCs w:val="26"/>
                <w:lang w:val="ro-RO"/>
              </w:rPr>
              <w:t xml:space="preserve">tmosferică și protejarea mediului este una stringentă și impune întreprinderea măsurilor determinante de limitare a emisiilor de COV. </w:t>
            </w:r>
            <w:r w:rsidR="00DF71C3" w:rsidRPr="0070124D">
              <w:rPr>
                <w:rFonts w:ascii="Times New Roman" w:hAnsi="Times New Roman"/>
                <w:sz w:val="26"/>
                <w:szCs w:val="26"/>
                <w:lang w:val="ro-RO"/>
              </w:rPr>
              <w:t>Implementarea</w:t>
            </w:r>
            <w:r w:rsidR="00B86D7D" w:rsidRPr="0070124D">
              <w:rPr>
                <w:rFonts w:ascii="Times New Roman" w:hAnsi="Times New Roman"/>
                <w:sz w:val="26"/>
                <w:szCs w:val="26"/>
                <w:lang w:val="ro-RO"/>
              </w:rPr>
              <w:t xml:space="preserve"> cerințe</w:t>
            </w:r>
            <w:r w:rsidR="00DF71C3" w:rsidRPr="0070124D">
              <w:rPr>
                <w:rFonts w:ascii="Times New Roman" w:hAnsi="Times New Roman"/>
                <w:sz w:val="26"/>
                <w:szCs w:val="26"/>
                <w:lang w:val="ro-RO"/>
              </w:rPr>
              <w:t>lor și dispozițiilor</w:t>
            </w:r>
            <w:r w:rsidR="00B86D7D" w:rsidRPr="0070124D">
              <w:rPr>
                <w:rFonts w:ascii="Times New Roman" w:hAnsi="Times New Roman"/>
                <w:sz w:val="26"/>
                <w:szCs w:val="26"/>
                <w:lang w:val="ro-RO"/>
              </w:rPr>
              <w:t xml:space="preserve"> tehnice conforme celor europene ne va perm</w:t>
            </w:r>
            <w:r w:rsidR="00DA37D9" w:rsidRPr="0070124D">
              <w:rPr>
                <w:rFonts w:ascii="Times New Roman" w:hAnsi="Times New Roman"/>
                <w:sz w:val="26"/>
                <w:szCs w:val="26"/>
                <w:lang w:val="ro-RO"/>
              </w:rPr>
              <w:t>ite reducerea emisiilor de COV ș</w:t>
            </w:r>
            <w:r w:rsidR="00B86D7D" w:rsidRPr="0070124D">
              <w:rPr>
                <w:rFonts w:ascii="Times New Roman" w:hAnsi="Times New Roman"/>
                <w:sz w:val="26"/>
                <w:szCs w:val="26"/>
                <w:lang w:val="ro-RO"/>
              </w:rPr>
              <w:t xml:space="preserve">i în consecință reducerea concentrațiilor în aer, </w:t>
            </w:r>
            <w:proofErr w:type="spellStart"/>
            <w:r w:rsidR="00B86D7D" w:rsidRPr="0070124D">
              <w:rPr>
                <w:rFonts w:ascii="Times New Roman" w:hAnsi="Times New Roman"/>
                <w:sz w:val="26"/>
                <w:szCs w:val="26"/>
                <w:lang w:val="ro-RO"/>
              </w:rPr>
              <w:t>asigurîndu</w:t>
            </w:r>
            <w:proofErr w:type="spellEnd"/>
            <w:r w:rsidR="00B86D7D" w:rsidRPr="0070124D">
              <w:rPr>
                <w:rFonts w:ascii="Times New Roman" w:hAnsi="Times New Roman"/>
                <w:sz w:val="26"/>
                <w:szCs w:val="26"/>
                <w:lang w:val="ro-RO"/>
              </w:rPr>
              <w:t>-se protecția sănătății și a mediului înconjurător.</w:t>
            </w:r>
          </w:p>
          <w:p w:rsidR="00634FC7" w:rsidRPr="0070124D" w:rsidRDefault="00634FC7" w:rsidP="00965841">
            <w:pPr>
              <w:spacing w:after="100" w:afterAutospacing="1" w:line="240" w:lineRule="auto"/>
              <w:jc w:val="both"/>
              <w:rPr>
                <w:rFonts w:ascii="Times New Roman" w:hAnsi="Times New Roman"/>
                <w:color w:val="FF0000"/>
                <w:sz w:val="28"/>
                <w:szCs w:val="28"/>
                <w:lang w:val="ro-RO"/>
              </w:rPr>
            </w:pPr>
          </w:p>
        </w:tc>
      </w:tr>
      <w:tr w:rsidR="00E825DF" w:rsidRPr="004A3555" w:rsidTr="002152B8">
        <w:tc>
          <w:tcPr>
            <w:tcW w:w="9669" w:type="dxa"/>
            <w:shd w:val="clear" w:color="auto" w:fill="D9D9D9" w:themeFill="background1" w:themeFillShade="D9"/>
          </w:tcPr>
          <w:p w:rsidR="002A1ED2" w:rsidRPr="0070124D" w:rsidRDefault="00E825DF" w:rsidP="002A1ED2">
            <w:pPr>
              <w:pStyle w:val="Listparagraf"/>
              <w:widowControl w:val="0"/>
              <w:numPr>
                <w:ilvl w:val="0"/>
                <w:numId w:val="1"/>
              </w:numPr>
              <w:overflowPunct w:val="0"/>
              <w:adjustRightInd w:val="0"/>
              <w:spacing w:after="0" w:line="240" w:lineRule="auto"/>
              <w:jc w:val="both"/>
              <w:rPr>
                <w:rFonts w:ascii="Times New Roman" w:hAnsi="Times New Roman"/>
                <w:sz w:val="28"/>
                <w:szCs w:val="28"/>
                <w:lang w:val="ro-RO"/>
              </w:rPr>
            </w:pPr>
            <w:r w:rsidRPr="0070124D">
              <w:rPr>
                <w:rFonts w:ascii="Times New Roman" w:hAnsi="Times New Roman"/>
                <w:sz w:val="28"/>
                <w:szCs w:val="28"/>
                <w:lang w:val="ro-RO"/>
              </w:rPr>
              <w:lastRenderedPageBreak/>
              <w:t xml:space="preserve">Descrierea gradului de compatibilitate, pentru proiectele care au ca scop armonizarea legislației naționale cu legislația Uniunii Europene </w:t>
            </w:r>
          </w:p>
          <w:p w:rsidR="00E5002E" w:rsidRPr="0070124D" w:rsidRDefault="00E5002E" w:rsidP="00E5002E">
            <w:pPr>
              <w:widowControl w:val="0"/>
              <w:overflowPunct w:val="0"/>
              <w:adjustRightInd w:val="0"/>
              <w:spacing w:after="0" w:line="240" w:lineRule="auto"/>
              <w:jc w:val="both"/>
              <w:rPr>
                <w:rFonts w:ascii="Times New Roman" w:hAnsi="Times New Roman"/>
                <w:color w:val="FF0000"/>
                <w:sz w:val="28"/>
                <w:szCs w:val="28"/>
                <w:lang w:val="ro-RO"/>
              </w:rPr>
            </w:pPr>
          </w:p>
        </w:tc>
      </w:tr>
      <w:tr w:rsidR="00E825DF" w:rsidRPr="004A3555" w:rsidTr="002152B8">
        <w:tc>
          <w:tcPr>
            <w:tcW w:w="9669" w:type="dxa"/>
          </w:tcPr>
          <w:p w:rsidR="00155DE8" w:rsidRDefault="00EF66DB" w:rsidP="00A260EE">
            <w:pPr>
              <w:spacing w:after="100" w:afterAutospacing="1" w:line="240" w:lineRule="auto"/>
              <w:contextualSpacing/>
              <w:jc w:val="both"/>
              <w:rPr>
                <w:rFonts w:ascii="Times New Roman" w:hAnsi="Times New Roman"/>
                <w:sz w:val="26"/>
                <w:szCs w:val="26"/>
                <w:lang w:val="ro-RO"/>
              </w:rPr>
            </w:pPr>
            <w:r w:rsidRPr="0070124D">
              <w:rPr>
                <w:rFonts w:ascii="Times New Roman" w:hAnsi="Times New Roman"/>
                <w:sz w:val="26"/>
                <w:szCs w:val="26"/>
                <w:lang w:val="ro-RO"/>
              </w:rPr>
              <w:t xml:space="preserve">Proiectul </w:t>
            </w:r>
            <w:proofErr w:type="spellStart"/>
            <w:r w:rsidRPr="0070124D">
              <w:rPr>
                <w:rFonts w:ascii="Times New Roman" w:hAnsi="Times New Roman"/>
                <w:sz w:val="26"/>
                <w:szCs w:val="26"/>
                <w:lang w:val="ro-RO"/>
              </w:rPr>
              <w:t>hotărîrii</w:t>
            </w:r>
            <w:proofErr w:type="spellEnd"/>
            <w:r w:rsidRPr="0070124D">
              <w:rPr>
                <w:rFonts w:ascii="Times New Roman" w:hAnsi="Times New Roman"/>
                <w:sz w:val="26"/>
                <w:szCs w:val="26"/>
                <w:lang w:val="ro-RO"/>
              </w:rPr>
              <w:t xml:space="preserve"> Guvernului pentru aprobarea Regulamentului privind controlul emisiilor de compuși organici volatili (COV) rezultați din depozitarea și din distribuția benzinei de la terminale la stațiile de alimentare cu produse petroliere transpune Directiva 94/63/CE din 20 decembrie 1994 privind controlul emisiilor de compuși organici volatili (COV) rezultați din depozitarea carburanților și din distribuția acestora de la terminale la stațiile de distribuție a carburanților. </w:t>
            </w:r>
            <w:r w:rsidR="001C0E2D" w:rsidRPr="0070124D">
              <w:rPr>
                <w:rFonts w:ascii="Times New Roman" w:hAnsi="Times New Roman"/>
                <w:sz w:val="26"/>
                <w:szCs w:val="26"/>
                <w:lang w:val="ro-RO"/>
              </w:rPr>
              <w:t>Directiva a fost în totalitate transpusă în Regulament, cu unele ajustări conform legislației R</w:t>
            </w:r>
            <w:r w:rsidR="00A260EE" w:rsidRPr="0070124D">
              <w:rPr>
                <w:rFonts w:ascii="Times New Roman" w:hAnsi="Times New Roman"/>
                <w:sz w:val="26"/>
                <w:szCs w:val="26"/>
                <w:lang w:val="ro-RO"/>
              </w:rPr>
              <w:t xml:space="preserve">epublicii Moldova </w:t>
            </w:r>
            <w:r w:rsidR="00155DE8">
              <w:rPr>
                <w:rFonts w:ascii="Times New Roman" w:hAnsi="Times New Roman"/>
                <w:sz w:val="26"/>
                <w:szCs w:val="26"/>
                <w:lang w:val="ro-RO"/>
              </w:rPr>
              <w:t>și</w:t>
            </w:r>
            <w:r w:rsidR="001C0E2D" w:rsidRPr="0070124D">
              <w:rPr>
                <w:rFonts w:ascii="Times New Roman" w:hAnsi="Times New Roman"/>
                <w:sz w:val="26"/>
                <w:szCs w:val="26"/>
                <w:lang w:val="ro-RO"/>
              </w:rPr>
              <w:t xml:space="preserve"> completări cu caracter național</w:t>
            </w:r>
            <w:r w:rsidR="00A260EE" w:rsidRPr="0070124D">
              <w:rPr>
                <w:rFonts w:ascii="Times New Roman" w:hAnsi="Times New Roman"/>
                <w:sz w:val="26"/>
                <w:szCs w:val="26"/>
                <w:lang w:val="ro-RO"/>
              </w:rPr>
              <w:t xml:space="preserve">. </w:t>
            </w:r>
          </w:p>
          <w:p w:rsidR="00C44832" w:rsidRPr="0070124D" w:rsidRDefault="00A260EE" w:rsidP="00A260EE">
            <w:pPr>
              <w:spacing w:after="100" w:afterAutospacing="1" w:line="240" w:lineRule="auto"/>
              <w:contextualSpacing/>
              <w:jc w:val="both"/>
              <w:rPr>
                <w:rFonts w:ascii="Times New Roman" w:hAnsi="Times New Roman"/>
                <w:sz w:val="26"/>
                <w:szCs w:val="26"/>
                <w:lang w:val="ro-RO"/>
              </w:rPr>
            </w:pPr>
            <w:r w:rsidRPr="0070124D">
              <w:rPr>
                <w:rFonts w:ascii="Times New Roman" w:hAnsi="Times New Roman"/>
                <w:sz w:val="26"/>
                <w:szCs w:val="26"/>
                <w:lang w:val="ro-RO"/>
              </w:rPr>
              <w:t>Este</w:t>
            </w:r>
            <w:r w:rsidR="00C44832" w:rsidRPr="0070124D">
              <w:rPr>
                <w:rFonts w:ascii="Times New Roman" w:hAnsi="Times New Roman"/>
                <w:sz w:val="26"/>
                <w:szCs w:val="26"/>
                <w:lang w:val="ro-RO"/>
              </w:rPr>
              <w:t xml:space="preserve"> elaborat Tabelul de concordanță la pr</w:t>
            </w:r>
            <w:r w:rsidR="00596CA6" w:rsidRPr="0070124D">
              <w:rPr>
                <w:rFonts w:ascii="Times New Roman" w:hAnsi="Times New Roman"/>
                <w:sz w:val="26"/>
                <w:szCs w:val="26"/>
                <w:lang w:val="ro-RO"/>
              </w:rPr>
              <w:t>oiectul sus-menționat.</w:t>
            </w:r>
          </w:p>
        </w:tc>
      </w:tr>
      <w:tr w:rsidR="00E825DF" w:rsidRPr="004A3555" w:rsidTr="002152B8">
        <w:tc>
          <w:tcPr>
            <w:tcW w:w="9669" w:type="dxa"/>
            <w:shd w:val="clear" w:color="auto" w:fill="D9D9D9" w:themeFill="background1" w:themeFillShade="D9"/>
          </w:tcPr>
          <w:p w:rsidR="00960019" w:rsidRPr="0070124D" w:rsidRDefault="00E825DF" w:rsidP="002A1ED2">
            <w:pPr>
              <w:pStyle w:val="Listparagraf"/>
              <w:widowControl w:val="0"/>
              <w:numPr>
                <w:ilvl w:val="0"/>
                <w:numId w:val="1"/>
              </w:numPr>
              <w:overflowPunct w:val="0"/>
              <w:adjustRightInd w:val="0"/>
              <w:spacing w:after="0" w:line="240" w:lineRule="auto"/>
              <w:jc w:val="both"/>
              <w:rPr>
                <w:rFonts w:ascii="Times New Roman" w:hAnsi="Times New Roman"/>
                <w:sz w:val="28"/>
                <w:szCs w:val="28"/>
                <w:lang w:val="ro-RO"/>
              </w:rPr>
            </w:pPr>
            <w:r w:rsidRPr="0070124D">
              <w:rPr>
                <w:rFonts w:ascii="Times New Roman" w:hAnsi="Times New Roman"/>
                <w:sz w:val="28"/>
                <w:szCs w:val="28"/>
                <w:lang w:val="ro-RO"/>
              </w:rPr>
              <w:t>Principalele prevederi ale proiectului și evidențierea elementelor noi</w:t>
            </w:r>
          </w:p>
          <w:p w:rsidR="00E5002E" w:rsidRPr="0070124D" w:rsidRDefault="00E5002E" w:rsidP="00E5002E">
            <w:pPr>
              <w:widowControl w:val="0"/>
              <w:overflowPunct w:val="0"/>
              <w:adjustRightInd w:val="0"/>
              <w:spacing w:after="0" w:line="240" w:lineRule="auto"/>
              <w:jc w:val="both"/>
              <w:rPr>
                <w:rFonts w:ascii="Times New Roman" w:hAnsi="Times New Roman"/>
                <w:color w:val="FF0000"/>
                <w:sz w:val="28"/>
                <w:szCs w:val="28"/>
                <w:lang w:val="ro-RO"/>
              </w:rPr>
            </w:pPr>
          </w:p>
        </w:tc>
      </w:tr>
      <w:tr w:rsidR="00E825DF" w:rsidRPr="004A3555" w:rsidTr="002152B8">
        <w:tc>
          <w:tcPr>
            <w:tcW w:w="9669" w:type="dxa"/>
          </w:tcPr>
          <w:p w:rsidR="00D908D2" w:rsidRPr="0070124D" w:rsidRDefault="00D908D2" w:rsidP="0070124D">
            <w:pPr>
              <w:jc w:val="both"/>
              <w:rPr>
                <w:rFonts w:ascii="Times New Roman" w:hAnsi="Times New Roman"/>
                <w:sz w:val="26"/>
                <w:szCs w:val="26"/>
                <w:lang w:val="ro-RO"/>
              </w:rPr>
            </w:pPr>
            <w:r w:rsidRPr="0070124D">
              <w:rPr>
                <w:rFonts w:ascii="Times New Roman" w:hAnsi="Times New Roman"/>
                <w:sz w:val="26"/>
                <w:szCs w:val="26"/>
                <w:lang w:val="ro-RO"/>
              </w:rPr>
              <w:lastRenderedPageBreak/>
              <w:t xml:space="preserve">Proiectul de </w:t>
            </w:r>
            <w:proofErr w:type="spellStart"/>
            <w:r w:rsidRPr="0070124D">
              <w:rPr>
                <w:rFonts w:ascii="Times New Roman" w:hAnsi="Times New Roman"/>
                <w:sz w:val="26"/>
                <w:szCs w:val="26"/>
                <w:lang w:val="ro-RO"/>
              </w:rPr>
              <w:t>hotărîre</w:t>
            </w:r>
            <w:proofErr w:type="spellEnd"/>
            <w:r w:rsidRPr="0070124D">
              <w:rPr>
                <w:rFonts w:ascii="Times New Roman" w:hAnsi="Times New Roman"/>
                <w:sz w:val="26"/>
                <w:szCs w:val="26"/>
                <w:lang w:val="ro-RO"/>
              </w:rPr>
              <w:t xml:space="preserve"> de Guvern este elaborat în vederea aprobării Regulamentului </w:t>
            </w:r>
            <w:r w:rsidR="00F85567" w:rsidRPr="0070124D">
              <w:rPr>
                <w:rFonts w:ascii="Times New Roman" w:hAnsi="Times New Roman"/>
                <w:sz w:val="26"/>
                <w:szCs w:val="26"/>
                <w:lang w:val="ro-RO"/>
              </w:rPr>
              <w:t>pentru reglemen</w:t>
            </w:r>
            <w:r w:rsidRPr="0070124D">
              <w:rPr>
                <w:rFonts w:ascii="Times New Roman" w:hAnsi="Times New Roman"/>
                <w:sz w:val="26"/>
                <w:szCs w:val="26"/>
                <w:lang w:val="ro-RO"/>
              </w:rPr>
              <w:t>t</w:t>
            </w:r>
            <w:r w:rsidR="00F85567" w:rsidRPr="0070124D">
              <w:rPr>
                <w:rFonts w:ascii="Times New Roman" w:hAnsi="Times New Roman"/>
                <w:sz w:val="26"/>
                <w:szCs w:val="26"/>
                <w:lang w:val="ro-RO"/>
              </w:rPr>
              <w:t>a</w:t>
            </w:r>
            <w:r w:rsidRPr="0070124D">
              <w:rPr>
                <w:rFonts w:ascii="Times New Roman" w:hAnsi="Times New Roman"/>
                <w:sz w:val="26"/>
                <w:szCs w:val="26"/>
                <w:lang w:val="ro-RO"/>
              </w:rPr>
              <w:t xml:space="preserve">rea și controlul emisiilor de compuși organici volatili, în conformitate cu prevederile </w:t>
            </w:r>
            <w:r w:rsidR="00F85567" w:rsidRPr="0070124D">
              <w:rPr>
                <w:rFonts w:ascii="Times New Roman" w:hAnsi="Times New Roman"/>
                <w:sz w:val="26"/>
                <w:szCs w:val="26"/>
                <w:lang w:val="ro-RO"/>
              </w:rPr>
              <w:t>Legii nr.</w:t>
            </w:r>
            <w:r w:rsidRPr="0070124D">
              <w:rPr>
                <w:rFonts w:ascii="Times New Roman" w:hAnsi="Times New Roman"/>
                <w:sz w:val="26"/>
                <w:szCs w:val="26"/>
                <w:lang w:val="ro-RO"/>
              </w:rPr>
              <w:t xml:space="preserve"> 100</w:t>
            </w:r>
            <w:r w:rsidR="00F85567" w:rsidRPr="0070124D">
              <w:rPr>
                <w:rFonts w:ascii="Times New Roman" w:hAnsi="Times New Roman"/>
                <w:sz w:val="26"/>
                <w:szCs w:val="26"/>
                <w:lang w:val="ro-RO"/>
              </w:rPr>
              <w:t>/2018 cu privire la actele normative.</w:t>
            </w:r>
          </w:p>
          <w:p w:rsidR="00036133" w:rsidRPr="0070124D" w:rsidRDefault="00D908D2" w:rsidP="0070124D">
            <w:pPr>
              <w:jc w:val="both"/>
              <w:rPr>
                <w:rFonts w:ascii="Times New Roman" w:hAnsi="Times New Roman"/>
                <w:sz w:val="26"/>
                <w:szCs w:val="26"/>
                <w:lang w:val="ro-RO"/>
              </w:rPr>
            </w:pPr>
            <w:r w:rsidRPr="0070124D">
              <w:rPr>
                <w:rFonts w:ascii="Times New Roman" w:hAnsi="Times New Roman"/>
                <w:sz w:val="26"/>
                <w:szCs w:val="26"/>
                <w:lang w:val="ro-RO"/>
              </w:rPr>
              <w:t xml:space="preserve">În procesul elaborării proiectului de </w:t>
            </w:r>
            <w:proofErr w:type="spellStart"/>
            <w:r w:rsidRPr="0070124D">
              <w:rPr>
                <w:rFonts w:ascii="Times New Roman" w:hAnsi="Times New Roman"/>
                <w:sz w:val="26"/>
                <w:szCs w:val="26"/>
                <w:lang w:val="ro-RO"/>
              </w:rPr>
              <w:t>h</w:t>
            </w:r>
            <w:r w:rsidR="003A0277" w:rsidRPr="0070124D">
              <w:rPr>
                <w:rFonts w:ascii="Times New Roman" w:hAnsi="Times New Roman"/>
                <w:sz w:val="26"/>
                <w:szCs w:val="26"/>
                <w:lang w:val="ro-RO"/>
              </w:rPr>
              <w:t>otărîre</w:t>
            </w:r>
            <w:proofErr w:type="spellEnd"/>
            <w:r w:rsidR="003A0277" w:rsidRPr="0070124D">
              <w:rPr>
                <w:rFonts w:ascii="Times New Roman" w:hAnsi="Times New Roman"/>
                <w:sz w:val="26"/>
                <w:szCs w:val="26"/>
                <w:lang w:val="ro-RO"/>
              </w:rPr>
              <w:t xml:space="preserve"> de Guvern s-a luat în co</w:t>
            </w:r>
            <w:r w:rsidR="00BE281A" w:rsidRPr="0070124D">
              <w:rPr>
                <w:rFonts w:ascii="Times New Roman" w:hAnsi="Times New Roman"/>
                <w:sz w:val="26"/>
                <w:szCs w:val="26"/>
                <w:lang w:val="ro-RO"/>
              </w:rPr>
              <w:t>nsiderare faptul că</w:t>
            </w:r>
            <w:r w:rsidRPr="0070124D">
              <w:rPr>
                <w:rFonts w:ascii="Times New Roman" w:hAnsi="Times New Roman"/>
                <w:sz w:val="26"/>
                <w:szCs w:val="26"/>
                <w:lang w:val="ro-RO"/>
              </w:rPr>
              <w:t xml:space="preserve"> importul, transportarea, depozitarea și comercializarea produsel</w:t>
            </w:r>
            <w:r w:rsidR="003A0277" w:rsidRPr="0070124D">
              <w:rPr>
                <w:rFonts w:ascii="Times New Roman" w:hAnsi="Times New Roman"/>
                <w:sz w:val="26"/>
                <w:szCs w:val="26"/>
                <w:lang w:val="ro-RO"/>
              </w:rPr>
              <w:t>or petroliere pe piaț</w:t>
            </w:r>
            <w:r w:rsidRPr="0070124D">
              <w:rPr>
                <w:rFonts w:ascii="Times New Roman" w:hAnsi="Times New Roman"/>
                <w:sz w:val="26"/>
                <w:szCs w:val="26"/>
                <w:lang w:val="ro-RO"/>
              </w:rPr>
              <w:t>a internă sunt reglem</w:t>
            </w:r>
            <w:r w:rsidR="003A0277" w:rsidRPr="0070124D">
              <w:rPr>
                <w:rFonts w:ascii="Times New Roman" w:hAnsi="Times New Roman"/>
                <w:sz w:val="26"/>
                <w:szCs w:val="26"/>
                <w:lang w:val="ro-RO"/>
              </w:rPr>
              <w:t>en</w:t>
            </w:r>
            <w:r w:rsidRPr="0070124D">
              <w:rPr>
                <w:rFonts w:ascii="Times New Roman" w:hAnsi="Times New Roman"/>
                <w:sz w:val="26"/>
                <w:szCs w:val="26"/>
                <w:lang w:val="ro-RO"/>
              </w:rPr>
              <w:t>tate de acte legislative separate.</w:t>
            </w:r>
            <w:r w:rsidR="00273158" w:rsidRPr="0070124D">
              <w:rPr>
                <w:rFonts w:ascii="Times New Roman" w:hAnsi="Times New Roman"/>
                <w:sz w:val="26"/>
                <w:szCs w:val="26"/>
                <w:lang w:val="ro-RO"/>
              </w:rPr>
              <w:t xml:space="preserve"> </w:t>
            </w:r>
          </w:p>
          <w:p w:rsidR="00713819" w:rsidRDefault="00F85567" w:rsidP="00713819">
            <w:pPr>
              <w:spacing w:after="0"/>
              <w:jc w:val="both"/>
              <w:rPr>
                <w:rFonts w:ascii="Times New Roman" w:hAnsi="Times New Roman"/>
                <w:sz w:val="26"/>
                <w:szCs w:val="26"/>
                <w:lang w:val="ro-RO"/>
              </w:rPr>
            </w:pPr>
            <w:r w:rsidRPr="0070124D">
              <w:rPr>
                <w:rFonts w:ascii="Times New Roman" w:hAnsi="Times New Roman"/>
                <w:sz w:val="26"/>
                <w:szCs w:val="26"/>
                <w:lang w:val="ro-RO"/>
              </w:rPr>
              <w:t>Astfel la elaborarea proiectului au fost luat în considerare prevederile</w:t>
            </w:r>
            <w:r w:rsidR="00F749AB" w:rsidRPr="0070124D">
              <w:rPr>
                <w:rFonts w:ascii="Times New Roman" w:hAnsi="Times New Roman"/>
                <w:sz w:val="26"/>
                <w:szCs w:val="26"/>
                <w:lang w:val="ro-RO"/>
              </w:rPr>
              <w:t xml:space="preserve"> Legii nr. 461/2001 privind piaț</w:t>
            </w:r>
            <w:r w:rsidRPr="0070124D">
              <w:rPr>
                <w:rFonts w:ascii="Times New Roman" w:hAnsi="Times New Roman"/>
                <w:sz w:val="26"/>
                <w:szCs w:val="26"/>
                <w:lang w:val="ro-RO"/>
              </w:rPr>
              <w:t>a produselo</w:t>
            </w:r>
            <w:r w:rsidR="00BE281A" w:rsidRPr="0070124D">
              <w:rPr>
                <w:rFonts w:ascii="Times New Roman" w:hAnsi="Times New Roman"/>
                <w:sz w:val="26"/>
                <w:szCs w:val="26"/>
                <w:lang w:val="ro-RO"/>
              </w:rPr>
              <w:t>r petroliere și altele, care direct</w:t>
            </w:r>
            <w:r w:rsidRPr="0070124D">
              <w:rPr>
                <w:rFonts w:ascii="Times New Roman" w:hAnsi="Times New Roman"/>
                <w:sz w:val="26"/>
                <w:szCs w:val="26"/>
                <w:lang w:val="ro-RO"/>
              </w:rPr>
              <w:t xml:space="preserve"> sau tangențial sun</w:t>
            </w:r>
            <w:r w:rsidR="00BE281A" w:rsidRPr="0070124D">
              <w:rPr>
                <w:rFonts w:ascii="Times New Roman" w:hAnsi="Times New Roman"/>
                <w:sz w:val="26"/>
                <w:szCs w:val="26"/>
                <w:lang w:val="ro-RO"/>
              </w:rPr>
              <w:t>t</w:t>
            </w:r>
            <w:r w:rsidRPr="0070124D">
              <w:rPr>
                <w:rFonts w:ascii="Times New Roman" w:hAnsi="Times New Roman"/>
                <w:sz w:val="26"/>
                <w:szCs w:val="26"/>
                <w:lang w:val="ro-RO"/>
              </w:rPr>
              <w:t xml:space="preserve"> aplicabile în domeniul reglementării </w:t>
            </w:r>
            <w:proofErr w:type="spellStart"/>
            <w:r w:rsidRPr="0070124D">
              <w:rPr>
                <w:rFonts w:ascii="Times New Roman" w:hAnsi="Times New Roman"/>
                <w:sz w:val="26"/>
                <w:szCs w:val="26"/>
                <w:lang w:val="ro-RO"/>
              </w:rPr>
              <w:t>pieții</w:t>
            </w:r>
            <w:proofErr w:type="spellEnd"/>
            <w:r w:rsidRPr="0070124D">
              <w:rPr>
                <w:rFonts w:ascii="Times New Roman" w:hAnsi="Times New Roman"/>
                <w:sz w:val="26"/>
                <w:szCs w:val="26"/>
                <w:lang w:val="ro-RO"/>
              </w:rPr>
              <w:t xml:space="preserve"> produselor petroliere.</w:t>
            </w:r>
          </w:p>
          <w:p w:rsidR="00713819" w:rsidRDefault="00713819" w:rsidP="00713819">
            <w:pPr>
              <w:spacing w:after="0"/>
              <w:jc w:val="both"/>
              <w:rPr>
                <w:rFonts w:ascii="Times New Roman" w:hAnsi="Times New Roman"/>
                <w:sz w:val="26"/>
                <w:szCs w:val="26"/>
                <w:lang w:val="ro-RO"/>
              </w:rPr>
            </w:pPr>
            <w:r w:rsidRPr="0070124D">
              <w:rPr>
                <w:rFonts w:ascii="Times New Roman" w:hAnsi="Times New Roman"/>
                <w:sz w:val="26"/>
                <w:szCs w:val="26"/>
                <w:lang w:val="ro-RO"/>
              </w:rPr>
              <w:t xml:space="preserve"> Principalele prevederi ale proiectului Regulamentului se axează pe stabilirea cerințelor /dispozițiilor tehnice pentru proiectarea și exploatarea instalațiilor de depozitare la terminale, instalațiilor de încărcare și descărcare a containerelor mobile la terminale și pentru încărcarea benzinei în instalațiile de depozitare din stațiile de alimentare cu produse petroliere în scopul diminuării impactului negativ al emisiilor de compuși organici volatili rezultați din depozitarea, încărcarea/descărcarea și distribuția benzinei, asupra sănătății populației și mediului. </w:t>
            </w:r>
          </w:p>
          <w:p w:rsidR="00713819" w:rsidRPr="0070124D" w:rsidRDefault="00713819" w:rsidP="00713819">
            <w:pPr>
              <w:spacing w:after="0"/>
              <w:jc w:val="both"/>
              <w:rPr>
                <w:rFonts w:ascii="Times New Roman" w:hAnsi="Times New Roman"/>
                <w:sz w:val="26"/>
                <w:szCs w:val="26"/>
                <w:lang w:val="ro-RO"/>
              </w:rPr>
            </w:pPr>
            <w:r w:rsidRPr="0070124D">
              <w:rPr>
                <w:rFonts w:ascii="Times New Roman" w:hAnsi="Times New Roman"/>
                <w:sz w:val="26"/>
                <w:szCs w:val="26"/>
                <w:lang w:val="ro-RO"/>
              </w:rPr>
              <w:t xml:space="preserve">Un element nou este impunerea cerințelor și pentru containerele mobile care transportă benzina (cisterne auto, vagoane, nave), </w:t>
            </w:r>
            <w:proofErr w:type="spellStart"/>
            <w:r w:rsidRPr="0070124D">
              <w:rPr>
                <w:rFonts w:ascii="Times New Roman" w:hAnsi="Times New Roman"/>
                <w:sz w:val="26"/>
                <w:szCs w:val="26"/>
                <w:lang w:val="ro-RO"/>
              </w:rPr>
              <w:t>asigurîndu</w:t>
            </w:r>
            <w:proofErr w:type="spellEnd"/>
            <w:r w:rsidRPr="0070124D">
              <w:rPr>
                <w:rFonts w:ascii="Times New Roman" w:hAnsi="Times New Roman"/>
                <w:sz w:val="26"/>
                <w:szCs w:val="26"/>
                <w:lang w:val="ro-RO"/>
              </w:rPr>
              <w:t>-se astfel armonizarea cu cerințele europene în acest domeniu. Suplimentar la aceasta, proiectul prevede și obligativitatea de măsurare și analiză a emisiilor de compuși organici volatili în atmosferă de către operatori</w:t>
            </w:r>
            <w:r>
              <w:rPr>
                <w:rFonts w:ascii="Times New Roman" w:hAnsi="Times New Roman"/>
                <w:sz w:val="26"/>
                <w:szCs w:val="26"/>
                <w:lang w:val="ro-RO"/>
              </w:rPr>
              <w:t>.</w:t>
            </w:r>
          </w:p>
          <w:p w:rsidR="00CC4EEA" w:rsidRPr="0070124D" w:rsidRDefault="00A17E4A" w:rsidP="00713819">
            <w:pPr>
              <w:spacing w:after="0"/>
              <w:jc w:val="both"/>
              <w:rPr>
                <w:rFonts w:ascii="Times New Roman" w:hAnsi="Times New Roman"/>
                <w:sz w:val="26"/>
                <w:szCs w:val="26"/>
                <w:lang w:val="ro-RO"/>
              </w:rPr>
            </w:pPr>
            <w:r w:rsidRPr="0070124D">
              <w:rPr>
                <w:rFonts w:ascii="Times New Roman" w:hAnsi="Times New Roman"/>
                <w:sz w:val="26"/>
                <w:szCs w:val="26"/>
                <w:lang w:val="ro-RO"/>
              </w:rPr>
              <w:t>Din p</w:t>
            </w:r>
            <w:r w:rsidR="00E168E5" w:rsidRPr="0070124D">
              <w:rPr>
                <w:rFonts w:ascii="Times New Roman" w:hAnsi="Times New Roman"/>
                <w:sz w:val="26"/>
                <w:szCs w:val="26"/>
                <w:lang w:val="ro-RO"/>
              </w:rPr>
              <w:t xml:space="preserve">unct de vedere structural, proiectul de </w:t>
            </w:r>
            <w:proofErr w:type="spellStart"/>
            <w:r w:rsidR="00E168E5" w:rsidRPr="0070124D">
              <w:rPr>
                <w:rFonts w:ascii="Times New Roman" w:hAnsi="Times New Roman"/>
                <w:sz w:val="26"/>
                <w:szCs w:val="26"/>
                <w:lang w:val="ro-RO"/>
              </w:rPr>
              <w:t>hotărîre</w:t>
            </w:r>
            <w:proofErr w:type="spellEnd"/>
            <w:r w:rsidR="00E168E5" w:rsidRPr="0070124D">
              <w:rPr>
                <w:rFonts w:ascii="Times New Roman" w:hAnsi="Times New Roman"/>
                <w:sz w:val="26"/>
                <w:szCs w:val="26"/>
                <w:lang w:val="ro-RO"/>
              </w:rPr>
              <w:t xml:space="preserve"> de Guvern </w:t>
            </w:r>
            <w:r w:rsidR="00C35422">
              <w:rPr>
                <w:rFonts w:ascii="Times New Roman" w:hAnsi="Times New Roman"/>
                <w:sz w:val="26"/>
                <w:szCs w:val="26"/>
                <w:lang w:val="ro-RO"/>
              </w:rPr>
              <w:t>se constituie din clauza de emi</w:t>
            </w:r>
            <w:r w:rsidR="00E168E5" w:rsidRPr="0070124D">
              <w:rPr>
                <w:rFonts w:ascii="Times New Roman" w:hAnsi="Times New Roman"/>
                <w:sz w:val="26"/>
                <w:szCs w:val="26"/>
                <w:lang w:val="ro-RO"/>
              </w:rPr>
              <w:t>tere, dispoziții genera</w:t>
            </w:r>
            <w:r w:rsidRPr="0070124D">
              <w:rPr>
                <w:rFonts w:ascii="Times New Roman" w:hAnsi="Times New Roman"/>
                <w:sz w:val="26"/>
                <w:szCs w:val="26"/>
                <w:lang w:val="ro-RO"/>
              </w:rPr>
              <w:t xml:space="preserve">le și domeniul de aplicare </w:t>
            </w:r>
            <w:r w:rsidR="00C60484" w:rsidRPr="0070124D">
              <w:rPr>
                <w:rFonts w:ascii="Times New Roman" w:hAnsi="Times New Roman"/>
                <w:sz w:val="26"/>
                <w:szCs w:val="26"/>
                <w:lang w:val="ro-RO"/>
              </w:rPr>
              <w:t>(</w:t>
            </w:r>
            <w:proofErr w:type="spellStart"/>
            <w:r w:rsidRPr="0070124D">
              <w:rPr>
                <w:rFonts w:ascii="Times New Roman" w:hAnsi="Times New Roman"/>
                <w:sz w:val="26"/>
                <w:szCs w:val="26"/>
                <w:lang w:val="ro-RO"/>
              </w:rPr>
              <w:t>cap.</w:t>
            </w:r>
            <w:r w:rsidR="00C60484" w:rsidRPr="0070124D">
              <w:rPr>
                <w:rFonts w:ascii="Times New Roman" w:hAnsi="Times New Roman"/>
                <w:sz w:val="26"/>
                <w:szCs w:val="26"/>
                <w:lang w:val="ro-RO"/>
              </w:rPr>
              <w:t>I</w:t>
            </w:r>
            <w:proofErr w:type="spellEnd"/>
            <w:r w:rsidR="00C60484" w:rsidRPr="0070124D">
              <w:rPr>
                <w:rFonts w:ascii="Times New Roman" w:hAnsi="Times New Roman"/>
                <w:sz w:val="26"/>
                <w:szCs w:val="26"/>
                <w:lang w:val="ro-RO"/>
              </w:rPr>
              <w:t>)</w:t>
            </w:r>
            <w:r w:rsidR="00CC4EEA" w:rsidRPr="0070124D">
              <w:rPr>
                <w:rFonts w:ascii="Times New Roman" w:hAnsi="Times New Roman"/>
                <w:sz w:val="26"/>
                <w:szCs w:val="26"/>
                <w:lang w:val="ro-RO"/>
              </w:rPr>
              <w:t>, cerințe privind instalațiile de depozitare la terminale (</w:t>
            </w:r>
            <w:proofErr w:type="spellStart"/>
            <w:r w:rsidR="00CC4EEA" w:rsidRPr="0070124D">
              <w:rPr>
                <w:rFonts w:ascii="Times New Roman" w:hAnsi="Times New Roman"/>
                <w:sz w:val="26"/>
                <w:szCs w:val="26"/>
                <w:lang w:val="ro-RO"/>
              </w:rPr>
              <w:t>cap.II</w:t>
            </w:r>
            <w:proofErr w:type="spellEnd"/>
            <w:r w:rsidR="00CC4EEA" w:rsidRPr="0070124D">
              <w:rPr>
                <w:rFonts w:ascii="Times New Roman" w:hAnsi="Times New Roman"/>
                <w:sz w:val="26"/>
                <w:szCs w:val="26"/>
                <w:lang w:val="ro-RO"/>
              </w:rPr>
              <w:t>), cerințe privind in</w:t>
            </w:r>
            <w:r w:rsidR="00C35422">
              <w:rPr>
                <w:rFonts w:ascii="Times New Roman" w:hAnsi="Times New Roman"/>
                <w:sz w:val="26"/>
                <w:szCs w:val="26"/>
                <w:lang w:val="ro-RO"/>
              </w:rPr>
              <w:t>stalațiile de încărcare și descă</w:t>
            </w:r>
            <w:r w:rsidR="00CC4EEA" w:rsidRPr="0070124D">
              <w:rPr>
                <w:rFonts w:ascii="Times New Roman" w:hAnsi="Times New Roman"/>
                <w:sz w:val="26"/>
                <w:szCs w:val="26"/>
                <w:lang w:val="ro-RO"/>
              </w:rPr>
              <w:t>rcare a containe</w:t>
            </w:r>
            <w:r w:rsidR="00C35422">
              <w:rPr>
                <w:rFonts w:ascii="Times New Roman" w:hAnsi="Times New Roman"/>
                <w:sz w:val="26"/>
                <w:szCs w:val="26"/>
                <w:lang w:val="ro-RO"/>
              </w:rPr>
              <w:t>re</w:t>
            </w:r>
            <w:r w:rsidR="00CC4EEA" w:rsidRPr="0070124D">
              <w:rPr>
                <w:rFonts w:ascii="Times New Roman" w:hAnsi="Times New Roman"/>
                <w:sz w:val="26"/>
                <w:szCs w:val="26"/>
                <w:lang w:val="ro-RO"/>
              </w:rPr>
              <w:t>lor mobile la terminale (</w:t>
            </w:r>
            <w:proofErr w:type="spellStart"/>
            <w:r w:rsidR="00CC4EEA" w:rsidRPr="0070124D">
              <w:rPr>
                <w:rFonts w:ascii="Times New Roman" w:hAnsi="Times New Roman"/>
                <w:sz w:val="26"/>
                <w:szCs w:val="26"/>
                <w:lang w:val="ro-RO"/>
              </w:rPr>
              <w:t>cap.III</w:t>
            </w:r>
            <w:proofErr w:type="spellEnd"/>
            <w:r w:rsidR="00CC4EEA" w:rsidRPr="0070124D">
              <w:rPr>
                <w:rFonts w:ascii="Times New Roman" w:hAnsi="Times New Roman"/>
                <w:sz w:val="26"/>
                <w:szCs w:val="26"/>
                <w:lang w:val="ro-RO"/>
              </w:rPr>
              <w:t>), cerințe privind containerele mobile (cap. IV), măsurarea emisiilor de compuși organici volatili în atmosferă (</w:t>
            </w:r>
            <w:proofErr w:type="spellStart"/>
            <w:r w:rsidR="00CC4EEA" w:rsidRPr="0070124D">
              <w:rPr>
                <w:rFonts w:ascii="Times New Roman" w:hAnsi="Times New Roman"/>
                <w:sz w:val="26"/>
                <w:szCs w:val="26"/>
                <w:lang w:val="ro-RO"/>
              </w:rPr>
              <w:t>cap.V</w:t>
            </w:r>
            <w:proofErr w:type="spellEnd"/>
            <w:r w:rsidR="00CC4EEA" w:rsidRPr="0070124D">
              <w:rPr>
                <w:rFonts w:ascii="Times New Roman" w:hAnsi="Times New Roman"/>
                <w:sz w:val="26"/>
                <w:szCs w:val="26"/>
                <w:lang w:val="ro-RO"/>
              </w:rPr>
              <w:t>), cerințe pentru proiectarea și exploatarea instalațiilor de încărcare și depozitare a benz</w:t>
            </w:r>
            <w:r w:rsidR="00C35422">
              <w:rPr>
                <w:rFonts w:ascii="Times New Roman" w:hAnsi="Times New Roman"/>
                <w:sz w:val="26"/>
                <w:szCs w:val="26"/>
                <w:lang w:val="ro-RO"/>
              </w:rPr>
              <w:t>i</w:t>
            </w:r>
            <w:r w:rsidR="00CC4EEA" w:rsidRPr="0070124D">
              <w:rPr>
                <w:rFonts w:ascii="Times New Roman" w:hAnsi="Times New Roman"/>
                <w:sz w:val="26"/>
                <w:szCs w:val="26"/>
                <w:lang w:val="ro-RO"/>
              </w:rPr>
              <w:t>nei la stațiile de alimentare cu produse petroliere (cap.VI), evidența și controlul (</w:t>
            </w:r>
            <w:r w:rsidR="00C15213" w:rsidRPr="0070124D">
              <w:rPr>
                <w:rFonts w:ascii="Times New Roman" w:hAnsi="Times New Roman"/>
                <w:sz w:val="26"/>
                <w:szCs w:val="26"/>
                <w:lang w:val="ro-RO"/>
              </w:rPr>
              <w:t xml:space="preserve">cap. </w:t>
            </w:r>
            <w:r w:rsidR="00CC4EEA" w:rsidRPr="0070124D">
              <w:rPr>
                <w:rFonts w:ascii="Times New Roman" w:hAnsi="Times New Roman"/>
                <w:sz w:val="26"/>
                <w:szCs w:val="26"/>
                <w:lang w:val="ro-RO"/>
              </w:rPr>
              <w:t>VII), dispoziții finale și tranzitorii (</w:t>
            </w:r>
            <w:r w:rsidR="00C15213" w:rsidRPr="0070124D">
              <w:rPr>
                <w:rFonts w:ascii="Times New Roman" w:hAnsi="Times New Roman"/>
                <w:sz w:val="26"/>
                <w:szCs w:val="26"/>
                <w:lang w:val="ro-RO"/>
              </w:rPr>
              <w:t xml:space="preserve">cap. </w:t>
            </w:r>
            <w:r w:rsidR="00CC4EEA" w:rsidRPr="0070124D">
              <w:rPr>
                <w:rFonts w:ascii="Times New Roman" w:hAnsi="Times New Roman"/>
                <w:sz w:val="26"/>
                <w:szCs w:val="26"/>
                <w:lang w:val="ro-RO"/>
              </w:rPr>
              <w:t>VIII).</w:t>
            </w:r>
          </w:p>
          <w:p w:rsidR="0089724F" w:rsidRPr="00713819" w:rsidRDefault="00CC4EEA" w:rsidP="00713819">
            <w:pPr>
              <w:jc w:val="both"/>
              <w:rPr>
                <w:rFonts w:ascii="Times New Roman" w:hAnsi="Times New Roman"/>
                <w:sz w:val="26"/>
                <w:szCs w:val="26"/>
                <w:lang w:val="ro-RO"/>
              </w:rPr>
            </w:pPr>
            <w:r w:rsidRPr="0070124D">
              <w:rPr>
                <w:rFonts w:ascii="Times New Roman" w:hAnsi="Times New Roman"/>
                <w:sz w:val="26"/>
                <w:szCs w:val="26"/>
                <w:lang w:val="ro-RO"/>
              </w:rPr>
              <w:t>În afară de ace</w:t>
            </w:r>
            <w:r w:rsidR="00522B03" w:rsidRPr="0070124D">
              <w:rPr>
                <w:rFonts w:ascii="Times New Roman" w:hAnsi="Times New Roman"/>
                <w:sz w:val="26"/>
                <w:szCs w:val="26"/>
                <w:lang w:val="ro-RO"/>
              </w:rPr>
              <w:t>asta, în scopul facilitării pro</w:t>
            </w:r>
            <w:r w:rsidRPr="0070124D">
              <w:rPr>
                <w:rFonts w:ascii="Times New Roman" w:hAnsi="Times New Roman"/>
                <w:sz w:val="26"/>
                <w:szCs w:val="26"/>
                <w:lang w:val="ro-RO"/>
              </w:rPr>
              <w:t xml:space="preserve">cesului de punere în aplicare a prevederilor noii </w:t>
            </w:r>
            <w:proofErr w:type="spellStart"/>
            <w:r w:rsidRPr="0070124D">
              <w:rPr>
                <w:rFonts w:ascii="Times New Roman" w:hAnsi="Times New Roman"/>
                <w:sz w:val="26"/>
                <w:szCs w:val="26"/>
                <w:lang w:val="ro-RO"/>
              </w:rPr>
              <w:t>Hotărîri</w:t>
            </w:r>
            <w:proofErr w:type="spellEnd"/>
            <w:r w:rsidRPr="0070124D">
              <w:rPr>
                <w:rFonts w:ascii="Times New Roman" w:hAnsi="Times New Roman"/>
                <w:sz w:val="26"/>
                <w:szCs w:val="26"/>
                <w:lang w:val="ro-RO"/>
              </w:rPr>
              <w:t xml:space="preserve"> de Guvern pentru aprobarea Regulamentului menționat, </w:t>
            </w:r>
            <w:r w:rsidR="00522B03" w:rsidRPr="0070124D">
              <w:rPr>
                <w:rFonts w:ascii="Times New Roman" w:hAnsi="Times New Roman"/>
                <w:sz w:val="26"/>
                <w:szCs w:val="26"/>
                <w:lang w:val="ro-RO"/>
              </w:rPr>
              <w:t xml:space="preserve">proiectul include în calitate de anexe: specificații privind </w:t>
            </w:r>
            <w:proofErr w:type="spellStart"/>
            <w:r w:rsidR="00522B03" w:rsidRPr="0070124D">
              <w:rPr>
                <w:rFonts w:ascii="Times New Roman" w:hAnsi="Times New Roman"/>
                <w:sz w:val="26"/>
                <w:szCs w:val="26"/>
                <w:lang w:val="ro-RO"/>
              </w:rPr>
              <w:t>încarcarea</w:t>
            </w:r>
            <w:proofErr w:type="spellEnd"/>
            <w:r w:rsidR="00522B03" w:rsidRPr="0070124D">
              <w:rPr>
                <w:rFonts w:ascii="Times New Roman" w:hAnsi="Times New Roman"/>
                <w:sz w:val="26"/>
                <w:szCs w:val="26"/>
                <w:lang w:val="ro-RO"/>
              </w:rPr>
              <w:t xml:space="preserve"> prin partea  inferioară a autocisternelor, colectarea vaporilor și protecția de supraîncărca</w:t>
            </w:r>
            <w:r w:rsidR="0033236F">
              <w:rPr>
                <w:rFonts w:ascii="Times New Roman" w:hAnsi="Times New Roman"/>
                <w:sz w:val="26"/>
                <w:szCs w:val="26"/>
                <w:lang w:val="ro-RO"/>
              </w:rPr>
              <w:t>re a autocisternelor (Anexa nr.</w:t>
            </w:r>
            <w:r w:rsidR="00522B03" w:rsidRPr="0070124D">
              <w:rPr>
                <w:rFonts w:ascii="Times New Roman" w:hAnsi="Times New Roman"/>
                <w:sz w:val="26"/>
                <w:szCs w:val="26"/>
                <w:lang w:val="ro-RO"/>
              </w:rPr>
              <w:t xml:space="preserve">1). </w:t>
            </w:r>
          </w:p>
        </w:tc>
      </w:tr>
      <w:bookmarkEnd w:id="0"/>
      <w:tr w:rsidR="00E825DF" w:rsidRPr="0070124D" w:rsidTr="002152B8">
        <w:tc>
          <w:tcPr>
            <w:tcW w:w="9669" w:type="dxa"/>
            <w:shd w:val="clear" w:color="auto" w:fill="D9D9D9" w:themeFill="background1" w:themeFillShade="D9"/>
          </w:tcPr>
          <w:p w:rsidR="00E825DF" w:rsidRPr="0070124D" w:rsidRDefault="00E825DF" w:rsidP="002A1ED2">
            <w:pPr>
              <w:pStyle w:val="Listparagraf"/>
              <w:widowControl w:val="0"/>
              <w:numPr>
                <w:ilvl w:val="0"/>
                <w:numId w:val="1"/>
              </w:numPr>
              <w:overflowPunct w:val="0"/>
              <w:adjustRightInd w:val="0"/>
              <w:spacing w:after="0" w:line="240" w:lineRule="auto"/>
              <w:jc w:val="both"/>
              <w:rPr>
                <w:rFonts w:ascii="Times New Roman" w:hAnsi="Times New Roman"/>
                <w:color w:val="FF0000"/>
                <w:sz w:val="28"/>
                <w:szCs w:val="28"/>
                <w:lang w:val="ro-RO"/>
              </w:rPr>
            </w:pPr>
            <w:r w:rsidRPr="0070124D">
              <w:rPr>
                <w:rFonts w:ascii="Times New Roman" w:hAnsi="Times New Roman"/>
                <w:sz w:val="28"/>
                <w:szCs w:val="28"/>
                <w:lang w:val="ro-RO"/>
              </w:rPr>
              <w:t>Fu</w:t>
            </w:r>
            <w:r w:rsidR="002152B8" w:rsidRPr="0070124D">
              <w:rPr>
                <w:rFonts w:ascii="Times New Roman" w:hAnsi="Times New Roman"/>
                <w:sz w:val="28"/>
                <w:szCs w:val="28"/>
                <w:lang w:val="ro-RO"/>
              </w:rPr>
              <w:t xml:space="preserve">ndamentarea </w:t>
            </w:r>
            <w:proofErr w:type="spellStart"/>
            <w:r w:rsidR="002152B8" w:rsidRPr="0070124D">
              <w:rPr>
                <w:rFonts w:ascii="Times New Roman" w:hAnsi="Times New Roman"/>
                <w:sz w:val="28"/>
                <w:szCs w:val="28"/>
                <w:lang w:val="ro-RO"/>
              </w:rPr>
              <w:t>economico</w:t>
            </w:r>
            <w:proofErr w:type="spellEnd"/>
            <w:r w:rsidR="002152B8" w:rsidRPr="0070124D">
              <w:rPr>
                <w:rFonts w:ascii="Times New Roman" w:hAnsi="Times New Roman"/>
                <w:sz w:val="28"/>
                <w:szCs w:val="28"/>
                <w:lang w:val="ro-RO"/>
              </w:rPr>
              <w:t>-financiară</w:t>
            </w:r>
          </w:p>
        </w:tc>
      </w:tr>
      <w:tr w:rsidR="00E825DF" w:rsidRPr="004A3555" w:rsidTr="002152B8">
        <w:tc>
          <w:tcPr>
            <w:tcW w:w="9669" w:type="dxa"/>
          </w:tcPr>
          <w:p w:rsidR="00E825DF" w:rsidRPr="0070124D" w:rsidRDefault="0030257B" w:rsidP="00FD5730">
            <w:pPr>
              <w:tabs>
                <w:tab w:val="left" w:pos="900"/>
              </w:tabs>
              <w:spacing w:after="100" w:afterAutospacing="1" w:line="240" w:lineRule="auto"/>
              <w:jc w:val="both"/>
              <w:rPr>
                <w:rFonts w:ascii="Times New Roman" w:hAnsi="Times New Roman"/>
                <w:bCs/>
                <w:color w:val="FF0000"/>
                <w:sz w:val="26"/>
                <w:szCs w:val="26"/>
                <w:lang w:val="ro-RO"/>
              </w:rPr>
            </w:pPr>
            <w:r w:rsidRPr="0070124D">
              <w:rPr>
                <w:rFonts w:ascii="Times New Roman" w:hAnsi="Times New Roman"/>
                <w:sz w:val="26"/>
                <w:szCs w:val="26"/>
                <w:lang w:val="ro-RO"/>
              </w:rPr>
              <w:t>Costurile intervenției statului au fost reflectate în actul de analiză a impactului</w:t>
            </w:r>
            <w:r w:rsidR="00FD5730">
              <w:rPr>
                <w:rFonts w:ascii="Times New Roman" w:hAnsi="Times New Roman"/>
                <w:sz w:val="26"/>
                <w:szCs w:val="26"/>
                <w:lang w:val="ro-RO"/>
              </w:rPr>
              <w:t xml:space="preserve"> care a fost avizat pozitiv d</w:t>
            </w:r>
            <w:r w:rsidR="00370839">
              <w:rPr>
                <w:rFonts w:ascii="Times New Roman" w:hAnsi="Times New Roman"/>
                <w:sz w:val="26"/>
                <w:szCs w:val="26"/>
                <w:lang w:val="ro-RO"/>
              </w:rPr>
              <w:t>e către Grupul de Lucru a Com</w:t>
            </w:r>
            <w:r w:rsidR="000B26FE">
              <w:rPr>
                <w:rFonts w:ascii="Times New Roman" w:hAnsi="Times New Roman"/>
                <w:sz w:val="26"/>
                <w:szCs w:val="26"/>
                <w:lang w:val="ro-RO"/>
              </w:rPr>
              <w:t>i</w:t>
            </w:r>
            <w:r w:rsidR="00370839">
              <w:rPr>
                <w:rFonts w:ascii="Times New Roman" w:hAnsi="Times New Roman"/>
                <w:sz w:val="26"/>
                <w:szCs w:val="26"/>
                <w:lang w:val="ro-RO"/>
              </w:rPr>
              <w:t>si</w:t>
            </w:r>
            <w:r w:rsidR="00FD5730">
              <w:rPr>
                <w:rFonts w:ascii="Times New Roman" w:hAnsi="Times New Roman"/>
                <w:sz w:val="26"/>
                <w:szCs w:val="26"/>
                <w:lang w:val="ro-RO"/>
              </w:rPr>
              <w:t xml:space="preserve">ei de Stat pentru Reglementare activității de întreprinzător, și este </w:t>
            </w:r>
            <w:r w:rsidRPr="0070124D">
              <w:rPr>
                <w:rFonts w:ascii="Times New Roman" w:hAnsi="Times New Roman"/>
                <w:sz w:val="26"/>
                <w:szCs w:val="26"/>
                <w:lang w:val="ro-RO"/>
              </w:rPr>
              <w:t>ca parte integrantă a prezentei note informative la proiectul de act normativ.</w:t>
            </w:r>
            <w:r w:rsidR="006278B0" w:rsidRPr="0070124D">
              <w:rPr>
                <w:rStyle w:val="s14"/>
                <w:rFonts w:ascii="Times New Roman" w:hAnsi="Times New Roman"/>
                <w:b w:val="0"/>
                <w:color w:val="FF0000"/>
                <w:sz w:val="26"/>
                <w:szCs w:val="26"/>
                <w:lang w:val="ro-RO"/>
              </w:rPr>
              <w:t xml:space="preserve"> </w:t>
            </w:r>
          </w:p>
        </w:tc>
      </w:tr>
      <w:tr w:rsidR="00E825DF" w:rsidRPr="004A3555" w:rsidTr="001752AC">
        <w:trPr>
          <w:trHeight w:val="526"/>
        </w:trPr>
        <w:tc>
          <w:tcPr>
            <w:tcW w:w="9669" w:type="dxa"/>
            <w:shd w:val="clear" w:color="auto" w:fill="D9D9D9" w:themeFill="background1" w:themeFillShade="D9"/>
          </w:tcPr>
          <w:p w:rsidR="00E825DF" w:rsidRPr="0070124D" w:rsidRDefault="001752AC" w:rsidP="001752AC">
            <w:pPr>
              <w:widowControl w:val="0"/>
              <w:overflowPunct w:val="0"/>
              <w:adjustRightInd w:val="0"/>
              <w:jc w:val="both"/>
              <w:rPr>
                <w:rFonts w:ascii="Times New Roman" w:hAnsi="Times New Roman"/>
                <w:color w:val="FF0000"/>
                <w:sz w:val="28"/>
                <w:szCs w:val="28"/>
                <w:lang w:val="ro-RO"/>
              </w:rPr>
            </w:pPr>
            <w:r w:rsidRPr="0070124D">
              <w:rPr>
                <w:rFonts w:ascii="Times New Roman" w:hAnsi="Times New Roman"/>
                <w:sz w:val="28"/>
                <w:szCs w:val="28"/>
                <w:lang w:val="ro-RO"/>
              </w:rPr>
              <w:t xml:space="preserve">6. Modul de încorporare a actului în cadrul normativ în vigoare </w:t>
            </w:r>
          </w:p>
        </w:tc>
      </w:tr>
      <w:tr w:rsidR="001752AC" w:rsidRPr="004A3555" w:rsidTr="001752AC">
        <w:trPr>
          <w:trHeight w:val="525"/>
        </w:trPr>
        <w:tc>
          <w:tcPr>
            <w:tcW w:w="9669" w:type="dxa"/>
            <w:shd w:val="clear" w:color="auto" w:fill="FFFFFF" w:themeFill="background1"/>
          </w:tcPr>
          <w:p w:rsidR="001752AC" w:rsidRPr="0070124D" w:rsidRDefault="00C60484" w:rsidP="00C60484">
            <w:pPr>
              <w:widowControl w:val="0"/>
              <w:overflowPunct w:val="0"/>
              <w:adjustRightInd w:val="0"/>
              <w:spacing w:after="0" w:line="240" w:lineRule="auto"/>
              <w:jc w:val="both"/>
              <w:rPr>
                <w:rFonts w:ascii="Times New Roman" w:hAnsi="Times New Roman"/>
                <w:color w:val="FF0000"/>
                <w:sz w:val="26"/>
                <w:szCs w:val="26"/>
                <w:lang w:val="ro-RO"/>
              </w:rPr>
            </w:pPr>
            <w:r w:rsidRPr="0070124D">
              <w:rPr>
                <w:rFonts w:ascii="Times New Roman" w:hAnsi="Times New Roman"/>
                <w:sz w:val="26"/>
                <w:szCs w:val="26"/>
                <w:lang w:val="ro-RO"/>
              </w:rPr>
              <w:t xml:space="preserve">Proiectul </w:t>
            </w:r>
            <w:proofErr w:type="spellStart"/>
            <w:r w:rsidRPr="0070124D">
              <w:rPr>
                <w:rFonts w:ascii="Times New Roman" w:hAnsi="Times New Roman"/>
                <w:sz w:val="26"/>
                <w:szCs w:val="26"/>
                <w:lang w:val="ro-RO"/>
              </w:rPr>
              <w:t>hotărîrii</w:t>
            </w:r>
            <w:proofErr w:type="spellEnd"/>
            <w:r w:rsidRPr="0070124D">
              <w:rPr>
                <w:rFonts w:ascii="Times New Roman" w:hAnsi="Times New Roman"/>
                <w:sz w:val="26"/>
                <w:szCs w:val="26"/>
                <w:lang w:val="ro-RO"/>
              </w:rPr>
              <w:t xml:space="preserve"> Guvernului pentru aprobarea Regulamentului privind controlul emisiilor de compuși organici volatili (COV) rezultați din depozitarea și din distribuția benzinei de la terminale la stațiile de alimentare cu produse petroliere  </w:t>
            </w:r>
            <w:r w:rsidR="00BB56A5" w:rsidRPr="0070124D">
              <w:rPr>
                <w:rFonts w:ascii="Times New Roman" w:hAnsi="Times New Roman"/>
                <w:sz w:val="26"/>
                <w:szCs w:val="26"/>
                <w:lang w:val="ro-RO"/>
              </w:rPr>
              <w:t>nu va necesita amendarea altor acte</w:t>
            </w:r>
            <w:r w:rsidR="00F2039E">
              <w:rPr>
                <w:rFonts w:ascii="Times New Roman" w:hAnsi="Times New Roman"/>
                <w:sz w:val="26"/>
                <w:szCs w:val="26"/>
                <w:lang w:val="ro-RO"/>
              </w:rPr>
              <w:t xml:space="preserve"> </w:t>
            </w:r>
            <w:r w:rsidR="00BB56A5" w:rsidRPr="0070124D">
              <w:rPr>
                <w:rFonts w:ascii="Times New Roman" w:hAnsi="Times New Roman"/>
                <w:sz w:val="26"/>
                <w:szCs w:val="26"/>
                <w:lang w:val="ro-RO"/>
              </w:rPr>
              <w:lastRenderedPageBreak/>
              <w:t>normative.</w:t>
            </w:r>
          </w:p>
        </w:tc>
      </w:tr>
      <w:tr w:rsidR="001752AC" w:rsidRPr="004A3555" w:rsidTr="00AA10B6">
        <w:trPr>
          <w:trHeight w:val="525"/>
        </w:trPr>
        <w:tc>
          <w:tcPr>
            <w:tcW w:w="9669" w:type="dxa"/>
            <w:shd w:val="clear" w:color="auto" w:fill="D9D9D9" w:themeFill="background1" w:themeFillShade="D9"/>
          </w:tcPr>
          <w:p w:rsidR="001752AC" w:rsidRPr="0070124D" w:rsidRDefault="001752AC" w:rsidP="001752AC">
            <w:pPr>
              <w:widowControl w:val="0"/>
              <w:overflowPunct w:val="0"/>
              <w:adjustRightInd w:val="0"/>
              <w:spacing w:after="0" w:line="240" w:lineRule="auto"/>
              <w:jc w:val="both"/>
              <w:rPr>
                <w:rFonts w:ascii="Times New Roman" w:hAnsi="Times New Roman"/>
                <w:color w:val="FF0000"/>
                <w:sz w:val="28"/>
                <w:szCs w:val="28"/>
                <w:lang w:val="ro-RO"/>
              </w:rPr>
            </w:pPr>
            <w:r w:rsidRPr="0070124D">
              <w:rPr>
                <w:rFonts w:ascii="Times New Roman" w:hAnsi="Times New Roman"/>
                <w:sz w:val="28"/>
                <w:szCs w:val="28"/>
                <w:lang w:val="ro-RO"/>
              </w:rPr>
              <w:lastRenderedPageBreak/>
              <w:t xml:space="preserve">7. Avizarea și consultarea publică a proiectului </w:t>
            </w:r>
          </w:p>
        </w:tc>
      </w:tr>
      <w:tr w:rsidR="00E825DF" w:rsidRPr="004A3555" w:rsidTr="000F2A67">
        <w:trPr>
          <w:trHeight w:val="2366"/>
        </w:trPr>
        <w:tc>
          <w:tcPr>
            <w:tcW w:w="9669" w:type="dxa"/>
          </w:tcPr>
          <w:p w:rsidR="000F2A67" w:rsidRPr="0070124D" w:rsidRDefault="001752AC" w:rsidP="000F2A67">
            <w:pPr>
              <w:widowControl w:val="0"/>
              <w:overflowPunct w:val="0"/>
              <w:adjustRightInd w:val="0"/>
              <w:spacing w:after="0" w:line="240" w:lineRule="auto"/>
              <w:jc w:val="both"/>
              <w:rPr>
                <w:rFonts w:ascii="Times New Roman" w:hAnsi="Times New Roman"/>
                <w:sz w:val="26"/>
                <w:szCs w:val="26"/>
                <w:lang w:val="ro-RO"/>
              </w:rPr>
            </w:pPr>
            <w:r w:rsidRPr="0070124D">
              <w:rPr>
                <w:rFonts w:ascii="Times New Roman" w:hAnsi="Times New Roman"/>
                <w:sz w:val="26"/>
                <w:szCs w:val="26"/>
                <w:lang w:val="ro-RO"/>
              </w:rPr>
              <w:t xml:space="preserve">Transparența decizională </w:t>
            </w:r>
            <w:r w:rsidR="00273158" w:rsidRPr="0070124D">
              <w:rPr>
                <w:rFonts w:ascii="Times New Roman" w:hAnsi="Times New Roman"/>
                <w:sz w:val="26"/>
                <w:szCs w:val="26"/>
                <w:lang w:val="ro-RO"/>
              </w:rPr>
              <w:t>a fost</w:t>
            </w:r>
            <w:r w:rsidRPr="0070124D">
              <w:rPr>
                <w:rFonts w:ascii="Times New Roman" w:hAnsi="Times New Roman"/>
                <w:sz w:val="26"/>
                <w:szCs w:val="26"/>
                <w:lang w:val="ro-RO"/>
              </w:rPr>
              <w:t xml:space="preserve"> asigurată prin plasarea proiectului</w:t>
            </w:r>
            <w:r w:rsidR="0030257B" w:rsidRPr="0070124D">
              <w:rPr>
                <w:rFonts w:ascii="Times New Roman" w:hAnsi="Times New Roman"/>
                <w:sz w:val="26"/>
                <w:szCs w:val="26"/>
                <w:lang w:val="ro-RO"/>
              </w:rPr>
              <w:t xml:space="preserve"> </w:t>
            </w:r>
            <w:proofErr w:type="spellStart"/>
            <w:r w:rsidR="0030257B" w:rsidRPr="0070124D">
              <w:rPr>
                <w:rFonts w:ascii="Times New Roman" w:hAnsi="Times New Roman"/>
                <w:sz w:val="26"/>
                <w:szCs w:val="26"/>
                <w:lang w:val="ro-RO"/>
              </w:rPr>
              <w:t>hotărîrii</w:t>
            </w:r>
            <w:proofErr w:type="spellEnd"/>
            <w:r w:rsidR="0030257B" w:rsidRPr="0070124D">
              <w:rPr>
                <w:rFonts w:ascii="Times New Roman" w:hAnsi="Times New Roman"/>
                <w:sz w:val="26"/>
                <w:szCs w:val="26"/>
                <w:lang w:val="ro-RO"/>
              </w:rPr>
              <w:t xml:space="preserve"> Guvernului pentru aprobarea Regulamentului privind controlul emisiilor de compuși organici volatili (COV) rezultați din depozitarea și din distribuția benzinei de la terminale la stațiile de alimentare cu produse petroliere  </w:t>
            </w:r>
            <w:r w:rsidRPr="0070124D">
              <w:rPr>
                <w:rFonts w:ascii="Times New Roman" w:hAnsi="Times New Roman"/>
                <w:sz w:val="26"/>
                <w:szCs w:val="26"/>
                <w:lang w:val="ro-RO"/>
              </w:rPr>
              <w:t>pe pagina</w:t>
            </w:r>
            <w:r w:rsidR="005C197F" w:rsidRPr="0070124D">
              <w:rPr>
                <w:rFonts w:ascii="Times New Roman" w:hAnsi="Times New Roman"/>
                <w:sz w:val="26"/>
                <w:szCs w:val="26"/>
                <w:lang w:val="ro-RO"/>
              </w:rPr>
              <w:t>-</w:t>
            </w:r>
            <w:r w:rsidRPr="0070124D">
              <w:rPr>
                <w:rFonts w:ascii="Times New Roman" w:hAnsi="Times New Roman"/>
                <w:sz w:val="26"/>
                <w:szCs w:val="26"/>
                <w:lang w:val="ro-RO"/>
              </w:rPr>
              <w:t xml:space="preserve">web </w:t>
            </w:r>
            <w:r w:rsidR="00897EC5" w:rsidRPr="0070124D">
              <w:rPr>
                <w:rFonts w:ascii="Times New Roman" w:hAnsi="Times New Roman"/>
                <w:sz w:val="26"/>
                <w:szCs w:val="26"/>
                <w:lang w:val="ro-RO"/>
              </w:rPr>
              <w:t xml:space="preserve">oficială </w:t>
            </w:r>
            <w:r w:rsidRPr="0070124D">
              <w:rPr>
                <w:rFonts w:ascii="Times New Roman" w:hAnsi="Times New Roman"/>
                <w:sz w:val="26"/>
                <w:szCs w:val="26"/>
                <w:lang w:val="ro-RO"/>
              </w:rPr>
              <w:t xml:space="preserve">a Ministerului Agriculturii, Dezvoltării Regionale și Mediului, rubrica “Transparență decizională” și pe pagina: </w:t>
            </w:r>
            <w:hyperlink r:id="rId6" w:history="1">
              <w:r w:rsidRPr="0070124D">
                <w:rPr>
                  <w:rStyle w:val="Hyperlink"/>
                  <w:rFonts w:ascii="Times New Roman" w:hAnsi="Times New Roman"/>
                  <w:color w:val="auto"/>
                  <w:sz w:val="26"/>
                  <w:szCs w:val="26"/>
                  <w:lang w:val="ro-RO"/>
                </w:rPr>
                <w:t>www.particip.gov.md</w:t>
              </w:r>
            </w:hyperlink>
            <w:r w:rsidRPr="0070124D">
              <w:rPr>
                <w:rStyle w:val="Hyperlink"/>
                <w:rFonts w:ascii="Times New Roman" w:hAnsi="Times New Roman"/>
                <w:color w:val="auto"/>
                <w:sz w:val="26"/>
                <w:szCs w:val="26"/>
                <w:lang w:val="ro-RO"/>
              </w:rPr>
              <w:t>.</w:t>
            </w:r>
            <w:r w:rsidRPr="0070124D">
              <w:rPr>
                <w:rFonts w:ascii="Times New Roman" w:hAnsi="Times New Roman"/>
                <w:sz w:val="26"/>
                <w:szCs w:val="26"/>
                <w:lang w:val="ro-RO"/>
              </w:rPr>
              <w:t xml:space="preserve"> </w:t>
            </w:r>
          </w:p>
          <w:p w:rsidR="000B70A7" w:rsidRPr="0070124D" w:rsidRDefault="000B70A7" w:rsidP="000F2A67">
            <w:pPr>
              <w:widowControl w:val="0"/>
              <w:overflowPunct w:val="0"/>
              <w:adjustRightInd w:val="0"/>
              <w:spacing w:after="0" w:line="240" w:lineRule="auto"/>
              <w:jc w:val="both"/>
              <w:rPr>
                <w:rFonts w:ascii="Times New Roman" w:hAnsi="Times New Roman"/>
                <w:color w:val="FF0000"/>
                <w:sz w:val="28"/>
                <w:szCs w:val="28"/>
                <w:lang w:val="ro-RO"/>
              </w:rPr>
            </w:pPr>
          </w:p>
        </w:tc>
      </w:tr>
      <w:tr w:rsidR="000B70A7" w:rsidRPr="0070124D" w:rsidTr="00A02EC6">
        <w:trPr>
          <w:trHeight w:val="402"/>
        </w:trPr>
        <w:tc>
          <w:tcPr>
            <w:tcW w:w="9669" w:type="dxa"/>
            <w:shd w:val="clear" w:color="auto" w:fill="D9D9D9" w:themeFill="background1" w:themeFillShade="D9"/>
          </w:tcPr>
          <w:p w:rsidR="00A02EC6" w:rsidRPr="0070124D" w:rsidRDefault="001752AC" w:rsidP="006278B0">
            <w:pPr>
              <w:widowControl w:val="0"/>
              <w:overflowPunct w:val="0"/>
              <w:adjustRightInd w:val="0"/>
              <w:spacing w:after="100" w:afterAutospacing="1" w:line="240" w:lineRule="auto"/>
              <w:jc w:val="both"/>
              <w:rPr>
                <w:rFonts w:ascii="Times New Roman" w:hAnsi="Times New Roman"/>
                <w:color w:val="FF0000"/>
                <w:sz w:val="28"/>
                <w:szCs w:val="28"/>
                <w:lang w:val="ro-RO"/>
              </w:rPr>
            </w:pPr>
            <w:r w:rsidRPr="0070124D">
              <w:rPr>
                <w:rFonts w:ascii="Times New Roman" w:hAnsi="Times New Roman"/>
                <w:sz w:val="28"/>
                <w:szCs w:val="28"/>
                <w:lang w:val="ro-RO"/>
              </w:rPr>
              <w:t>8</w:t>
            </w:r>
            <w:r w:rsidR="000B70A7" w:rsidRPr="0070124D">
              <w:rPr>
                <w:rFonts w:ascii="Times New Roman" w:hAnsi="Times New Roman"/>
                <w:sz w:val="28"/>
                <w:szCs w:val="28"/>
                <w:lang w:val="ro-RO"/>
              </w:rPr>
              <w:t>.  Cons</w:t>
            </w:r>
            <w:r w:rsidR="00A02EC6" w:rsidRPr="0070124D">
              <w:rPr>
                <w:rFonts w:ascii="Times New Roman" w:hAnsi="Times New Roman"/>
                <w:sz w:val="28"/>
                <w:szCs w:val="28"/>
                <w:lang w:val="ro-RO"/>
              </w:rPr>
              <w:t>tatările expertizei anticorupție</w:t>
            </w:r>
          </w:p>
        </w:tc>
      </w:tr>
      <w:tr w:rsidR="00A02EC6" w:rsidRPr="0070124D" w:rsidTr="00A02EC6">
        <w:trPr>
          <w:trHeight w:val="402"/>
        </w:trPr>
        <w:tc>
          <w:tcPr>
            <w:tcW w:w="9669" w:type="dxa"/>
            <w:shd w:val="clear" w:color="auto" w:fill="FFFFFF" w:themeFill="background1"/>
          </w:tcPr>
          <w:p w:rsidR="00A02EC6" w:rsidRPr="0070124D" w:rsidRDefault="00A02EC6" w:rsidP="00273158">
            <w:pPr>
              <w:widowControl w:val="0"/>
              <w:overflowPunct w:val="0"/>
              <w:adjustRightInd w:val="0"/>
              <w:spacing w:after="100" w:afterAutospacing="1" w:line="240" w:lineRule="auto"/>
              <w:jc w:val="both"/>
              <w:rPr>
                <w:rFonts w:ascii="Times New Roman" w:hAnsi="Times New Roman"/>
                <w:color w:val="FF0000"/>
                <w:sz w:val="28"/>
                <w:szCs w:val="28"/>
                <w:lang w:val="ro-RO"/>
              </w:rPr>
            </w:pPr>
          </w:p>
        </w:tc>
      </w:tr>
      <w:tr w:rsidR="000B70A7" w:rsidRPr="0070124D" w:rsidTr="002A1ED2">
        <w:trPr>
          <w:trHeight w:val="431"/>
        </w:trPr>
        <w:tc>
          <w:tcPr>
            <w:tcW w:w="9669" w:type="dxa"/>
            <w:shd w:val="clear" w:color="auto" w:fill="D9D9D9" w:themeFill="background1" w:themeFillShade="D9"/>
          </w:tcPr>
          <w:p w:rsidR="002A1ED2" w:rsidRPr="0070124D" w:rsidRDefault="00A02EC6" w:rsidP="006278B0">
            <w:pPr>
              <w:widowControl w:val="0"/>
              <w:overflowPunct w:val="0"/>
              <w:adjustRightInd w:val="0"/>
              <w:spacing w:after="100" w:afterAutospacing="1" w:line="240" w:lineRule="auto"/>
              <w:jc w:val="both"/>
              <w:rPr>
                <w:rFonts w:ascii="Times New Roman" w:hAnsi="Times New Roman"/>
                <w:color w:val="FF0000"/>
                <w:sz w:val="28"/>
                <w:szCs w:val="28"/>
                <w:lang w:val="ro-RO"/>
              </w:rPr>
            </w:pPr>
            <w:r w:rsidRPr="0070124D">
              <w:rPr>
                <w:rFonts w:ascii="Times New Roman" w:hAnsi="Times New Roman"/>
                <w:sz w:val="28"/>
                <w:szCs w:val="28"/>
                <w:lang w:val="ro-RO"/>
              </w:rPr>
              <w:t>9. Constatările expertizei de compatibilitate</w:t>
            </w:r>
          </w:p>
        </w:tc>
      </w:tr>
      <w:tr w:rsidR="00A02EC6" w:rsidRPr="0070124D" w:rsidTr="007F50A9">
        <w:trPr>
          <w:trHeight w:val="292"/>
        </w:trPr>
        <w:tc>
          <w:tcPr>
            <w:tcW w:w="9669" w:type="dxa"/>
          </w:tcPr>
          <w:p w:rsidR="00A02EC6" w:rsidRPr="0070124D" w:rsidRDefault="00A02EC6" w:rsidP="006278B0">
            <w:pPr>
              <w:widowControl w:val="0"/>
              <w:overflowPunct w:val="0"/>
              <w:adjustRightInd w:val="0"/>
              <w:spacing w:after="100" w:afterAutospacing="1" w:line="240" w:lineRule="auto"/>
              <w:jc w:val="both"/>
              <w:rPr>
                <w:rFonts w:ascii="Times New Roman" w:hAnsi="Times New Roman"/>
                <w:color w:val="FF0000"/>
                <w:sz w:val="28"/>
                <w:szCs w:val="28"/>
                <w:lang w:val="ro-RO"/>
              </w:rPr>
            </w:pPr>
          </w:p>
        </w:tc>
      </w:tr>
      <w:tr w:rsidR="000B70A7" w:rsidRPr="0070124D" w:rsidTr="002A1ED2">
        <w:trPr>
          <w:trHeight w:val="421"/>
        </w:trPr>
        <w:tc>
          <w:tcPr>
            <w:tcW w:w="9669" w:type="dxa"/>
            <w:shd w:val="clear" w:color="auto" w:fill="D9D9D9" w:themeFill="background1" w:themeFillShade="D9"/>
          </w:tcPr>
          <w:p w:rsidR="000B70A7" w:rsidRPr="0070124D" w:rsidRDefault="00A02EC6" w:rsidP="006278B0">
            <w:pPr>
              <w:widowControl w:val="0"/>
              <w:overflowPunct w:val="0"/>
              <w:adjustRightInd w:val="0"/>
              <w:spacing w:after="100" w:afterAutospacing="1" w:line="240" w:lineRule="auto"/>
              <w:jc w:val="both"/>
              <w:rPr>
                <w:rFonts w:ascii="Times New Roman" w:hAnsi="Times New Roman"/>
                <w:color w:val="FF0000"/>
                <w:sz w:val="28"/>
                <w:szCs w:val="28"/>
                <w:lang w:val="ro-RO"/>
              </w:rPr>
            </w:pPr>
            <w:r w:rsidRPr="0070124D">
              <w:rPr>
                <w:rFonts w:ascii="Times New Roman" w:hAnsi="Times New Roman"/>
                <w:sz w:val="28"/>
                <w:szCs w:val="28"/>
                <w:lang w:val="ro-RO"/>
              </w:rPr>
              <w:t>10</w:t>
            </w:r>
            <w:r w:rsidR="000B70A7" w:rsidRPr="0070124D">
              <w:rPr>
                <w:rFonts w:ascii="Times New Roman" w:hAnsi="Times New Roman"/>
                <w:sz w:val="28"/>
                <w:szCs w:val="28"/>
                <w:lang w:val="ro-RO"/>
              </w:rPr>
              <w:t>. Constatările expertizei juridice</w:t>
            </w:r>
          </w:p>
        </w:tc>
      </w:tr>
      <w:tr w:rsidR="00FA55F6" w:rsidRPr="0070124D" w:rsidTr="001F1FFE">
        <w:trPr>
          <w:trHeight w:val="425"/>
        </w:trPr>
        <w:tc>
          <w:tcPr>
            <w:tcW w:w="9669" w:type="dxa"/>
          </w:tcPr>
          <w:p w:rsidR="00CF3062" w:rsidRPr="0070124D" w:rsidRDefault="00CF3062" w:rsidP="00273158">
            <w:pPr>
              <w:widowControl w:val="0"/>
              <w:overflowPunct w:val="0"/>
              <w:adjustRightInd w:val="0"/>
              <w:spacing w:after="100" w:afterAutospacing="1" w:line="240" w:lineRule="auto"/>
              <w:jc w:val="both"/>
              <w:rPr>
                <w:rFonts w:ascii="Times New Roman" w:hAnsi="Times New Roman"/>
                <w:color w:val="FF0000"/>
                <w:sz w:val="28"/>
                <w:szCs w:val="28"/>
                <w:lang w:val="ro-RO"/>
              </w:rPr>
            </w:pPr>
          </w:p>
        </w:tc>
      </w:tr>
      <w:tr w:rsidR="00514545" w:rsidRPr="0070124D" w:rsidTr="002A1ED2">
        <w:trPr>
          <w:trHeight w:val="550"/>
        </w:trPr>
        <w:tc>
          <w:tcPr>
            <w:tcW w:w="9669" w:type="dxa"/>
            <w:shd w:val="clear" w:color="auto" w:fill="D9D9D9" w:themeFill="background1" w:themeFillShade="D9"/>
          </w:tcPr>
          <w:p w:rsidR="00514545" w:rsidRPr="0070124D" w:rsidRDefault="00514545" w:rsidP="006278B0">
            <w:pPr>
              <w:widowControl w:val="0"/>
              <w:overflowPunct w:val="0"/>
              <w:adjustRightInd w:val="0"/>
              <w:spacing w:after="100" w:afterAutospacing="1" w:line="240" w:lineRule="auto"/>
              <w:jc w:val="both"/>
              <w:rPr>
                <w:rFonts w:ascii="Times New Roman" w:hAnsi="Times New Roman"/>
                <w:sz w:val="28"/>
                <w:szCs w:val="28"/>
                <w:lang w:val="ro-RO"/>
              </w:rPr>
            </w:pPr>
            <w:r w:rsidRPr="0070124D">
              <w:rPr>
                <w:rFonts w:ascii="Times New Roman" w:hAnsi="Times New Roman"/>
                <w:sz w:val="28"/>
                <w:szCs w:val="28"/>
                <w:lang w:val="ro-RO"/>
              </w:rPr>
              <w:t>11. Constatările altor expertize</w:t>
            </w:r>
          </w:p>
        </w:tc>
      </w:tr>
      <w:tr w:rsidR="00514545" w:rsidRPr="0070124D" w:rsidTr="00CF3062">
        <w:trPr>
          <w:trHeight w:val="718"/>
        </w:trPr>
        <w:tc>
          <w:tcPr>
            <w:tcW w:w="9669" w:type="dxa"/>
          </w:tcPr>
          <w:p w:rsidR="00514545" w:rsidRPr="0070124D" w:rsidRDefault="00514545" w:rsidP="006278B0">
            <w:pPr>
              <w:widowControl w:val="0"/>
              <w:overflowPunct w:val="0"/>
              <w:adjustRightInd w:val="0"/>
              <w:spacing w:after="100" w:afterAutospacing="1" w:line="240" w:lineRule="auto"/>
              <w:jc w:val="both"/>
              <w:rPr>
                <w:rFonts w:ascii="Times New Roman" w:hAnsi="Times New Roman"/>
                <w:sz w:val="28"/>
                <w:szCs w:val="28"/>
                <w:lang w:val="ro-RO"/>
              </w:rPr>
            </w:pPr>
          </w:p>
        </w:tc>
      </w:tr>
    </w:tbl>
    <w:p w:rsidR="00E904CC" w:rsidRDefault="00E904CC" w:rsidP="00E904CC">
      <w:pPr>
        <w:ind w:right="-143"/>
        <w:rPr>
          <w:rFonts w:ascii="Times New Roman" w:hAnsi="Times New Roman"/>
          <w:b/>
          <w:color w:val="191919"/>
          <w:sz w:val="28"/>
          <w:szCs w:val="28"/>
          <w:lang w:val="ro-RO"/>
        </w:rPr>
      </w:pPr>
    </w:p>
    <w:p w:rsidR="00E904CC" w:rsidRDefault="00E904CC" w:rsidP="00E904CC">
      <w:pPr>
        <w:ind w:right="-143"/>
        <w:rPr>
          <w:rFonts w:ascii="Times New Roman" w:hAnsi="Times New Roman"/>
          <w:b/>
          <w:color w:val="191919"/>
          <w:sz w:val="28"/>
          <w:szCs w:val="28"/>
          <w:lang w:val="ro-RO"/>
        </w:rPr>
      </w:pPr>
    </w:p>
    <w:p w:rsidR="00E904CC" w:rsidRDefault="00E904CC" w:rsidP="00E904CC">
      <w:pPr>
        <w:ind w:right="-143"/>
        <w:rPr>
          <w:rFonts w:ascii="Times New Roman" w:hAnsi="Times New Roman"/>
          <w:b/>
          <w:color w:val="191919"/>
          <w:sz w:val="28"/>
          <w:szCs w:val="28"/>
          <w:lang w:val="ro-RO"/>
        </w:rPr>
      </w:pPr>
    </w:p>
    <w:p w:rsidR="00EA3997" w:rsidRPr="00EA3997" w:rsidRDefault="00EA3997" w:rsidP="00E904CC">
      <w:pPr>
        <w:ind w:left="-426" w:right="-143"/>
        <w:rPr>
          <w:b/>
          <w:lang w:val="en-US"/>
        </w:rPr>
      </w:pPr>
      <w:r w:rsidRPr="0070124D">
        <w:rPr>
          <w:rFonts w:ascii="Times New Roman" w:hAnsi="Times New Roman"/>
          <w:b/>
          <w:color w:val="191919"/>
          <w:sz w:val="28"/>
          <w:szCs w:val="28"/>
          <w:lang w:val="ro-RO"/>
        </w:rPr>
        <w:t xml:space="preserve">Ministru                                                       </w:t>
      </w:r>
      <w:r w:rsidR="002A1ED2" w:rsidRPr="0070124D">
        <w:rPr>
          <w:rFonts w:ascii="Times New Roman" w:hAnsi="Times New Roman"/>
          <w:b/>
          <w:color w:val="191919"/>
          <w:sz w:val="28"/>
          <w:szCs w:val="28"/>
          <w:lang w:val="ro-RO"/>
        </w:rPr>
        <w:t xml:space="preserve">                               </w:t>
      </w:r>
      <w:r w:rsidRPr="0070124D">
        <w:rPr>
          <w:rFonts w:ascii="Times New Roman" w:hAnsi="Times New Roman"/>
          <w:b/>
          <w:color w:val="191919"/>
          <w:sz w:val="28"/>
          <w:szCs w:val="28"/>
          <w:lang w:val="ro-RO"/>
        </w:rPr>
        <w:t xml:space="preserve">  </w:t>
      </w:r>
      <w:r w:rsidR="000F375C" w:rsidRPr="0070124D">
        <w:rPr>
          <w:rFonts w:ascii="Times New Roman" w:hAnsi="Times New Roman"/>
          <w:b/>
          <w:color w:val="191919"/>
          <w:sz w:val="28"/>
          <w:szCs w:val="28"/>
          <w:lang w:val="ro-RO"/>
        </w:rPr>
        <w:t xml:space="preserve">   </w:t>
      </w:r>
      <w:r w:rsidR="00473F38" w:rsidRPr="0070124D">
        <w:rPr>
          <w:rFonts w:ascii="Times New Roman" w:hAnsi="Times New Roman"/>
          <w:b/>
          <w:color w:val="191919"/>
          <w:sz w:val="28"/>
          <w:szCs w:val="28"/>
          <w:lang w:val="ro-RO"/>
        </w:rPr>
        <w:t xml:space="preserve">  </w:t>
      </w:r>
      <w:r w:rsidR="00E904CC">
        <w:rPr>
          <w:rFonts w:ascii="Times New Roman" w:hAnsi="Times New Roman"/>
          <w:b/>
          <w:color w:val="191919"/>
          <w:sz w:val="28"/>
          <w:szCs w:val="28"/>
          <w:lang w:val="ro-RO"/>
        </w:rPr>
        <w:t xml:space="preserve">          </w:t>
      </w:r>
      <w:r w:rsidR="004D6C34" w:rsidRPr="0070124D">
        <w:rPr>
          <w:rFonts w:ascii="Times New Roman" w:hAnsi="Times New Roman"/>
          <w:b/>
          <w:color w:val="191919"/>
          <w:sz w:val="28"/>
          <w:szCs w:val="28"/>
          <w:lang w:val="ro-RO"/>
        </w:rPr>
        <w:t xml:space="preserve"> Ion PERJ</w:t>
      </w:r>
      <w:r w:rsidR="004D6C34">
        <w:rPr>
          <w:rFonts w:ascii="Times New Roman" w:hAnsi="Times New Roman"/>
          <w:b/>
          <w:color w:val="191919"/>
          <w:sz w:val="28"/>
          <w:szCs w:val="28"/>
          <w:lang w:val="ro-RO"/>
        </w:rPr>
        <w:t>U</w:t>
      </w:r>
    </w:p>
    <w:sectPr w:rsidR="00EA3997" w:rsidRPr="00EA3997" w:rsidSect="000F2A67">
      <w:pgSz w:w="11906" w:h="16838"/>
      <w:pgMar w:top="990" w:right="850"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D6D97"/>
    <w:multiLevelType w:val="multilevel"/>
    <w:tmpl w:val="109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4B6F3C"/>
    <w:multiLevelType w:val="hybridMultilevel"/>
    <w:tmpl w:val="18D4D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AE0244"/>
    <w:multiLevelType w:val="hybridMultilevel"/>
    <w:tmpl w:val="F69A0932"/>
    <w:lvl w:ilvl="0" w:tplc="3FEA8214">
      <w:start w:val="1"/>
      <w:numFmt w:val="decimal"/>
      <w:lvlText w:val="%1."/>
      <w:lvlJc w:val="left"/>
      <w:pPr>
        <w:ind w:left="785"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770DA1"/>
    <w:multiLevelType w:val="hybridMultilevel"/>
    <w:tmpl w:val="ADA2CE5A"/>
    <w:lvl w:ilvl="0" w:tplc="2F4CE98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4C7337"/>
    <w:multiLevelType w:val="multilevel"/>
    <w:tmpl w:val="89109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D5"/>
    <w:rsid w:val="00033D99"/>
    <w:rsid w:val="00036133"/>
    <w:rsid w:val="0003664F"/>
    <w:rsid w:val="00065860"/>
    <w:rsid w:val="000B26FE"/>
    <w:rsid w:val="000B70A7"/>
    <w:rsid w:val="000C6473"/>
    <w:rsid w:val="000F2A67"/>
    <w:rsid w:val="000F375C"/>
    <w:rsid w:val="001021BE"/>
    <w:rsid w:val="00111DBE"/>
    <w:rsid w:val="00126E1A"/>
    <w:rsid w:val="00143228"/>
    <w:rsid w:val="00155DE8"/>
    <w:rsid w:val="00156C6B"/>
    <w:rsid w:val="001752AC"/>
    <w:rsid w:val="001A345B"/>
    <w:rsid w:val="001C0E2D"/>
    <w:rsid w:val="001F1FFE"/>
    <w:rsid w:val="001F254F"/>
    <w:rsid w:val="002152B8"/>
    <w:rsid w:val="00220B86"/>
    <w:rsid w:val="00236AC6"/>
    <w:rsid w:val="00243623"/>
    <w:rsid w:val="0024680A"/>
    <w:rsid w:val="00273158"/>
    <w:rsid w:val="002A1ED2"/>
    <w:rsid w:val="002C7FBB"/>
    <w:rsid w:val="002F1E97"/>
    <w:rsid w:val="0030257B"/>
    <w:rsid w:val="003149D2"/>
    <w:rsid w:val="0033236F"/>
    <w:rsid w:val="00370839"/>
    <w:rsid w:val="00373163"/>
    <w:rsid w:val="003A0277"/>
    <w:rsid w:val="00435A31"/>
    <w:rsid w:val="0046536F"/>
    <w:rsid w:val="00473F38"/>
    <w:rsid w:val="004A3555"/>
    <w:rsid w:val="004C550A"/>
    <w:rsid w:val="004D6C34"/>
    <w:rsid w:val="00514545"/>
    <w:rsid w:val="00517B75"/>
    <w:rsid w:val="00522B03"/>
    <w:rsid w:val="005624D8"/>
    <w:rsid w:val="00596CA6"/>
    <w:rsid w:val="005B5471"/>
    <w:rsid w:val="005C197F"/>
    <w:rsid w:val="005C5044"/>
    <w:rsid w:val="005E4D36"/>
    <w:rsid w:val="006038BD"/>
    <w:rsid w:val="006278B0"/>
    <w:rsid w:val="00634FC7"/>
    <w:rsid w:val="006E29B3"/>
    <w:rsid w:val="0070124D"/>
    <w:rsid w:val="00713819"/>
    <w:rsid w:val="00715511"/>
    <w:rsid w:val="00737F32"/>
    <w:rsid w:val="00760A40"/>
    <w:rsid w:val="00770AC3"/>
    <w:rsid w:val="0077414D"/>
    <w:rsid w:val="007874D5"/>
    <w:rsid w:val="007B4BC5"/>
    <w:rsid w:val="007C44BE"/>
    <w:rsid w:val="007E12FA"/>
    <w:rsid w:val="007F50A9"/>
    <w:rsid w:val="007F75B5"/>
    <w:rsid w:val="0089724F"/>
    <w:rsid w:val="00897EC5"/>
    <w:rsid w:val="008B2C16"/>
    <w:rsid w:val="008E3679"/>
    <w:rsid w:val="008F4750"/>
    <w:rsid w:val="00921BE4"/>
    <w:rsid w:val="00950C32"/>
    <w:rsid w:val="0095513A"/>
    <w:rsid w:val="00960019"/>
    <w:rsid w:val="00965841"/>
    <w:rsid w:val="00972535"/>
    <w:rsid w:val="00974C86"/>
    <w:rsid w:val="00A02EC6"/>
    <w:rsid w:val="00A17E4A"/>
    <w:rsid w:val="00A260EE"/>
    <w:rsid w:val="00AA10B6"/>
    <w:rsid w:val="00AA6A64"/>
    <w:rsid w:val="00AB338A"/>
    <w:rsid w:val="00B86D7D"/>
    <w:rsid w:val="00BB56A5"/>
    <w:rsid w:val="00BD42FF"/>
    <w:rsid w:val="00BE281A"/>
    <w:rsid w:val="00C13D4E"/>
    <w:rsid w:val="00C15213"/>
    <w:rsid w:val="00C263C3"/>
    <w:rsid w:val="00C26A0F"/>
    <w:rsid w:val="00C33094"/>
    <w:rsid w:val="00C35422"/>
    <w:rsid w:val="00C44832"/>
    <w:rsid w:val="00C53E23"/>
    <w:rsid w:val="00C60484"/>
    <w:rsid w:val="00CB1675"/>
    <w:rsid w:val="00CC4EEA"/>
    <w:rsid w:val="00CF3062"/>
    <w:rsid w:val="00D541F5"/>
    <w:rsid w:val="00D70BF0"/>
    <w:rsid w:val="00D908D2"/>
    <w:rsid w:val="00DA37D9"/>
    <w:rsid w:val="00DB0813"/>
    <w:rsid w:val="00DF71C3"/>
    <w:rsid w:val="00E15A21"/>
    <w:rsid w:val="00E168E5"/>
    <w:rsid w:val="00E16EF4"/>
    <w:rsid w:val="00E42629"/>
    <w:rsid w:val="00E5002E"/>
    <w:rsid w:val="00E71A73"/>
    <w:rsid w:val="00E825DF"/>
    <w:rsid w:val="00E904CC"/>
    <w:rsid w:val="00E97980"/>
    <w:rsid w:val="00EA3997"/>
    <w:rsid w:val="00ED68F7"/>
    <w:rsid w:val="00EE708B"/>
    <w:rsid w:val="00EF1811"/>
    <w:rsid w:val="00EF2011"/>
    <w:rsid w:val="00EF66DB"/>
    <w:rsid w:val="00F041AC"/>
    <w:rsid w:val="00F11770"/>
    <w:rsid w:val="00F2039E"/>
    <w:rsid w:val="00F24200"/>
    <w:rsid w:val="00F473AD"/>
    <w:rsid w:val="00F5157E"/>
    <w:rsid w:val="00F53F42"/>
    <w:rsid w:val="00F749AB"/>
    <w:rsid w:val="00F84922"/>
    <w:rsid w:val="00F85567"/>
    <w:rsid w:val="00F915EB"/>
    <w:rsid w:val="00FA55F6"/>
    <w:rsid w:val="00FB7A78"/>
    <w:rsid w:val="00FD5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2C7D9-30A2-479F-93C8-6D036706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DF"/>
    <w:pPr>
      <w:spacing w:after="200" w:line="276" w:lineRule="auto"/>
    </w:pPr>
    <w:rPr>
      <w:rFonts w:ascii="Calibri" w:eastAsia="Times New Roman" w:hAnsi="Calibri" w:cs="Times New Roman"/>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E825D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E825DF"/>
    <w:pPr>
      <w:ind w:left="720"/>
      <w:contextualSpacing/>
    </w:pPr>
  </w:style>
  <w:style w:type="character" w:styleId="Hyperlink">
    <w:name w:val="Hyperlink"/>
    <w:basedOn w:val="Fontdeparagrafimplicit"/>
    <w:uiPriority w:val="99"/>
    <w:unhideWhenUsed/>
    <w:rsid w:val="00E825DF"/>
    <w:rPr>
      <w:color w:val="0563C1" w:themeColor="hyperlink"/>
      <w:u w:val="single"/>
    </w:rPr>
  </w:style>
  <w:style w:type="paragraph" w:customStyle="1" w:styleId="cn">
    <w:name w:val="cn"/>
    <w:basedOn w:val="Normal"/>
    <w:rsid w:val="00E825DF"/>
    <w:pPr>
      <w:spacing w:after="0" w:line="240" w:lineRule="auto"/>
      <w:jc w:val="center"/>
    </w:pPr>
    <w:rPr>
      <w:rFonts w:ascii="Times New Roman" w:hAnsi="Times New Roman"/>
      <w:sz w:val="24"/>
      <w:szCs w:val="24"/>
    </w:rPr>
  </w:style>
  <w:style w:type="paragraph" w:styleId="NormalWeb">
    <w:name w:val="Normal (Web)"/>
    <w:basedOn w:val="Normal"/>
    <w:rsid w:val="00E825DF"/>
    <w:pPr>
      <w:spacing w:before="100" w:beforeAutospacing="1" w:after="100" w:afterAutospacing="1" w:line="240" w:lineRule="auto"/>
    </w:pPr>
    <w:rPr>
      <w:rFonts w:ascii="Times New Roman" w:hAnsi="Times New Roman"/>
      <w:sz w:val="24"/>
      <w:szCs w:val="24"/>
    </w:rPr>
  </w:style>
  <w:style w:type="character" w:customStyle="1" w:styleId="s14">
    <w:name w:val="s14"/>
    <w:rsid w:val="00F041AC"/>
    <w:rPr>
      <w:b/>
      <w:bCs/>
    </w:rPr>
  </w:style>
  <w:style w:type="paragraph" w:styleId="TextnBalon">
    <w:name w:val="Balloon Text"/>
    <w:basedOn w:val="Normal"/>
    <w:link w:val="TextnBalonCaracter"/>
    <w:uiPriority w:val="99"/>
    <w:semiHidden/>
    <w:unhideWhenUsed/>
    <w:rsid w:val="000B70A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B70A7"/>
    <w:rPr>
      <w:rFonts w:ascii="Segoe UI" w:eastAsia="Times New Roman" w:hAnsi="Segoe UI" w:cs="Segoe UI"/>
      <w:sz w:val="18"/>
      <w:szCs w:val="18"/>
      <w:lang w:eastAsia="ru-RU"/>
    </w:rPr>
  </w:style>
  <w:style w:type="character" w:customStyle="1" w:styleId="FontStyle16">
    <w:name w:val="Font Style16"/>
    <w:uiPriority w:val="99"/>
    <w:rsid w:val="00770AC3"/>
    <w:rPr>
      <w:rFonts w:ascii="Times New Roman" w:hAnsi="Times New Roman" w:cs="Times New Roman"/>
      <w:b/>
      <w:bCs/>
      <w:sz w:val="22"/>
      <w:szCs w:val="22"/>
    </w:rPr>
  </w:style>
  <w:style w:type="paragraph" w:styleId="Corptext">
    <w:name w:val="Body Text"/>
    <w:basedOn w:val="Normal"/>
    <w:link w:val="CorptextCaracter"/>
    <w:uiPriority w:val="1"/>
    <w:qFormat/>
    <w:rsid w:val="007B4BC5"/>
    <w:pPr>
      <w:widowControl w:val="0"/>
      <w:autoSpaceDE w:val="0"/>
      <w:autoSpaceDN w:val="0"/>
      <w:spacing w:after="0" w:line="240" w:lineRule="auto"/>
    </w:pPr>
    <w:rPr>
      <w:rFonts w:ascii="Times New Roman" w:hAnsi="Times New Roman"/>
      <w:sz w:val="28"/>
      <w:szCs w:val="28"/>
      <w:lang w:val="ro-RO" w:eastAsia="ro-RO" w:bidi="ro-RO"/>
    </w:rPr>
  </w:style>
  <w:style w:type="character" w:customStyle="1" w:styleId="CorptextCaracter">
    <w:name w:val="Corp text Caracter"/>
    <w:basedOn w:val="Fontdeparagrafimplicit"/>
    <w:link w:val="Corptext"/>
    <w:uiPriority w:val="1"/>
    <w:rsid w:val="007B4BC5"/>
    <w:rPr>
      <w:rFonts w:ascii="Times New Roman" w:eastAsia="Times New Roman" w:hAnsi="Times New Roman" w:cs="Times New Roman"/>
      <w:sz w:val="28"/>
      <w:szCs w:val="2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275497">
      <w:bodyDiv w:val="1"/>
      <w:marLeft w:val="0"/>
      <w:marRight w:val="0"/>
      <w:marTop w:val="0"/>
      <w:marBottom w:val="0"/>
      <w:divBdr>
        <w:top w:val="none" w:sz="0" w:space="0" w:color="auto"/>
        <w:left w:val="none" w:sz="0" w:space="0" w:color="auto"/>
        <w:bottom w:val="none" w:sz="0" w:space="0" w:color="auto"/>
        <w:right w:val="none" w:sz="0" w:space="0" w:color="auto"/>
      </w:divBdr>
    </w:div>
    <w:div w:id="943729629">
      <w:bodyDiv w:val="1"/>
      <w:marLeft w:val="0"/>
      <w:marRight w:val="0"/>
      <w:marTop w:val="0"/>
      <w:marBottom w:val="0"/>
      <w:divBdr>
        <w:top w:val="none" w:sz="0" w:space="0" w:color="auto"/>
        <w:left w:val="none" w:sz="0" w:space="0" w:color="auto"/>
        <w:bottom w:val="none" w:sz="0" w:space="0" w:color="auto"/>
        <w:right w:val="none" w:sz="0" w:space="0" w:color="auto"/>
      </w:divBdr>
    </w:div>
    <w:div w:id="12037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6143D-9E48-4D54-A0B4-4E2969C9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4</Pages>
  <Words>1586</Words>
  <Characters>9204</Characters>
  <Application>Microsoft Office Word</Application>
  <DocSecurity>0</DocSecurity>
  <Lines>76</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Ministerul Mediului al Republicii Moldova</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Lopotenco</dc:creator>
  <cp:keywords/>
  <dc:description/>
  <cp:lastModifiedBy>User</cp:lastModifiedBy>
  <cp:revision>175</cp:revision>
  <cp:lastPrinted>2020-01-20T13:17:00Z</cp:lastPrinted>
  <dcterms:created xsi:type="dcterms:W3CDTF">2018-12-06T15:15:00Z</dcterms:created>
  <dcterms:modified xsi:type="dcterms:W3CDTF">2020-02-11T06:47:00Z</dcterms:modified>
</cp:coreProperties>
</file>