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7AC" w:rsidRPr="006E33BD" w:rsidRDefault="003E67AC" w:rsidP="003E67AC">
      <w:pPr>
        <w:spacing w:after="200" w:line="276" w:lineRule="auto"/>
        <w:jc w:val="right"/>
        <w:rPr>
          <w:rFonts w:ascii="Times New Roman" w:eastAsia="Times New Roman" w:hAnsi="Times New Roman" w:cs="Times New Roman"/>
          <w:i/>
          <w:sz w:val="28"/>
          <w:szCs w:val="28"/>
          <w:u w:val="single"/>
          <w:lang w:val="ro-MD"/>
        </w:rPr>
      </w:pPr>
      <w:r w:rsidRPr="006E33BD">
        <w:rPr>
          <w:rFonts w:ascii="Times New Roman" w:eastAsia="Times New Roman" w:hAnsi="Times New Roman" w:cs="Times New Roman"/>
          <w:i/>
          <w:sz w:val="28"/>
          <w:szCs w:val="28"/>
          <w:u w:val="single"/>
          <w:lang w:val="ro-MD"/>
        </w:rPr>
        <w:t>Proiect</w:t>
      </w:r>
    </w:p>
    <w:p w:rsidR="003E67AC" w:rsidRPr="006E33BD" w:rsidRDefault="003E67AC" w:rsidP="003E67AC">
      <w:pPr>
        <w:spacing w:after="0" w:line="276" w:lineRule="auto"/>
        <w:jc w:val="center"/>
        <w:rPr>
          <w:rFonts w:ascii="Times New Roman" w:eastAsia="Times New Roman" w:hAnsi="Times New Roman" w:cs="Times New Roman"/>
          <w:bCs/>
          <w:sz w:val="28"/>
          <w:szCs w:val="28"/>
          <w:lang w:val="ro-MD" w:eastAsia="ru-RU"/>
        </w:rPr>
      </w:pPr>
    </w:p>
    <w:p w:rsidR="003E67AC" w:rsidRPr="006E33BD" w:rsidRDefault="003E67AC" w:rsidP="003E67AC">
      <w:pPr>
        <w:spacing w:after="0" w:line="276" w:lineRule="auto"/>
        <w:jc w:val="center"/>
        <w:rPr>
          <w:rFonts w:ascii="Times New Roman" w:hAnsi="Times New Roman" w:cs="Times New Roman"/>
          <w:b/>
          <w:sz w:val="28"/>
          <w:szCs w:val="28"/>
          <w:lang w:val="ro-MD"/>
        </w:rPr>
      </w:pPr>
      <w:r w:rsidRPr="006E33BD">
        <w:rPr>
          <w:rFonts w:ascii="Times New Roman" w:hAnsi="Times New Roman" w:cs="Times New Roman"/>
          <w:b/>
          <w:sz w:val="28"/>
          <w:szCs w:val="28"/>
          <w:lang w:val="ro-MD"/>
        </w:rPr>
        <w:t>HOTĂRÎRE nr. _______</w:t>
      </w:r>
    </w:p>
    <w:p w:rsidR="003E67AC" w:rsidRPr="006E33BD" w:rsidRDefault="003E67AC" w:rsidP="003E67AC">
      <w:pPr>
        <w:spacing w:after="0" w:line="276" w:lineRule="auto"/>
        <w:jc w:val="center"/>
        <w:rPr>
          <w:rFonts w:ascii="Times New Roman" w:hAnsi="Times New Roman" w:cs="Times New Roman"/>
          <w:sz w:val="28"/>
          <w:szCs w:val="28"/>
          <w:lang w:val="ro-MD"/>
        </w:rPr>
      </w:pPr>
    </w:p>
    <w:p w:rsidR="003E67AC" w:rsidRPr="006E33BD" w:rsidRDefault="003E67AC" w:rsidP="003E67AC">
      <w:pPr>
        <w:spacing w:after="0" w:line="276" w:lineRule="auto"/>
        <w:jc w:val="center"/>
        <w:rPr>
          <w:rFonts w:ascii="Times New Roman" w:hAnsi="Times New Roman" w:cs="Times New Roman"/>
          <w:sz w:val="28"/>
          <w:szCs w:val="28"/>
          <w:lang w:val="ro-MD"/>
        </w:rPr>
      </w:pPr>
      <w:r w:rsidRPr="006E33BD">
        <w:rPr>
          <w:rFonts w:ascii="Times New Roman" w:hAnsi="Times New Roman" w:cs="Times New Roman"/>
          <w:sz w:val="28"/>
          <w:szCs w:val="28"/>
          <w:lang w:val="ro-MD"/>
        </w:rPr>
        <w:t>din ________________</w:t>
      </w:r>
      <w:r w:rsidR="00B50D64" w:rsidRPr="006E33BD">
        <w:rPr>
          <w:rFonts w:ascii="Times New Roman" w:hAnsi="Times New Roman" w:cs="Times New Roman"/>
          <w:sz w:val="28"/>
          <w:szCs w:val="28"/>
          <w:lang w:val="ro-MD"/>
        </w:rPr>
        <w:t>2020</w:t>
      </w:r>
    </w:p>
    <w:p w:rsidR="003E67AC" w:rsidRPr="006E33BD" w:rsidRDefault="003E67AC" w:rsidP="003E67AC">
      <w:pPr>
        <w:spacing w:after="0" w:line="276" w:lineRule="auto"/>
        <w:jc w:val="center"/>
        <w:rPr>
          <w:rFonts w:ascii="Times New Roman" w:hAnsi="Times New Roman" w:cs="Times New Roman"/>
          <w:sz w:val="28"/>
          <w:szCs w:val="28"/>
          <w:lang w:val="ro-MD"/>
        </w:rPr>
      </w:pPr>
      <w:r w:rsidRPr="006E33BD">
        <w:rPr>
          <w:rFonts w:ascii="Times New Roman" w:hAnsi="Times New Roman" w:cs="Times New Roman"/>
          <w:sz w:val="28"/>
          <w:szCs w:val="28"/>
          <w:lang w:val="ro-MD"/>
        </w:rPr>
        <w:t xml:space="preserve">Chișinău </w:t>
      </w:r>
    </w:p>
    <w:p w:rsidR="003E67AC" w:rsidRPr="006E33BD" w:rsidRDefault="003E67AC" w:rsidP="003E67AC">
      <w:pPr>
        <w:spacing w:after="0" w:line="276" w:lineRule="auto"/>
        <w:jc w:val="center"/>
        <w:rPr>
          <w:rFonts w:ascii="Times New Roman" w:hAnsi="Times New Roman" w:cs="Times New Roman"/>
          <w:sz w:val="28"/>
          <w:szCs w:val="28"/>
          <w:lang w:val="ro-MD"/>
        </w:rPr>
      </w:pPr>
    </w:p>
    <w:p w:rsidR="003E67AC" w:rsidRPr="006E33BD" w:rsidRDefault="003E67AC" w:rsidP="003E67AC">
      <w:pPr>
        <w:spacing w:after="0" w:line="276" w:lineRule="auto"/>
        <w:jc w:val="center"/>
        <w:rPr>
          <w:rFonts w:ascii="Times New Roman" w:hAnsi="Times New Roman" w:cs="Times New Roman"/>
          <w:sz w:val="28"/>
          <w:szCs w:val="28"/>
          <w:lang w:val="ro-MD"/>
        </w:rPr>
      </w:pPr>
    </w:p>
    <w:p w:rsidR="003E67AC" w:rsidRPr="006E33BD" w:rsidRDefault="003E67AC" w:rsidP="00B50D64">
      <w:pPr>
        <w:spacing w:after="0" w:line="276" w:lineRule="auto"/>
        <w:jc w:val="center"/>
        <w:rPr>
          <w:rFonts w:ascii="Times New Roman" w:hAnsi="Times New Roman" w:cs="Times New Roman"/>
          <w:sz w:val="28"/>
          <w:szCs w:val="28"/>
          <w:lang w:val="ro-MD"/>
        </w:rPr>
      </w:pPr>
      <w:r w:rsidRPr="006E33BD">
        <w:rPr>
          <w:rFonts w:ascii="Times New Roman" w:hAnsi="Times New Roman" w:cs="Times New Roman"/>
          <w:b/>
          <w:sz w:val="28"/>
          <w:szCs w:val="28"/>
          <w:lang w:val="ro-MD"/>
        </w:rPr>
        <w:t xml:space="preserve">cu privire la </w:t>
      </w:r>
      <w:r w:rsidR="00B50D64" w:rsidRPr="006E33BD">
        <w:rPr>
          <w:rFonts w:ascii="Times New Roman" w:hAnsi="Times New Roman" w:cs="Times New Roman"/>
          <w:b/>
          <w:sz w:val="28"/>
          <w:szCs w:val="28"/>
          <w:lang w:val="ro-MD"/>
        </w:rPr>
        <w:t>modificarea Hotărîrii Guvernului nr. 1042/2016 cu privire la aprobarea Listei oficiale a mijloacelor de măsurare şi a măsurărilor supuse controlului metrologic legal</w:t>
      </w:r>
    </w:p>
    <w:p w:rsidR="003E67AC" w:rsidRPr="006E33BD" w:rsidRDefault="003E67AC" w:rsidP="003E67AC">
      <w:pPr>
        <w:spacing w:after="0" w:line="276" w:lineRule="auto"/>
        <w:jc w:val="center"/>
        <w:rPr>
          <w:rFonts w:ascii="Times New Roman" w:hAnsi="Times New Roman" w:cs="Times New Roman"/>
          <w:sz w:val="28"/>
          <w:szCs w:val="28"/>
          <w:lang w:val="ro-MD"/>
        </w:rPr>
      </w:pPr>
    </w:p>
    <w:p w:rsidR="003E67AC" w:rsidRPr="006E33BD" w:rsidRDefault="003E67AC" w:rsidP="003E67AC">
      <w:pPr>
        <w:spacing w:after="0" w:line="276" w:lineRule="auto"/>
        <w:jc w:val="both"/>
        <w:rPr>
          <w:rFonts w:ascii="Times New Roman" w:hAnsi="Times New Roman" w:cs="Times New Roman"/>
          <w:b/>
          <w:sz w:val="28"/>
          <w:szCs w:val="28"/>
          <w:lang w:val="ro-MD"/>
        </w:rPr>
      </w:pPr>
    </w:p>
    <w:p w:rsidR="003E67AC" w:rsidRPr="006E33BD" w:rsidRDefault="003E67AC" w:rsidP="003E67AC">
      <w:pPr>
        <w:spacing w:after="0" w:line="276" w:lineRule="auto"/>
        <w:jc w:val="both"/>
        <w:rPr>
          <w:rFonts w:ascii="Times New Roman" w:hAnsi="Times New Roman" w:cs="Times New Roman"/>
          <w:sz w:val="28"/>
          <w:szCs w:val="28"/>
          <w:lang w:val="ro-MD"/>
        </w:rPr>
      </w:pPr>
    </w:p>
    <w:p w:rsidR="00B50D64" w:rsidRPr="006E33BD" w:rsidRDefault="00B50D64" w:rsidP="00B50D64">
      <w:pPr>
        <w:pStyle w:val="NormalWeb"/>
        <w:rPr>
          <w:rStyle w:val="docheader"/>
          <w:rFonts w:eastAsia="SimSun"/>
          <w:bCs/>
          <w:sz w:val="28"/>
          <w:szCs w:val="28"/>
          <w:lang w:val="ro-RO"/>
        </w:rPr>
      </w:pPr>
      <w:r w:rsidRPr="006E33BD">
        <w:rPr>
          <w:rStyle w:val="docheader"/>
          <w:rFonts w:eastAsia="SimSun"/>
          <w:bCs/>
          <w:sz w:val="28"/>
          <w:szCs w:val="28"/>
          <w:lang w:val="ro-RO"/>
        </w:rPr>
        <w:t>În scopul executării prevederilor Legii metrologiei nr.19 din 04 martie 2016 (Monitorul Oficial al Republicii Moldova, 2016, nr.100-105, art.190), Guvernul</w:t>
      </w:r>
    </w:p>
    <w:p w:rsidR="00B50D64" w:rsidRPr="006E33BD" w:rsidRDefault="00B50D64" w:rsidP="00B50D64">
      <w:pPr>
        <w:pStyle w:val="NormalWeb"/>
        <w:jc w:val="center"/>
        <w:rPr>
          <w:b/>
          <w:sz w:val="28"/>
          <w:szCs w:val="28"/>
          <w:lang w:val="ro-MD"/>
        </w:rPr>
      </w:pPr>
    </w:p>
    <w:p w:rsidR="00B50D64" w:rsidRPr="006E33BD" w:rsidRDefault="00B50D64" w:rsidP="00B50D64">
      <w:pPr>
        <w:pStyle w:val="NormalWeb"/>
        <w:jc w:val="center"/>
        <w:rPr>
          <w:b/>
          <w:sz w:val="28"/>
          <w:szCs w:val="28"/>
          <w:lang w:val="ro-MD"/>
        </w:rPr>
      </w:pPr>
      <w:r w:rsidRPr="006E33BD">
        <w:rPr>
          <w:b/>
          <w:sz w:val="28"/>
          <w:szCs w:val="28"/>
          <w:lang w:val="ro-MD"/>
        </w:rPr>
        <w:t>HOTĂRĂȘTE:</w:t>
      </w:r>
    </w:p>
    <w:p w:rsidR="00A73F4D" w:rsidRPr="006E33BD" w:rsidRDefault="00A73F4D" w:rsidP="00B50D64">
      <w:pPr>
        <w:pStyle w:val="NormalWeb"/>
        <w:jc w:val="center"/>
        <w:rPr>
          <w:rStyle w:val="docheader"/>
          <w:rFonts w:eastAsia="SimSun"/>
          <w:bCs/>
          <w:sz w:val="28"/>
          <w:szCs w:val="28"/>
          <w:lang w:val="ro-RO"/>
        </w:rPr>
      </w:pPr>
    </w:p>
    <w:p w:rsidR="003E67AC" w:rsidRPr="006E33BD" w:rsidRDefault="00A73F4D" w:rsidP="00A73F4D">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hAnsi="Times New Roman"/>
          <w:bCs/>
          <w:sz w:val="28"/>
          <w:szCs w:val="28"/>
          <w:lang w:val="ro-RO"/>
        </w:rPr>
        <w:t xml:space="preserve">Hotărîrea Guvernului nr.1042 din 13 septembrie 2016 cu privire la aprobarea </w:t>
      </w:r>
      <w:r w:rsidR="00B50D64" w:rsidRPr="006E33BD">
        <w:rPr>
          <w:rStyle w:val="docheader"/>
          <w:rFonts w:ascii="Times New Roman" w:hAnsi="Times New Roman"/>
          <w:sz w:val="28"/>
          <w:szCs w:val="28"/>
          <w:lang w:val="ro-RO"/>
        </w:rPr>
        <w:t>List</w:t>
      </w:r>
      <w:r w:rsidRPr="006E33BD">
        <w:rPr>
          <w:rStyle w:val="docheader"/>
          <w:rFonts w:ascii="Times New Roman" w:hAnsi="Times New Roman"/>
          <w:sz w:val="28"/>
          <w:szCs w:val="28"/>
          <w:lang w:val="ro-RO"/>
        </w:rPr>
        <w:t>ei</w:t>
      </w:r>
      <w:r w:rsidR="00B50D64" w:rsidRPr="006E33BD">
        <w:rPr>
          <w:rStyle w:val="docheader"/>
          <w:rFonts w:ascii="Times New Roman" w:hAnsi="Times New Roman"/>
          <w:sz w:val="28"/>
          <w:szCs w:val="28"/>
          <w:lang w:val="ro-RO"/>
        </w:rPr>
        <w:t xml:space="preserve"> oficial</w:t>
      </w:r>
      <w:r w:rsidRPr="006E33BD">
        <w:rPr>
          <w:rStyle w:val="docheader"/>
          <w:rFonts w:ascii="Times New Roman" w:hAnsi="Times New Roman"/>
          <w:sz w:val="28"/>
          <w:szCs w:val="28"/>
          <w:lang w:val="ro-RO"/>
        </w:rPr>
        <w:t>e</w:t>
      </w:r>
      <w:r w:rsidR="00B50D64" w:rsidRPr="006E33BD">
        <w:rPr>
          <w:rStyle w:val="docheader"/>
          <w:rFonts w:ascii="Times New Roman" w:hAnsi="Times New Roman"/>
          <w:sz w:val="28"/>
          <w:szCs w:val="28"/>
          <w:lang w:val="ro-RO"/>
        </w:rPr>
        <w:t xml:space="preserve"> a mijloacelor de măsurare şi a măsurărilor supuse controlului metrologic legal</w:t>
      </w:r>
      <w:r w:rsidR="00B50D64" w:rsidRPr="006E33BD">
        <w:rPr>
          <w:rStyle w:val="docheader"/>
          <w:rFonts w:ascii="Times New Roman" w:hAnsi="Times New Roman"/>
          <w:bCs/>
          <w:sz w:val="28"/>
          <w:szCs w:val="28"/>
          <w:lang w:val="ro-RO"/>
        </w:rPr>
        <w:t xml:space="preserve"> </w:t>
      </w:r>
      <w:r w:rsidR="00B50D64" w:rsidRPr="006E33BD">
        <w:rPr>
          <w:rStyle w:val="docheader"/>
          <w:rFonts w:ascii="Times New Roman" w:hAnsi="Times New Roman"/>
          <w:bCs/>
          <w:i/>
          <w:sz w:val="28"/>
          <w:szCs w:val="28"/>
          <w:lang w:val="ro-RO"/>
        </w:rPr>
        <w:t>(Monitorul Oficial al Republicii Moldova, 2016, nr.306-313, art.1130)</w:t>
      </w:r>
      <w:r w:rsidR="00B50D64" w:rsidRPr="006E33BD">
        <w:rPr>
          <w:rStyle w:val="docheader"/>
          <w:rFonts w:ascii="Times New Roman" w:hAnsi="Times New Roman"/>
          <w:bCs/>
          <w:sz w:val="28"/>
          <w:szCs w:val="28"/>
          <w:lang w:val="ro-RO"/>
        </w:rPr>
        <w:t>, se modifică și se completează după cum urmează:</w:t>
      </w:r>
    </w:p>
    <w:p w:rsidR="00BF3B4C" w:rsidRPr="006E33BD" w:rsidRDefault="00BF3B4C" w:rsidP="00BF3B4C">
      <w:pPr>
        <w:spacing w:after="0" w:line="240" w:lineRule="auto"/>
        <w:ind w:left="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 xml:space="preserve">1) </w:t>
      </w:r>
      <w:r w:rsidR="008871EB" w:rsidRPr="006E33BD">
        <w:rPr>
          <w:rStyle w:val="docheader"/>
          <w:rFonts w:ascii="Times New Roman" w:eastAsia="SimSun" w:hAnsi="Times New Roman"/>
          <w:bCs/>
          <w:sz w:val="28"/>
          <w:szCs w:val="28"/>
          <w:lang w:val="ro-RO"/>
        </w:rPr>
        <w:t>p</w:t>
      </w:r>
      <w:r w:rsidR="009E1B81" w:rsidRPr="006E33BD">
        <w:rPr>
          <w:rStyle w:val="docheader"/>
          <w:rFonts w:ascii="Times New Roman" w:eastAsia="SimSun" w:hAnsi="Times New Roman"/>
          <w:bCs/>
          <w:sz w:val="28"/>
          <w:szCs w:val="28"/>
          <w:lang w:val="ro-RO"/>
        </w:rPr>
        <w:t xml:space="preserve">ct. </w:t>
      </w:r>
      <w:r w:rsidR="008871EB" w:rsidRPr="006E33BD">
        <w:rPr>
          <w:rStyle w:val="docheader"/>
          <w:rFonts w:ascii="Times New Roman" w:eastAsia="SimSun" w:hAnsi="Times New Roman"/>
          <w:bCs/>
          <w:sz w:val="28"/>
          <w:szCs w:val="28"/>
          <w:lang w:val="ro-RO"/>
        </w:rPr>
        <w:t>3 și pct. 4 se exclud;</w:t>
      </w:r>
    </w:p>
    <w:p w:rsidR="00B50D64" w:rsidRPr="006E33BD" w:rsidRDefault="00942156" w:rsidP="008871EB">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 xml:space="preserve">2) </w:t>
      </w:r>
      <w:r w:rsidR="008871EB" w:rsidRPr="006E33BD">
        <w:rPr>
          <w:rStyle w:val="docheader"/>
          <w:rFonts w:ascii="Times New Roman" w:eastAsia="SimSun" w:hAnsi="Times New Roman"/>
          <w:bCs/>
          <w:sz w:val="28"/>
          <w:szCs w:val="28"/>
          <w:lang w:val="ro-RO"/>
        </w:rPr>
        <w:t>în Lista oficială a mijloacelor de măsurare şi a măsurărilor supuse controlului metrologic legal:</w:t>
      </w:r>
    </w:p>
    <w:p w:rsidR="008871EB" w:rsidRPr="006E33BD" w:rsidRDefault="008871EB" w:rsidP="008871EB">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 xml:space="preserve">a) pct. 6 </w:t>
      </w:r>
      <w:r w:rsidR="00A61C17" w:rsidRPr="006E33BD">
        <w:rPr>
          <w:rStyle w:val="docheader"/>
          <w:rFonts w:ascii="Times New Roman" w:eastAsia="SimSun" w:hAnsi="Times New Roman"/>
          <w:bCs/>
          <w:sz w:val="28"/>
          <w:szCs w:val="28"/>
          <w:lang w:val="ro-RO"/>
        </w:rPr>
        <w:t xml:space="preserve">și pct. 7 vor </w:t>
      </w:r>
      <w:r w:rsidRPr="006E33BD">
        <w:rPr>
          <w:rStyle w:val="docheader"/>
          <w:rFonts w:ascii="Times New Roman" w:eastAsia="SimSun" w:hAnsi="Times New Roman"/>
          <w:bCs/>
          <w:sz w:val="28"/>
          <w:szCs w:val="28"/>
          <w:lang w:val="ro-RO"/>
        </w:rPr>
        <w:t xml:space="preserve">avea </w:t>
      </w:r>
      <w:r w:rsidR="00A61C17" w:rsidRPr="006E33BD">
        <w:rPr>
          <w:rStyle w:val="docheader"/>
          <w:rFonts w:ascii="Times New Roman" w:eastAsia="SimSun" w:hAnsi="Times New Roman"/>
          <w:bCs/>
          <w:sz w:val="28"/>
          <w:szCs w:val="28"/>
          <w:lang w:val="ro-RO"/>
        </w:rPr>
        <w:t>următorul cuprins:</w:t>
      </w:r>
    </w:p>
    <w:p w:rsidR="00A61C17" w:rsidRPr="006E33BD" w:rsidRDefault="00A61C17" w:rsidP="00A61C17">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w:t>
      </w:r>
      <w:r w:rsidRPr="006E33BD">
        <w:rPr>
          <w:rStyle w:val="docheader"/>
          <w:rFonts w:ascii="Times New Roman" w:eastAsia="SimSun" w:hAnsi="Times New Roman"/>
          <w:b/>
          <w:bCs/>
          <w:sz w:val="28"/>
          <w:szCs w:val="28"/>
          <w:lang w:val="ro-RO"/>
        </w:rPr>
        <w:t>6.</w:t>
      </w:r>
      <w:r w:rsidRPr="006E33BD">
        <w:rPr>
          <w:rStyle w:val="docheader"/>
          <w:rFonts w:ascii="Times New Roman" w:eastAsia="SimSun" w:hAnsi="Times New Roman"/>
          <w:bCs/>
          <w:sz w:val="28"/>
          <w:szCs w:val="28"/>
          <w:lang w:val="ro-RO"/>
        </w:rPr>
        <w:t xml:space="preserve"> Mijloacele de măsurare vizate la punctul 5, care posedă certificat de aprobare de model în termen, se supun verificării metrologice iniţiale la decizia importatorului sau reprezentantului autorizat al producătorului. </w:t>
      </w:r>
    </w:p>
    <w:p w:rsidR="00A61C17" w:rsidRPr="006E33BD" w:rsidRDefault="00A61C17" w:rsidP="00A61C17">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
          <w:bCs/>
          <w:sz w:val="28"/>
          <w:szCs w:val="28"/>
          <w:lang w:val="ro-RO"/>
        </w:rPr>
        <w:t>7.</w:t>
      </w:r>
      <w:r w:rsidRPr="006E33BD">
        <w:rPr>
          <w:rStyle w:val="docheader"/>
          <w:rFonts w:ascii="Times New Roman" w:eastAsia="SimSun" w:hAnsi="Times New Roman"/>
          <w:bCs/>
          <w:sz w:val="28"/>
          <w:szCs w:val="28"/>
          <w:lang w:val="ro-RO"/>
        </w:rPr>
        <w:t xml:space="preserve"> Mijloacele de măsurare pe care sînt aplicate marcajul de conformitate CE şi marcajul metrologic suplimentar, prevăzute de reglementările tehnice menţionate în pct.5, se introduc pe piaţă sau se dau în folosinţă fără verificări metrologice iniţiale.”</w:t>
      </w:r>
    </w:p>
    <w:p w:rsidR="00A61C17" w:rsidRPr="006E33BD" w:rsidRDefault="00A61C17" w:rsidP="00A61C17">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 xml:space="preserve">b) </w:t>
      </w:r>
      <w:r w:rsidR="008C34B7" w:rsidRPr="006E33BD">
        <w:rPr>
          <w:rStyle w:val="docheader"/>
          <w:rFonts w:ascii="Times New Roman" w:eastAsia="SimSun" w:hAnsi="Times New Roman"/>
          <w:bCs/>
          <w:sz w:val="28"/>
          <w:szCs w:val="28"/>
          <w:lang w:val="ro-RO"/>
        </w:rPr>
        <w:t>la</w:t>
      </w:r>
      <w:r w:rsidR="007C0EF0" w:rsidRPr="006E33BD">
        <w:rPr>
          <w:rStyle w:val="docheader"/>
          <w:rFonts w:ascii="Times New Roman" w:eastAsia="SimSun" w:hAnsi="Times New Roman"/>
          <w:bCs/>
          <w:sz w:val="28"/>
          <w:szCs w:val="28"/>
          <w:lang w:val="ro-RO"/>
        </w:rPr>
        <w:t xml:space="preserve"> </w:t>
      </w:r>
      <w:r w:rsidR="00A82B10" w:rsidRPr="006E33BD">
        <w:rPr>
          <w:rStyle w:val="docheader"/>
          <w:rFonts w:ascii="Times New Roman" w:eastAsia="SimSun" w:hAnsi="Times New Roman"/>
          <w:bCs/>
          <w:sz w:val="28"/>
          <w:szCs w:val="28"/>
          <w:lang w:val="ro-RO"/>
        </w:rPr>
        <w:t>pct. 11:</w:t>
      </w:r>
    </w:p>
    <w:p w:rsidR="007C0EF0" w:rsidRPr="006E33BD" w:rsidRDefault="007C0EF0" w:rsidP="00A61C17">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p</w:t>
      </w:r>
      <w:r w:rsidR="00A82B10" w:rsidRPr="006E33BD">
        <w:rPr>
          <w:rStyle w:val="docheader"/>
          <w:rFonts w:ascii="Times New Roman" w:eastAsia="SimSun" w:hAnsi="Times New Roman"/>
          <w:bCs/>
          <w:sz w:val="28"/>
          <w:szCs w:val="28"/>
          <w:lang w:val="ro-RO"/>
        </w:rPr>
        <w:t>rimul alineat</w:t>
      </w:r>
      <w:r w:rsidRPr="006E33BD">
        <w:rPr>
          <w:rStyle w:val="docheader"/>
          <w:rFonts w:ascii="Times New Roman" w:eastAsia="SimSun" w:hAnsi="Times New Roman"/>
          <w:bCs/>
          <w:sz w:val="28"/>
          <w:szCs w:val="28"/>
          <w:lang w:val="ro-RO"/>
        </w:rPr>
        <w:t xml:space="preserve"> va avea următorul cuprins: </w:t>
      </w:r>
    </w:p>
    <w:p w:rsidR="00A82B10" w:rsidRPr="006E33BD" w:rsidRDefault="00A82B10" w:rsidP="00A61C17">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w:t>
      </w:r>
      <w:r w:rsidRPr="006E33BD">
        <w:rPr>
          <w:rStyle w:val="docheader"/>
          <w:rFonts w:ascii="Times New Roman" w:eastAsia="SimSun" w:hAnsi="Times New Roman"/>
          <w:b/>
          <w:bCs/>
          <w:sz w:val="28"/>
          <w:szCs w:val="28"/>
          <w:lang w:val="ro-RO"/>
        </w:rPr>
        <w:t>11.</w:t>
      </w:r>
      <w:r w:rsidRPr="006E33BD">
        <w:rPr>
          <w:rStyle w:val="docheader"/>
          <w:rFonts w:ascii="Times New Roman" w:eastAsia="SimSun" w:hAnsi="Times New Roman"/>
          <w:bCs/>
          <w:sz w:val="28"/>
          <w:szCs w:val="28"/>
          <w:lang w:val="ro-RO"/>
        </w:rPr>
        <w:t xml:space="preserve"> Se supun controlului metrologic legal următoarele categorii de măsurări efectuate în domeniile de interes public:”;</w:t>
      </w:r>
    </w:p>
    <w:p w:rsidR="007C0EF0" w:rsidRPr="006E33BD" w:rsidRDefault="007C0EF0" w:rsidP="00A61C17">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cuvîntul „organismelor” se substituie cu cuvîntul „autorităților”;</w:t>
      </w:r>
    </w:p>
    <w:p w:rsidR="00A82B10" w:rsidRPr="006E33BD" w:rsidRDefault="00A82B10" w:rsidP="00A61C17">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 xml:space="preserve">c) </w:t>
      </w:r>
      <w:r w:rsidR="008B1F04" w:rsidRPr="006E33BD">
        <w:rPr>
          <w:rStyle w:val="docheader"/>
          <w:rFonts w:ascii="Times New Roman" w:eastAsia="SimSun" w:hAnsi="Times New Roman"/>
          <w:bCs/>
          <w:sz w:val="28"/>
          <w:szCs w:val="28"/>
          <w:lang w:val="ro-RO"/>
        </w:rPr>
        <w:t>pct. 12 va avea următorul cuprins:</w:t>
      </w:r>
    </w:p>
    <w:p w:rsidR="008B1F04" w:rsidRPr="006E33BD" w:rsidRDefault="008B1F04" w:rsidP="008B1F04">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w:t>
      </w:r>
      <w:r w:rsidRPr="006E33BD">
        <w:rPr>
          <w:rStyle w:val="docheader"/>
          <w:rFonts w:ascii="Times New Roman" w:eastAsia="SimSun" w:hAnsi="Times New Roman"/>
          <w:b/>
          <w:bCs/>
          <w:sz w:val="28"/>
          <w:szCs w:val="28"/>
          <w:lang w:val="ro-RO"/>
        </w:rPr>
        <w:t>12.</w:t>
      </w:r>
      <w:r w:rsidRPr="006E33BD">
        <w:rPr>
          <w:rStyle w:val="docheader"/>
          <w:rFonts w:ascii="Times New Roman" w:eastAsia="SimSun" w:hAnsi="Times New Roman"/>
          <w:bCs/>
          <w:sz w:val="28"/>
          <w:szCs w:val="28"/>
          <w:lang w:val="ro-RO"/>
        </w:rPr>
        <w:t xml:space="preserve"> Măsurările specificate la pct. 11 se efectuează cu mijloace de măsurare adecvate şi verificate metrologic sau etalonate.”;</w:t>
      </w:r>
    </w:p>
    <w:p w:rsidR="008C34B7" w:rsidRPr="006E33BD" w:rsidRDefault="008B1F04" w:rsidP="008B1F04">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 xml:space="preserve">d) </w:t>
      </w:r>
      <w:r w:rsidR="008C34B7" w:rsidRPr="006E33BD">
        <w:rPr>
          <w:rStyle w:val="docheader"/>
          <w:rFonts w:ascii="Times New Roman" w:eastAsia="SimSun" w:hAnsi="Times New Roman"/>
          <w:bCs/>
          <w:sz w:val="28"/>
          <w:szCs w:val="28"/>
          <w:lang w:val="ro-RO"/>
        </w:rPr>
        <w:t>la</w:t>
      </w:r>
      <w:r w:rsidRPr="006E33BD">
        <w:rPr>
          <w:rStyle w:val="docheader"/>
          <w:rFonts w:ascii="Times New Roman" w:eastAsia="SimSun" w:hAnsi="Times New Roman"/>
          <w:bCs/>
          <w:sz w:val="28"/>
          <w:szCs w:val="28"/>
          <w:lang w:val="ro-RO"/>
        </w:rPr>
        <w:t xml:space="preserve"> pct. 13</w:t>
      </w:r>
      <w:r w:rsidR="008C34B7" w:rsidRPr="006E33BD">
        <w:rPr>
          <w:rStyle w:val="docheader"/>
          <w:rFonts w:ascii="Times New Roman" w:eastAsia="SimSun" w:hAnsi="Times New Roman"/>
          <w:bCs/>
          <w:sz w:val="28"/>
          <w:szCs w:val="28"/>
          <w:lang w:val="ro-RO"/>
        </w:rPr>
        <w:t>:</w:t>
      </w:r>
    </w:p>
    <w:p w:rsidR="008B1F04" w:rsidRPr="006E33BD" w:rsidRDefault="008C34B7" w:rsidP="008B1F04">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lastRenderedPageBreak/>
        <w:t xml:space="preserve">în </w:t>
      </w:r>
      <w:r w:rsidR="008B1F04" w:rsidRPr="006E33BD">
        <w:rPr>
          <w:rStyle w:val="docheader"/>
          <w:rFonts w:ascii="Times New Roman" w:eastAsia="SimSun" w:hAnsi="Times New Roman"/>
          <w:bCs/>
          <w:sz w:val="28"/>
          <w:szCs w:val="28"/>
          <w:lang w:val="ro-RO"/>
        </w:rPr>
        <w:t>subpct. 1) cuvintele: ”traductoare de temperatură etalon” se substituie cu cuvintele ”</w:t>
      </w:r>
      <w:r w:rsidR="003F1F79" w:rsidRPr="006E33BD">
        <w:rPr>
          <w:rStyle w:val="docheader"/>
          <w:rFonts w:ascii="Times New Roman" w:eastAsia="SimSun" w:hAnsi="Times New Roman"/>
          <w:bCs/>
          <w:sz w:val="28"/>
          <w:szCs w:val="28"/>
          <w:lang w:val="ro-RO"/>
        </w:rPr>
        <w:t>termocupluri și termorezistențe etalon; termometre din sticlă cu mercur etalon”;</w:t>
      </w:r>
    </w:p>
    <w:p w:rsidR="003F1F79" w:rsidRPr="006E33BD" w:rsidRDefault="008C34B7" w:rsidP="008B1F04">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în subpct. 3) cuvintele: ”sw luni” se substituie cu cuvintele ”de luni”;</w:t>
      </w:r>
    </w:p>
    <w:p w:rsidR="008C34B7" w:rsidRPr="006E33BD" w:rsidRDefault="008C34B7" w:rsidP="008B1F04">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 xml:space="preserve">e) Tabelul </w:t>
      </w:r>
      <w:r w:rsidR="00626C82" w:rsidRPr="006E33BD">
        <w:rPr>
          <w:rStyle w:val="docheader"/>
          <w:rFonts w:ascii="Times New Roman" w:eastAsia="SimSun" w:hAnsi="Times New Roman"/>
          <w:bCs/>
          <w:sz w:val="28"/>
          <w:szCs w:val="28"/>
          <w:lang w:val="ro-RO"/>
        </w:rPr>
        <w:t>va avea următorul cuprins:</w:t>
      </w:r>
      <w:r w:rsidR="002902CF" w:rsidRPr="006E33BD">
        <w:rPr>
          <w:rStyle w:val="docheader"/>
          <w:rFonts w:ascii="Times New Roman" w:eastAsia="SimSun" w:hAnsi="Times New Roman"/>
          <w:bCs/>
          <w:sz w:val="28"/>
          <w:szCs w:val="28"/>
          <w:lang w:val="ro-RO"/>
        </w:rPr>
        <w:t xml:space="preserve"> </w:t>
      </w:r>
    </w:p>
    <w:tbl>
      <w:tblPr>
        <w:tblW w:w="4629" w:type="pct"/>
        <w:jc w:val="center"/>
        <w:tblCellMar>
          <w:top w:w="15" w:type="dxa"/>
          <w:left w:w="15" w:type="dxa"/>
          <w:bottom w:w="15" w:type="dxa"/>
          <w:right w:w="15" w:type="dxa"/>
        </w:tblCellMar>
        <w:tblLook w:val="04A0" w:firstRow="1" w:lastRow="0" w:firstColumn="1" w:lastColumn="0" w:noHBand="0" w:noVBand="1"/>
      </w:tblPr>
      <w:tblGrid>
        <w:gridCol w:w="702"/>
        <w:gridCol w:w="2530"/>
        <w:gridCol w:w="819"/>
        <w:gridCol w:w="2440"/>
        <w:gridCol w:w="1152"/>
        <w:gridCol w:w="1114"/>
      </w:tblGrid>
      <w:tr w:rsidR="000E65BA" w:rsidRPr="006E33BD" w:rsidTr="00163D43">
        <w:trPr>
          <w:jc w:val="center"/>
        </w:trPr>
        <w:tc>
          <w:tcPr>
            <w:tcW w:w="5000" w:type="pct"/>
            <w:gridSpan w:val="6"/>
            <w:tcBorders>
              <w:top w:val="nil"/>
              <w:left w:val="nil"/>
              <w:bottom w:val="nil"/>
              <w:right w:val="nil"/>
            </w:tcBorders>
            <w:tcMar>
              <w:top w:w="15" w:type="dxa"/>
              <w:left w:w="45" w:type="dxa"/>
              <w:bottom w:w="15" w:type="dxa"/>
              <w:right w:w="45" w:type="dxa"/>
            </w:tcMar>
            <w:hideMark/>
          </w:tcPr>
          <w:p w:rsidR="00626C82" w:rsidRPr="006E33BD" w:rsidRDefault="00626C82" w:rsidP="00626C82">
            <w:pPr>
              <w:spacing w:after="0" w:line="240" w:lineRule="auto"/>
              <w:jc w:val="right"/>
              <w:rPr>
                <w:rFonts w:ascii="Times New Roman" w:eastAsia="Times New Roman" w:hAnsi="Times New Roman" w:cs="Times New Roman"/>
                <w:sz w:val="20"/>
                <w:szCs w:val="20"/>
                <w:lang w:val="ro-RO" w:eastAsia="en-GB"/>
              </w:rPr>
            </w:pPr>
            <w:r w:rsidRPr="006E33BD">
              <w:rPr>
                <w:rStyle w:val="docheader"/>
                <w:rFonts w:ascii="Times New Roman" w:eastAsia="SimSun" w:hAnsi="Times New Roman"/>
                <w:bCs/>
                <w:sz w:val="28"/>
                <w:szCs w:val="28"/>
                <w:lang w:val="ro-RO"/>
              </w:rPr>
              <w:t>”</w:t>
            </w:r>
            <w:r w:rsidRPr="006E33BD">
              <w:rPr>
                <w:rFonts w:ascii="Times New Roman" w:eastAsia="Times New Roman" w:hAnsi="Times New Roman" w:cs="Times New Roman"/>
                <w:sz w:val="20"/>
                <w:szCs w:val="20"/>
                <w:lang w:val="ro-RO" w:eastAsia="en-GB"/>
              </w:rPr>
              <w:t>Tabel</w:t>
            </w:r>
          </w:p>
          <w:p w:rsidR="00626C82" w:rsidRPr="006E33BD" w:rsidRDefault="00626C82" w:rsidP="00626C82">
            <w:pPr>
              <w:spacing w:after="0" w:line="240" w:lineRule="auto"/>
              <w:ind w:firstLine="567"/>
              <w:jc w:val="both"/>
              <w:rPr>
                <w:rFonts w:ascii="Times New Roman" w:eastAsia="Times New Roman" w:hAnsi="Times New Roman" w:cs="Times New Roman"/>
                <w:sz w:val="20"/>
                <w:szCs w:val="20"/>
                <w:lang w:val="ro-RO" w:eastAsia="en-GB"/>
              </w:rPr>
            </w:pPr>
            <w:r w:rsidRPr="006E33BD">
              <w:rPr>
                <w:rFonts w:ascii="Times New Roman" w:eastAsia="Times New Roman" w:hAnsi="Times New Roman" w:cs="Times New Roman"/>
                <w:sz w:val="20"/>
                <w:szCs w:val="20"/>
                <w:lang w:val="ro-RO" w:eastAsia="en-GB"/>
              </w:rPr>
              <w:t> </w:t>
            </w:r>
          </w:p>
          <w:p w:rsidR="00626C82" w:rsidRPr="006E33BD" w:rsidRDefault="00626C82" w:rsidP="00626C82">
            <w:pPr>
              <w:spacing w:after="0" w:line="240" w:lineRule="auto"/>
              <w:jc w:val="center"/>
              <w:rPr>
                <w:rFonts w:ascii="Times New Roman" w:eastAsia="Times New Roman" w:hAnsi="Times New Roman" w:cs="Times New Roman"/>
                <w:b/>
                <w:bCs/>
                <w:sz w:val="20"/>
                <w:szCs w:val="20"/>
                <w:lang w:val="ro-RO" w:eastAsia="en-GB"/>
              </w:rPr>
            </w:pPr>
            <w:r w:rsidRPr="006E33BD">
              <w:rPr>
                <w:rFonts w:ascii="Times New Roman" w:eastAsia="Times New Roman" w:hAnsi="Times New Roman" w:cs="Times New Roman"/>
                <w:b/>
                <w:bCs/>
                <w:sz w:val="20"/>
                <w:szCs w:val="20"/>
                <w:lang w:val="ro-RO" w:eastAsia="en-GB"/>
              </w:rPr>
              <w:t>CATEGORIILE ŞI SORTIMENTELE</w:t>
            </w:r>
          </w:p>
          <w:p w:rsidR="00626C82" w:rsidRPr="006E33BD" w:rsidRDefault="00626C82" w:rsidP="00626C82">
            <w:pPr>
              <w:spacing w:after="0" w:line="240" w:lineRule="auto"/>
              <w:jc w:val="center"/>
              <w:rPr>
                <w:rFonts w:ascii="Times New Roman" w:eastAsia="Times New Roman" w:hAnsi="Times New Roman" w:cs="Times New Roman"/>
                <w:b/>
                <w:bCs/>
                <w:sz w:val="20"/>
                <w:szCs w:val="20"/>
                <w:lang w:val="ro-RO" w:eastAsia="en-GB"/>
              </w:rPr>
            </w:pPr>
            <w:r w:rsidRPr="006E33BD">
              <w:rPr>
                <w:rFonts w:ascii="Times New Roman" w:eastAsia="Times New Roman" w:hAnsi="Times New Roman" w:cs="Times New Roman"/>
                <w:b/>
                <w:bCs/>
                <w:sz w:val="20"/>
                <w:szCs w:val="20"/>
                <w:lang w:val="ro-RO" w:eastAsia="en-GB"/>
              </w:rPr>
              <w:t>mijloacelor de măsurare supuse controlului metrologic legal</w:t>
            </w:r>
          </w:p>
          <w:p w:rsidR="00626C82" w:rsidRPr="006E33BD" w:rsidRDefault="00626C82" w:rsidP="00626C82">
            <w:pPr>
              <w:spacing w:after="0" w:line="240" w:lineRule="auto"/>
              <w:jc w:val="right"/>
              <w:rPr>
                <w:rFonts w:ascii="Times New Roman" w:eastAsia="Times New Roman" w:hAnsi="Times New Roman" w:cs="Times New Roman"/>
                <w:sz w:val="20"/>
                <w:szCs w:val="20"/>
                <w:lang w:val="ro-RO" w:eastAsia="en-GB"/>
              </w:rPr>
            </w:pPr>
            <w:r w:rsidRPr="006E33BD">
              <w:rPr>
                <w:rFonts w:ascii="Times New Roman" w:eastAsia="Times New Roman" w:hAnsi="Times New Roman" w:cs="Times New Roman"/>
                <w:sz w:val="20"/>
                <w:szCs w:val="20"/>
                <w:lang w:val="ro-RO" w:eastAsia="en-GB"/>
              </w:rPr>
              <w:t> </w:t>
            </w:r>
          </w:p>
        </w:tc>
      </w:tr>
      <w:tr w:rsidR="000E65BA" w:rsidRPr="006E33BD" w:rsidTr="00CA4383">
        <w:trPr>
          <w:trHeight w:val="2058"/>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Nr. poziţiei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Categoriile mijloacelor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Numărul poziţiei</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Sortimentele mijloacelor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Intervalul maxim admis între două verificări metrologice succesive,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Modalitatea de control metrologic aplicabil</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3</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b/>
                <w:bCs/>
                <w:sz w:val="20"/>
                <w:szCs w:val="20"/>
                <w:lang w:val="ro-RO"/>
              </w:rPr>
            </w:pPr>
            <w:r w:rsidRPr="006E33BD">
              <w:rPr>
                <w:b/>
                <w:bCs/>
                <w:sz w:val="20"/>
                <w:szCs w:val="20"/>
                <w:lang w:val="ro-RO"/>
              </w:rPr>
              <w:t>6</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1. MĂRIMI ACUSTICE</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Mijloace de măsurare a nivelului de presiune acustică utilizate în măsurări privind protecţia muncii şi protecţia mediului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1.1.1.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Sonometre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1.1.2.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Dozimetre de zgomot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trHeight w:val="89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60B9" w:rsidRPr="006E33BD" w:rsidRDefault="00BF60B9"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60B9" w:rsidRPr="006E33BD" w:rsidRDefault="00BF60B9" w:rsidP="00626C82">
            <w:pPr>
              <w:rPr>
                <w:sz w:val="20"/>
                <w:szCs w:val="20"/>
                <w:lang w:val="ro-RO"/>
              </w:rPr>
            </w:pP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1.1.3.</w:t>
            </w:r>
          </w:p>
        </w:tc>
        <w:tc>
          <w:tcPr>
            <w:tcW w:w="1393" w:type="pct"/>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Expozimetre sonore individuale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VI, 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2. MĂRIMI FIZICO-CHIMICE</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Analizoare şi semnalizoare de gaze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2.1.1.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 de măsurare a etanolului din aerul expirat (etilometre)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2.1.2.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Analizoare de gaze, inclusiv cu funcţie de semnalizare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2.2</w:t>
            </w:r>
            <w:r w:rsidRPr="006E33BD">
              <w:rPr>
                <w:sz w:val="20"/>
                <w:szCs w:val="20"/>
                <w:vertAlign w:val="superscript"/>
                <w:lang w:val="ro-RO"/>
              </w:rPr>
              <w:t>1)</w:t>
            </w:r>
            <w:r w:rsidRPr="006E33BD">
              <w:rPr>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Analizoare pentru gaze de eşapament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2.2.1.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Analizoare pentru gaze de eşapament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Densimetre şi alcoolmetre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2.4.1.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Densimetre şi alcoolmetre din sticlă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2.4.2.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Densimetre şi alcoolmetre digitale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2.4.3.</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Analizoare digitale ale concentraţiei de etanol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3. ULTRASUNET ŞI VIBRAŢII</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Defectoscoape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3.2.1.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Defectoscoape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lastRenderedPageBreak/>
              <w:t>3.3.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pentru măsurarea vitezei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3.3.1.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Aparate/sisteme pentru măsurarea vitezei de mişcare a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3.3.2.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Sisteme pentru măsurarea vitezei medii de mişcare a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3.3.3.</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163D43" w:rsidP="00626C82">
            <w:pPr>
              <w:rPr>
                <w:sz w:val="20"/>
                <w:szCs w:val="20"/>
                <w:lang w:val="ro-RO"/>
              </w:rPr>
            </w:pPr>
            <w:r w:rsidRPr="006E33BD">
              <w:rPr>
                <w:sz w:val="20"/>
                <w:szCs w:val="20"/>
                <w:lang w:val="ro-RO"/>
              </w:rPr>
              <w:t>T</w:t>
            </w:r>
            <w:r w:rsidR="00626C82" w:rsidRPr="006E33BD">
              <w:rPr>
                <w:sz w:val="20"/>
                <w:szCs w:val="20"/>
                <w:lang w:val="ro-RO"/>
              </w:rPr>
              <w:t>ahografe mecanice şi electronice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3.3.4.</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Vitezometre pentru locomotive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4. MĂRIMI ELECTROMAGNETICE</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4.1.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Transformatoare pentru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4.1.1.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Transformatoare pentru măsurare de curent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4.1.2.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Transformatoare pentru măsurare de tensiune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8452E6"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Pr>
          <w:p w:rsidR="008452E6" w:rsidRPr="006E33BD" w:rsidRDefault="008452E6" w:rsidP="008452E6">
            <w:pPr>
              <w:rPr>
                <w:sz w:val="20"/>
                <w:szCs w:val="20"/>
                <w:lang w:val="ro-RO"/>
              </w:rPr>
            </w:pPr>
            <w:r w:rsidRPr="006E33BD">
              <w:rPr>
                <w:sz w:val="20"/>
                <w:szCs w:val="20"/>
                <w:lang w:val="ro-RO"/>
              </w:rPr>
              <w:t>4.2</w:t>
            </w:r>
          </w:p>
        </w:tc>
        <w:tc>
          <w:tcPr>
            <w:tcW w:w="0" w:type="auto"/>
            <w:tcBorders>
              <w:top w:val="single" w:sz="6" w:space="0" w:color="000000"/>
              <w:left w:val="single" w:sz="6" w:space="0" w:color="000000"/>
              <w:bottom w:val="single" w:sz="6" w:space="0" w:color="000000"/>
              <w:right w:val="single" w:sz="6" w:space="0" w:color="000000"/>
            </w:tcBorders>
          </w:tcPr>
          <w:p w:rsidR="008452E6" w:rsidRPr="006E33BD" w:rsidRDefault="008452E6" w:rsidP="008452E6">
            <w:pPr>
              <w:rPr>
                <w:sz w:val="20"/>
                <w:szCs w:val="20"/>
                <w:lang w:val="ro-RO"/>
              </w:rPr>
            </w:pPr>
            <w:r w:rsidRPr="006E33BD">
              <w:rPr>
                <w:sz w:val="20"/>
                <w:szCs w:val="20"/>
                <w:lang w:val="ro-RO"/>
              </w:rPr>
              <w:t>Aparate pentru măsurarea caracteristicilor electrice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52E6" w:rsidRPr="006E33BD" w:rsidRDefault="008452E6" w:rsidP="008452E6">
            <w:pPr>
              <w:rPr>
                <w:sz w:val="20"/>
                <w:szCs w:val="20"/>
                <w:lang w:val="ro-RO"/>
              </w:rPr>
            </w:pPr>
            <w:r w:rsidRPr="006E33BD">
              <w:rPr>
                <w:sz w:val="20"/>
                <w:szCs w:val="20"/>
                <w:lang w:val="ro-RO"/>
              </w:rPr>
              <w:t>4.2.1.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52E6" w:rsidRPr="006E33BD" w:rsidRDefault="008452E6" w:rsidP="008452E6">
            <w:pPr>
              <w:rPr>
                <w:sz w:val="20"/>
                <w:szCs w:val="20"/>
                <w:lang w:val="ro-RO"/>
              </w:rPr>
            </w:pPr>
            <w:r w:rsidRPr="006E33BD">
              <w:rPr>
                <w:sz w:val="20"/>
                <w:szCs w:val="20"/>
                <w:lang w:val="ro-RO"/>
              </w:rPr>
              <w:t>Aparate pentru măsurarea caracteristicilor contururilor de tip „faza-zero” şi a curentului de scurtcircuit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52E6" w:rsidRPr="006E33BD" w:rsidRDefault="008452E6" w:rsidP="008452E6">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52E6" w:rsidRPr="006E33BD" w:rsidRDefault="008452E6" w:rsidP="008452E6">
            <w:pPr>
              <w:rPr>
                <w:sz w:val="20"/>
                <w:szCs w:val="20"/>
                <w:lang w:val="ro-RO"/>
              </w:rPr>
            </w:pPr>
            <w:r w:rsidRPr="006E33BD">
              <w:rPr>
                <w:sz w:val="20"/>
                <w:szCs w:val="20"/>
                <w:lang w:val="ro-RO"/>
              </w:rPr>
              <w:t>VI, 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4.3</w:t>
            </w:r>
            <w:r w:rsidRPr="006E33BD">
              <w:rPr>
                <w:sz w:val="20"/>
                <w:szCs w:val="20"/>
                <w:vertAlign w:val="superscript"/>
                <w:lang w:val="ro-RO"/>
              </w:rPr>
              <w:t>1)</w:t>
            </w:r>
            <w:r w:rsidRPr="006E33BD">
              <w:rPr>
                <w:sz w:val="20"/>
                <w:szCs w:val="20"/>
                <w:lang w:val="ro-RO"/>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energie electrică activă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4.3.1.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energie electrică activă trifazate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4.3.2.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energie electrică activă monofazate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4.4.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energie electrică reactivă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4.4.1.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energie electrică reactivă trifazate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4.4.2.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energie electrică reactivă monofazate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5. DEBIT ŞI VOLUM</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5.1. Debit al lichidelor şi gazelor</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5.1.2</w:t>
            </w:r>
            <w:r w:rsidRPr="006E33BD">
              <w:rPr>
                <w:sz w:val="20"/>
                <w:szCs w:val="20"/>
                <w:vertAlign w:val="superscript"/>
                <w:lang w:val="ro-RO"/>
              </w:rPr>
              <w:t>1)</w:t>
            </w:r>
            <w:r w:rsidRPr="006E33BD">
              <w:rPr>
                <w:sz w:val="20"/>
                <w:szCs w:val="20"/>
                <w:lang w:val="ro-RO"/>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gaz</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5.1.2.1.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gaz cu debitul maxim pînă la 2500 m</w:t>
            </w:r>
            <w:r w:rsidRPr="006E33BD">
              <w:rPr>
                <w:sz w:val="20"/>
                <w:szCs w:val="20"/>
                <w:vertAlign w:val="superscript"/>
                <w:lang w:val="ro-RO"/>
              </w:rPr>
              <w:t>3</w:t>
            </w:r>
            <w:r w:rsidRPr="006E33BD">
              <w:rPr>
                <w:sz w:val="20"/>
                <w:szCs w:val="20"/>
                <w:lang w:val="ro-RO"/>
              </w:rPr>
              <w:t>/h (cu excepţia celor cu pereţi deformabili)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5.1.2.2.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gaz cu pereţi deformabili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5.1.3</w:t>
            </w:r>
            <w:r w:rsidRPr="006E33BD">
              <w:rPr>
                <w:sz w:val="20"/>
                <w:szCs w:val="20"/>
                <w:vertAlign w:val="superscript"/>
                <w:lang w:val="ro-RO"/>
              </w:rPr>
              <w:t>1)</w:t>
            </w:r>
            <w:r w:rsidRPr="006E33BD">
              <w:rPr>
                <w:sz w:val="20"/>
                <w:szCs w:val="20"/>
                <w:lang w:val="ro-RO"/>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apă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5.1.3.1.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apă rece şi caldă de la DN 25 pînă la DN 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5.1.3.2.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apă rece şi caldă cu DN 15 şi DN 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lastRenderedPageBreak/>
              <w:t>5.1.4.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Complexe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5.1.4.1.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367DF6">
            <w:pPr>
              <w:rPr>
                <w:sz w:val="20"/>
                <w:szCs w:val="20"/>
                <w:lang w:val="ro-RO"/>
              </w:rPr>
            </w:pPr>
            <w:r w:rsidRPr="006E33BD">
              <w:rPr>
                <w:sz w:val="20"/>
                <w:szCs w:val="20"/>
                <w:lang w:val="ro-RO"/>
              </w:rPr>
              <w:t xml:space="preserve">Complexe de măsurare a cantităţilor de </w:t>
            </w:r>
            <w:r w:rsidR="00367DF6" w:rsidRPr="006E33BD">
              <w:rPr>
                <w:sz w:val="20"/>
                <w:szCs w:val="20"/>
                <w:lang w:val="ro-RO"/>
              </w:rPr>
              <w:t>fluide</w:t>
            </w:r>
            <w:r w:rsidR="002C003A" w:rsidRPr="006E33BD">
              <w:rPr>
                <w:sz w:val="20"/>
                <w:szCs w:val="20"/>
                <w:lang w:val="ro-RO"/>
              </w:rPr>
              <w:t>,</w:t>
            </w:r>
            <w:r w:rsidRPr="006E33BD">
              <w:rPr>
                <w:sz w:val="20"/>
                <w:szCs w:val="20"/>
                <w:lang w:val="ro-RO"/>
              </w:rPr>
              <w:t xml:space="preserve"> inclusiv cu dispozitive de strangulare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Sisteme de măsurare şi înregistrare a cantităţii produselor petroliere şi gazelor lichefiate livrate cu amănuntul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5.1.5.1.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Sisteme de măsurare şi înregistrare a cantităţii produselor petroliere şi gazelor lichefiate livrate cu amănuntul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Distribuitoare de gaz comprimat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5.1.6.1.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Distribuitoare de gaz comprimat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5.1.7</w:t>
            </w:r>
            <w:r w:rsidRPr="006E33BD">
              <w:rPr>
                <w:sz w:val="20"/>
                <w:szCs w:val="20"/>
                <w:vertAlign w:val="superscript"/>
                <w:lang w:val="ro-RO"/>
              </w:rPr>
              <w:t>1)</w:t>
            </w:r>
            <w:r w:rsidRPr="006E33BD">
              <w:rPr>
                <w:sz w:val="20"/>
                <w:szCs w:val="20"/>
                <w:lang w:val="ro-RO"/>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Sistemele de măsurare pentru măsurarea continuă şi dinamică a cantităţilor de lichide, altele decît apa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5.1.7.1.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Sisteme de măsurare dinamică a cantităţilor de lichide, altele decît apa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5.1.7.2.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pentru lichide, altele decît apa, pînă la DN 400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5.1.7.3.</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Calculatoare (de debit), traductoare de presiune, traductoare de temperatură (termorezistenţe)/adaptoare de temperatură şi traductoare de debit pentru sisteme de măsurare a cantităţilor de lichide, altele decît apa, pînă la DN 200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5.1.7.4.</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Distribuitoare de produse petroliere şi gaze lichefiate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spacing w:after="0" w:line="240" w:lineRule="auto"/>
              <w:ind w:firstLine="567"/>
              <w:jc w:val="both"/>
              <w:rPr>
                <w:rFonts w:ascii="Times New Roman" w:eastAsia="Times New Roman" w:hAnsi="Times New Roman" w:cs="Times New Roman"/>
                <w:sz w:val="20"/>
                <w:szCs w:val="20"/>
                <w:lang w:val="ro-RO" w:eastAsia="en-GB"/>
              </w:rPr>
            </w:pPr>
            <w:r w:rsidRPr="006E33BD">
              <w:rPr>
                <w:rFonts w:ascii="Times New Roman" w:eastAsia="Times New Roman" w:hAnsi="Times New Roman" w:cs="Times New Roman"/>
                <w:sz w:val="20"/>
                <w:szCs w:val="20"/>
                <w:lang w:val="ro-RO" w:eastAsia="en-GB"/>
              </w:rPr>
              <w:t>Contoarele de gaz (poziţia 5.1.2.1) cu debitul maxim mai mare de 2500 m</w:t>
            </w:r>
            <w:r w:rsidRPr="006E33BD">
              <w:rPr>
                <w:rFonts w:ascii="Times New Roman" w:eastAsia="Times New Roman" w:hAnsi="Times New Roman" w:cs="Times New Roman"/>
                <w:sz w:val="20"/>
                <w:szCs w:val="20"/>
                <w:vertAlign w:val="superscript"/>
                <w:lang w:val="ro-RO" w:eastAsia="en-GB"/>
              </w:rPr>
              <w:t>3</w:t>
            </w:r>
            <w:r w:rsidRPr="006E33BD">
              <w:rPr>
                <w:rFonts w:ascii="Times New Roman" w:eastAsia="Times New Roman" w:hAnsi="Times New Roman" w:cs="Times New Roman"/>
                <w:sz w:val="20"/>
                <w:szCs w:val="20"/>
                <w:lang w:val="ro-RO" w:eastAsia="en-GB"/>
              </w:rPr>
              <w:t xml:space="preserve">/h, respectiv, contoarele de apă rece şi caldă (poziţia 5.1.3.1) cu diametrul mai mare de DN 200, utilizate în domenii de interes public, se evaluează de către Institutul Naţional de Metrologie în baza unui certificat de etalonare/buletin de verificare emis de un institut naţional de metrologie sau de un laborator desemnat/acreditat de alt stat, din care să rezulte conformitatea mijloacelor de măsurare respective cu cerinţele privind încadrarea erorilor de măsurare între limitele erorilor maxime tolerate prevăzute de documentele normative internaţionale, regionale sau europene adoptate ca documente normative naţionale în domeniul metrologiei aplicabile. </w:t>
            </w:r>
          </w:p>
          <w:p w:rsidR="00626C82" w:rsidRPr="006E33BD" w:rsidRDefault="00626C82" w:rsidP="00626C82">
            <w:pPr>
              <w:spacing w:after="0" w:line="240" w:lineRule="auto"/>
              <w:ind w:firstLine="567"/>
              <w:jc w:val="both"/>
              <w:rPr>
                <w:rFonts w:ascii="Times New Roman" w:eastAsia="Times New Roman" w:hAnsi="Times New Roman" w:cs="Times New Roman"/>
                <w:sz w:val="20"/>
                <w:szCs w:val="20"/>
                <w:lang w:val="ro-RO" w:eastAsia="en-GB"/>
              </w:rPr>
            </w:pPr>
            <w:r w:rsidRPr="006E33BD">
              <w:rPr>
                <w:rFonts w:ascii="Times New Roman" w:eastAsia="Times New Roman" w:hAnsi="Times New Roman" w:cs="Times New Roman"/>
                <w:sz w:val="20"/>
                <w:szCs w:val="20"/>
                <w:lang w:val="ro-RO" w:eastAsia="en-GB"/>
              </w:rPr>
              <w:t>În baza raportului de evaluare, soldat cu rezultate pozitive, Institutul Naţional de Metrologie emite buletinul de verificare metrologică.</w:t>
            </w:r>
          </w:p>
          <w:p w:rsidR="00626C82" w:rsidRPr="006E33BD" w:rsidRDefault="00626C82" w:rsidP="00626C82">
            <w:pPr>
              <w:spacing w:after="0" w:line="240" w:lineRule="auto"/>
              <w:ind w:firstLine="567"/>
              <w:jc w:val="both"/>
              <w:rPr>
                <w:rFonts w:ascii="Times New Roman" w:eastAsia="Times New Roman" w:hAnsi="Times New Roman" w:cs="Times New Roman"/>
                <w:sz w:val="20"/>
                <w:szCs w:val="20"/>
                <w:lang w:val="ro-RO" w:eastAsia="en-GB"/>
              </w:rPr>
            </w:pPr>
            <w:r w:rsidRPr="006E33BD">
              <w:rPr>
                <w:rFonts w:ascii="Times New Roman" w:eastAsia="Times New Roman" w:hAnsi="Times New Roman" w:cs="Times New Roman"/>
                <w:sz w:val="20"/>
                <w:szCs w:val="20"/>
                <w:lang w:val="ro-RO" w:eastAsia="en-GB"/>
              </w:rPr>
              <w:t> </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5.2 VOLUM</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5.2.1.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Cisterne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5.2.1.1.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Cisterne auto pentru petrol şi produse alimentare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5.2.1.2.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Cisterne feroviare pentru produse petroliere şi produse alimentare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5.2.2</w:t>
            </w:r>
            <w:r w:rsidRPr="006E33BD">
              <w:rPr>
                <w:sz w:val="20"/>
                <w:szCs w:val="20"/>
                <w:vertAlign w:val="superscript"/>
                <w:lang w:val="ro-RO"/>
              </w:rPr>
              <w:t>1)</w:t>
            </w:r>
            <w:r w:rsidRPr="006E33BD">
              <w:rPr>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Măsuri de capacitate de servire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5.2.2.1.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Măsuri de volum pentru comercializarea lichidelor (în afară de măsurile de volum din sticlă)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lastRenderedPageBreak/>
              <w:t>5.2.3.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Măsuri de volum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5.2.3.1.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Măsuri cu plutitor pentru lapte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trHeight w:val="312"/>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5.2.4.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Dozatoare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5.2.4.1.</w:t>
            </w:r>
          </w:p>
        </w:tc>
        <w:tc>
          <w:tcPr>
            <w:tcW w:w="1393" w:type="pct"/>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Dozatoare volumetrice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5.2.5.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Rezervoare metalice staţionare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5.2.5.1.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Rezervoare metalice staţionare pentru stocarea produselor petroliere şi gazelor lichefiate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trHeight w:val="78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60B9" w:rsidRPr="006E33BD" w:rsidRDefault="00BF60B9"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60B9" w:rsidRPr="006E33BD" w:rsidRDefault="00BF60B9" w:rsidP="00626C82">
            <w:pPr>
              <w:rPr>
                <w:sz w:val="20"/>
                <w:szCs w:val="20"/>
                <w:lang w:val="ro-RO"/>
              </w:rPr>
            </w:pP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5.2.5.2.</w:t>
            </w:r>
          </w:p>
        </w:tc>
        <w:tc>
          <w:tcPr>
            <w:tcW w:w="1393" w:type="pct"/>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Rezervoare metalice staţionare pentru stocarea produselor alimentare lichide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jc w:val="center"/>
              <w:rPr>
                <w:sz w:val="20"/>
                <w:szCs w:val="20"/>
                <w:lang w:val="ro-RO"/>
              </w:rPr>
            </w:pPr>
            <w:r w:rsidRPr="006E33BD">
              <w:rPr>
                <w:sz w:val="20"/>
                <w:szCs w:val="20"/>
                <w:lang w:val="ro-RO"/>
              </w:rPr>
              <w:t>120</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VI, 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6. RADIAŢII IONIZATE</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6.1.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Dozimetre şi expozimetre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6.1.1.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Dozimetre de măsurare a radiaţiilor ionizante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trHeight w:val="46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60B9" w:rsidRPr="006E33BD" w:rsidRDefault="00BF60B9"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F60B9" w:rsidRPr="006E33BD" w:rsidRDefault="00BF60B9" w:rsidP="00626C82">
            <w:pPr>
              <w:rPr>
                <w:sz w:val="20"/>
                <w:szCs w:val="20"/>
                <w:lang w:val="ro-RO"/>
              </w:rPr>
            </w:pP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6.1.2.</w:t>
            </w:r>
          </w:p>
        </w:tc>
        <w:tc>
          <w:tcPr>
            <w:tcW w:w="1393" w:type="pct"/>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Debitmetre de măsurare a radiaţiilor ionizante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BF60B9" w:rsidRPr="006E33BD" w:rsidRDefault="00BF60B9"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6.1.4.</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Expozimetre pentru radiaţii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6.1.5.</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Detectoare de radioactivitate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Spectrometre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6.2.1.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Spectrometre de măsurare a energiilor radiaţiilor ionizante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Radiometre şi contaminometre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6.3.1.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Radiometre şi contaminometre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7. MĂRIMI GEOMETRICE</w:t>
            </w:r>
          </w:p>
        </w:tc>
      </w:tr>
      <w:tr w:rsidR="000E65BA" w:rsidRPr="006E33BD" w:rsidTr="00CA4383">
        <w:trPr>
          <w:trHeight w:val="50"/>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rPr>
                <w:sz w:val="20"/>
                <w:szCs w:val="20"/>
                <w:lang w:val="ro-RO"/>
              </w:rPr>
            </w:pPr>
            <w:r w:rsidRPr="006E33BD">
              <w:rPr>
                <w:sz w:val="20"/>
                <w:szCs w:val="20"/>
                <w:lang w:val="ro-RO"/>
              </w:rPr>
              <w:t>7.1</w:t>
            </w:r>
            <w:r w:rsidRPr="006E33BD">
              <w:rPr>
                <w:sz w:val="20"/>
                <w:szCs w:val="20"/>
                <w:vertAlign w:val="superscript"/>
                <w:lang w:val="ro-RO"/>
              </w:rPr>
              <w:t>1)</w:t>
            </w:r>
            <w:r w:rsidRPr="006E33BD">
              <w:rPr>
                <w:sz w:val="20"/>
                <w:szCs w:val="20"/>
                <w:lang w:val="ro-RO"/>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rPr>
                <w:sz w:val="20"/>
                <w:szCs w:val="20"/>
                <w:lang w:val="ro-RO"/>
              </w:rPr>
            </w:pPr>
            <w:r w:rsidRPr="006E33BD">
              <w:rPr>
                <w:sz w:val="20"/>
                <w:szCs w:val="20"/>
                <w:lang w:val="ro-RO"/>
              </w:rPr>
              <w:t>Măsuri materializate ale lungimii, gradate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rPr>
                <w:sz w:val="20"/>
                <w:szCs w:val="20"/>
                <w:lang w:val="ro-RO"/>
              </w:rPr>
            </w:pPr>
            <w:r w:rsidRPr="006E33BD">
              <w:rPr>
                <w:sz w:val="20"/>
                <w:szCs w:val="20"/>
                <w:lang w:val="ro-RO"/>
              </w:rPr>
              <w:t>7.1.1.</w:t>
            </w:r>
          </w:p>
        </w:tc>
        <w:tc>
          <w:tcPr>
            <w:tcW w:w="1393" w:type="pct"/>
            <w:tcBorders>
              <w:top w:val="single" w:sz="6" w:space="0" w:color="000000"/>
              <w:left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rPr>
                <w:sz w:val="20"/>
                <w:szCs w:val="20"/>
                <w:lang w:val="ro-RO"/>
              </w:rPr>
            </w:pPr>
            <w:r w:rsidRPr="006E33BD">
              <w:rPr>
                <w:sz w:val="20"/>
                <w:szCs w:val="20"/>
                <w:lang w:val="ro-RO"/>
              </w:rPr>
              <w:t>Rigle gradate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7.1.3.</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Rulete şi panglici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7.2</w:t>
            </w:r>
            <w:r w:rsidRPr="006E33BD">
              <w:rPr>
                <w:sz w:val="20"/>
                <w:szCs w:val="20"/>
                <w:vertAlign w:val="superscript"/>
                <w:lang w:val="ro-RO"/>
              </w:rPr>
              <w:t>1)</w:t>
            </w:r>
            <w:r w:rsidRPr="006E33BD">
              <w:rPr>
                <w:sz w:val="20"/>
                <w:szCs w:val="20"/>
                <w:lang w:val="ro-RO"/>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Mijloace de măsurare a dimensiunilor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7.2.1.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măsurat lungimi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7.2.2.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măsurat arii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7.2.3.</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măsurat multidimensioanale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trHeight w:val="27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7.3.</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Aparate de măsurat dimensiuni și unghiuri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7.3.1.</w:t>
            </w:r>
          </w:p>
        </w:tc>
        <w:tc>
          <w:tcPr>
            <w:tcW w:w="139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Aparate de măsurat unghiuri</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trHeight w:val="15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7.3.2.</w:t>
            </w:r>
          </w:p>
        </w:tc>
        <w:tc>
          <w:tcPr>
            <w:tcW w:w="13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Aparate de măsurat grosimi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trHeight w:val="210"/>
          <w:jc w:val="center"/>
        </w:trPr>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7.4.</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Aparate pentru măsurarea nivelului lichidelor</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7.4.1.</w:t>
            </w:r>
          </w:p>
        </w:tc>
        <w:tc>
          <w:tcPr>
            <w:tcW w:w="1393"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 xml:space="preserve">Aparate/ rigle gradate  pentru măsurarea nivelului de lichide în rezervoare fixe de stocare RO </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trHeight w:val="240"/>
          <w:jc w:val="center"/>
        </w:trPr>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lastRenderedPageBreak/>
              <w:t>7.5.</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Aparate pentru reglarea farurilor la autovehicule</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7.5.1.</w:t>
            </w:r>
          </w:p>
        </w:tc>
        <w:tc>
          <w:tcPr>
            <w:tcW w:w="13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Aparate pentru reglarea farurilor la autovehicule</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Standuri pentru reglarea dezaxării şi convergenţei roţilor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7.6.1.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Standuri pentru reglarea dezaxării şi convergenţei roţilor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Standuri pentru verificarea sistemului de frînare al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7.7.1.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Standuri pentru verificarea sistemului de frînare al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7.8</w:t>
            </w:r>
            <w:r w:rsidRPr="006E33BD">
              <w:rPr>
                <w:sz w:val="20"/>
                <w:szCs w:val="20"/>
                <w:vertAlign w:val="superscript"/>
                <w:lang w:val="ro-RO"/>
              </w:rPr>
              <w:t>1)</w:t>
            </w:r>
            <w:r w:rsidRPr="006E33BD">
              <w:rPr>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Taximetre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7.8.1.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Taximetre electronice cu memorie fiscală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7.9.</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Aparate geodezice și topografice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7.9.1.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Telemetre electrooptice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p>
        </w:tc>
        <w:tc>
          <w:tcPr>
            <w:tcW w:w="0" w:type="auto"/>
            <w:vMerge/>
            <w:tcBorders>
              <w:left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7.9.2.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Stații totale geodezice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left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p>
        </w:tc>
        <w:tc>
          <w:tcPr>
            <w:tcW w:w="0" w:type="auto"/>
            <w:vMerge/>
            <w:tcBorders>
              <w:left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7.9.3.</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Mire topografice de nivelment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7.9.4.</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Teodolite și nivelmetre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Standuri pentru balansarea roţilor la autovehicule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7.10.1.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Standuri pentru balansarea roţilor la autovehicule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pentru măsurarea jocului volanului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7.11.1.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pentru măsurarea jocului volanului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8. MASA ŞI MĂRIMI DERIVATE</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8.1. MASA</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Greutăţi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8.1.1.1.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Greutăţi de lucru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8.1.2</w:t>
            </w:r>
            <w:r w:rsidRPr="006E33BD">
              <w:rPr>
                <w:sz w:val="20"/>
                <w:szCs w:val="20"/>
                <w:vertAlign w:val="superscript"/>
                <w:lang w:val="ro-RO"/>
              </w:rPr>
              <w:t>2)</w:t>
            </w:r>
            <w:r w:rsidRPr="006E33BD">
              <w:rPr>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cîntărit cu funcţionare neautomată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8.1.2.1.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cîntărit cu funcţionare neautomată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8.1.3</w:t>
            </w:r>
            <w:r w:rsidRPr="006E33BD">
              <w:rPr>
                <w:sz w:val="20"/>
                <w:szCs w:val="20"/>
                <w:vertAlign w:val="superscript"/>
                <w:lang w:val="ro-RO"/>
              </w:rPr>
              <w:t>1)</w:t>
            </w:r>
            <w:r w:rsidRPr="006E33BD">
              <w:rPr>
                <w:sz w:val="20"/>
                <w:szCs w:val="20"/>
                <w:lang w:val="ro-RO"/>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cîntărit cu funcţionare automată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8.1.3.1.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cîntărit cu funcţionare automată pentru sortare-etichetare a masei/preţului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8.1.3.2.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Dozatoare gravimetrice cu funcţionare automată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8.1.3.3.</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cîntărit cu totalizare discontinuă (aparat de cîntărit cu dozare)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8.1.3.4.</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cîntărit cu totalizare continuă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8.1.3.5.</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Bascule-pod feroviare cu funcţionare automată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lastRenderedPageBreak/>
              <w:t>8.1.4.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pentru măsurarea masei hectolitrice a cerealelor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8.1.4.1.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Balanţe de cereale de 1 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cîntărire în mers a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8.1.5.1.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cîntărire în mers a autovehiculelor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8.3. PRESIUNE</w:t>
            </w:r>
          </w:p>
        </w:tc>
      </w:tr>
      <w:tr w:rsidR="000E65BA" w:rsidRPr="006E33BD" w:rsidTr="00CA4383">
        <w:trPr>
          <w:trHeight w:val="195"/>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rPr>
                <w:sz w:val="20"/>
                <w:szCs w:val="20"/>
                <w:lang w:val="ro-RO"/>
              </w:rPr>
            </w:pPr>
            <w:r w:rsidRPr="006E33BD">
              <w:rPr>
                <w:sz w:val="20"/>
                <w:szCs w:val="20"/>
                <w:lang w:val="ro-RO"/>
              </w:rPr>
              <w:t>8.3.1.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rPr>
                <w:sz w:val="20"/>
                <w:szCs w:val="20"/>
                <w:lang w:val="ro-RO"/>
              </w:rPr>
            </w:pPr>
            <w:r w:rsidRPr="006E33BD">
              <w:rPr>
                <w:sz w:val="20"/>
                <w:szCs w:val="20"/>
                <w:lang w:val="ro-RO"/>
              </w:rPr>
              <w:t>Manometre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rPr>
                <w:sz w:val="20"/>
                <w:szCs w:val="20"/>
                <w:lang w:val="ro-RO"/>
              </w:rPr>
            </w:pPr>
            <w:r w:rsidRPr="006E33BD">
              <w:rPr>
                <w:sz w:val="20"/>
                <w:szCs w:val="20"/>
                <w:lang w:val="ro-RO"/>
              </w:rPr>
              <w:t>8.3.1.1.</w:t>
            </w:r>
          </w:p>
        </w:tc>
        <w:tc>
          <w:tcPr>
            <w:tcW w:w="1393" w:type="pct"/>
            <w:tcBorders>
              <w:top w:val="single" w:sz="6" w:space="0" w:color="000000"/>
              <w:left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rPr>
                <w:sz w:val="20"/>
                <w:szCs w:val="20"/>
                <w:lang w:val="ro-RO"/>
              </w:rPr>
            </w:pPr>
            <w:r w:rsidRPr="006E33BD">
              <w:rPr>
                <w:sz w:val="20"/>
                <w:szCs w:val="20"/>
                <w:lang w:val="ro-RO"/>
              </w:rPr>
              <w:t>Manometre de toate tipurile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hideMark/>
          </w:tcPr>
          <w:p w:rsidR="00EA3008" w:rsidRPr="006E33BD" w:rsidRDefault="00EA3008" w:rsidP="00626C82">
            <w:pPr>
              <w:rPr>
                <w:sz w:val="20"/>
                <w:szCs w:val="20"/>
                <w:lang w:val="ro-RO"/>
              </w:rPr>
            </w:pPr>
            <w:r w:rsidRPr="006E33BD">
              <w:rPr>
                <w:sz w:val="20"/>
                <w:szCs w:val="20"/>
                <w:lang w:val="ro-RO"/>
              </w:rPr>
              <w:t>AM, VI, VP</w:t>
            </w:r>
          </w:p>
        </w:tc>
      </w:tr>
      <w:tr w:rsidR="00CA4383" w:rsidRPr="006E33BD" w:rsidTr="00CA4383">
        <w:trPr>
          <w:trHeight w:val="195"/>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8.3.2.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Traductoare de presiune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8.3.2.1.</w:t>
            </w:r>
          </w:p>
        </w:tc>
        <w:tc>
          <w:tcPr>
            <w:tcW w:w="1393" w:type="pct"/>
            <w:tcBorders>
              <w:top w:val="single" w:sz="6" w:space="0" w:color="000000"/>
              <w:left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Traductoare de presiune şi diferenţă de presiune</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CA4383" w:rsidRPr="006E33BD" w:rsidRDefault="00CA4383" w:rsidP="00CA4383">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AM, VI, 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8.3.3</w:t>
            </w:r>
            <w:r w:rsidRPr="006E33BD">
              <w:rPr>
                <w:sz w:val="20"/>
                <w:szCs w:val="20"/>
                <w:vertAlign w:val="superscript"/>
                <w:lang w:val="ro-RO"/>
              </w:rPr>
              <w:t>1)</w:t>
            </w:r>
            <w:r w:rsidRPr="006E33BD">
              <w:rPr>
                <w:sz w:val="20"/>
                <w:szCs w:val="20"/>
                <w:lang w:val="ro-RO"/>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Dispozitive de conversie a volumului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8.3.3.1.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Corectoare electronice de volum de gaze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8.3.3.2.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 xml:space="preserve">Corectoare electronice de volum de gaze încorporate în contoare cu pereţi deformabili </w:t>
            </w:r>
            <w:r w:rsidRPr="006E33BD">
              <w:rPr>
                <w:i/>
                <w:iCs/>
                <w:sz w:val="20"/>
                <w:szCs w:val="20"/>
                <w:lang w:val="ro-RO"/>
              </w:rPr>
              <w:t>(vezi poziţia 5.1.2.2)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9. FOTOMETRIE ŞI RADIOMETRIE</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Fotometre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9.1.1.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Luxmetre</w:t>
            </w:r>
            <w:r w:rsidRPr="006E33BD">
              <w:rPr>
                <w:lang w:val="en-GB"/>
              </w:rPr>
              <w:t xml:space="preserve"> </w:t>
            </w:r>
            <w:r w:rsidRPr="006E33BD">
              <w:rPr>
                <w:sz w:val="20"/>
                <w:szCs w:val="20"/>
                <w:lang w:val="ro-RO"/>
              </w:rPr>
              <w:t>și aparate pentru determinarea transmitanţei (permeabilităţii) luminii prin sticlă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Colorimetre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9.2.1.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Opacimetre pentru motoare Diesel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10. TERMOMETRIE</w:t>
            </w:r>
          </w:p>
        </w:tc>
      </w:tr>
      <w:tr w:rsidR="00CA4383" w:rsidRPr="006E33BD" w:rsidTr="00CA4383">
        <w:trPr>
          <w:trHeight w:val="450"/>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10.1.</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Termometre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10.1.1.</w:t>
            </w:r>
          </w:p>
        </w:tc>
        <w:tc>
          <w:tcPr>
            <w:tcW w:w="139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Termometre din sticlă cu lichid, inclusiv cu contacte electrice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jc w:val="center"/>
              <w:rPr>
                <w:sz w:val="20"/>
                <w:szCs w:val="20"/>
                <w:lang w:val="ro-RO"/>
              </w:rPr>
            </w:pPr>
            <w:r w:rsidRPr="006E33BD">
              <w:rPr>
                <w:sz w:val="20"/>
                <w:szCs w:val="20"/>
                <w:lang w:val="ro-RO"/>
              </w:rPr>
              <w:t>36</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AM, VI, VP</w:t>
            </w:r>
          </w:p>
        </w:tc>
      </w:tr>
      <w:tr w:rsidR="00CA4383" w:rsidRPr="006E33BD" w:rsidTr="00CA4383">
        <w:trPr>
          <w:trHeight w:val="510"/>
          <w:jc w:val="center"/>
        </w:trPr>
        <w:tc>
          <w:tcPr>
            <w:tcW w:w="0" w:type="auto"/>
            <w:vMerge/>
            <w:tcBorders>
              <w:left w:val="single" w:sz="6" w:space="0" w:color="000000"/>
              <w:right w:val="single" w:sz="6" w:space="0" w:color="000000"/>
            </w:tcBorders>
            <w:tcMar>
              <w:top w:w="15" w:type="dxa"/>
              <w:left w:w="45" w:type="dxa"/>
              <w:bottom w:w="15" w:type="dxa"/>
              <w:right w:w="45" w:type="dxa"/>
            </w:tcMar>
            <w:vAlign w:val="center"/>
          </w:tcPr>
          <w:p w:rsidR="00CA4383" w:rsidRPr="006E33BD" w:rsidRDefault="00CA4383" w:rsidP="00CA4383">
            <w:pPr>
              <w:rPr>
                <w:sz w:val="20"/>
                <w:szCs w:val="20"/>
                <w:lang w:val="ro-RO"/>
              </w:rPr>
            </w:pPr>
          </w:p>
        </w:tc>
        <w:tc>
          <w:tcPr>
            <w:tcW w:w="0" w:type="auto"/>
            <w:vMerge/>
            <w:tcBorders>
              <w:left w:val="single" w:sz="6" w:space="0" w:color="000000"/>
              <w:right w:val="single" w:sz="6" w:space="0" w:color="000000"/>
            </w:tcBorders>
            <w:tcMar>
              <w:top w:w="15" w:type="dxa"/>
              <w:left w:w="45" w:type="dxa"/>
              <w:bottom w:w="15" w:type="dxa"/>
              <w:right w:w="45" w:type="dxa"/>
            </w:tcMar>
            <w:vAlign w:val="center"/>
          </w:tcPr>
          <w:p w:rsidR="00CA4383" w:rsidRPr="006E33BD" w:rsidRDefault="00CA4383" w:rsidP="00CA4383">
            <w:pPr>
              <w:rPr>
                <w:sz w:val="20"/>
                <w:szCs w:val="20"/>
                <w:lang w:val="ro-RO"/>
              </w:rPr>
            </w:pP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10.1.2.</w:t>
            </w:r>
          </w:p>
        </w:tc>
        <w:tc>
          <w:tcPr>
            <w:tcW w:w="1393"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Termometre manometrice şi bimetalice</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jc w:val="center"/>
              <w:rPr>
                <w:sz w:val="20"/>
                <w:szCs w:val="20"/>
                <w:lang w:val="ro-RO"/>
              </w:rPr>
            </w:pPr>
            <w:r w:rsidRPr="006E33BD">
              <w:rPr>
                <w:sz w:val="20"/>
                <w:szCs w:val="20"/>
                <w:lang w:val="ro-RO"/>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VI, VP</w:t>
            </w:r>
          </w:p>
        </w:tc>
      </w:tr>
      <w:tr w:rsidR="00CA4383" w:rsidRPr="006E33BD" w:rsidTr="00CA4383">
        <w:trPr>
          <w:trHeight w:val="525"/>
          <w:jc w:val="center"/>
        </w:trPr>
        <w:tc>
          <w:tcPr>
            <w:tcW w:w="0" w:type="auto"/>
            <w:vMerge/>
            <w:tcBorders>
              <w:left w:val="single" w:sz="6" w:space="0" w:color="000000"/>
              <w:right w:val="single" w:sz="6" w:space="0" w:color="000000"/>
            </w:tcBorders>
            <w:tcMar>
              <w:top w:w="15" w:type="dxa"/>
              <w:left w:w="45" w:type="dxa"/>
              <w:bottom w:w="15" w:type="dxa"/>
              <w:right w:w="45" w:type="dxa"/>
            </w:tcMar>
            <w:vAlign w:val="center"/>
          </w:tcPr>
          <w:p w:rsidR="00CA4383" w:rsidRPr="006E33BD" w:rsidRDefault="00CA4383" w:rsidP="00CA4383">
            <w:pPr>
              <w:rPr>
                <w:sz w:val="20"/>
                <w:szCs w:val="20"/>
                <w:lang w:val="ro-RO"/>
              </w:rPr>
            </w:pPr>
          </w:p>
        </w:tc>
        <w:tc>
          <w:tcPr>
            <w:tcW w:w="0" w:type="auto"/>
            <w:vMerge/>
            <w:tcBorders>
              <w:left w:val="single" w:sz="6" w:space="0" w:color="000000"/>
              <w:right w:val="single" w:sz="6" w:space="0" w:color="000000"/>
            </w:tcBorders>
            <w:tcMar>
              <w:top w:w="15" w:type="dxa"/>
              <w:left w:w="45" w:type="dxa"/>
              <w:bottom w:w="15" w:type="dxa"/>
              <w:right w:w="45" w:type="dxa"/>
            </w:tcMar>
            <w:vAlign w:val="center"/>
          </w:tcPr>
          <w:p w:rsidR="00CA4383" w:rsidRPr="006E33BD" w:rsidRDefault="00CA4383" w:rsidP="00CA4383">
            <w:pPr>
              <w:rPr>
                <w:sz w:val="20"/>
                <w:szCs w:val="20"/>
                <w:lang w:val="ro-RO"/>
              </w:rPr>
            </w:pP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10.1.3.</w:t>
            </w:r>
          </w:p>
        </w:tc>
        <w:tc>
          <w:tcPr>
            <w:tcW w:w="1393"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Termometre cu infraroşu şi pirometre</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jc w:val="center"/>
              <w:rPr>
                <w:sz w:val="20"/>
                <w:szCs w:val="20"/>
                <w:lang w:val="ro-RO"/>
              </w:rPr>
            </w:pPr>
            <w:r w:rsidRPr="006E33BD">
              <w:rPr>
                <w:sz w:val="20"/>
                <w:szCs w:val="20"/>
                <w:lang w:val="ro-RO"/>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VI, VP</w:t>
            </w:r>
          </w:p>
        </w:tc>
      </w:tr>
      <w:tr w:rsidR="00CA4383" w:rsidRPr="006E33BD" w:rsidTr="00CA4383">
        <w:trPr>
          <w:trHeight w:val="54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vAlign w:val="center"/>
          </w:tcPr>
          <w:p w:rsidR="00CA4383" w:rsidRPr="006E33BD" w:rsidRDefault="00CA4383" w:rsidP="00CA4383">
            <w:pPr>
              <w:rPr>
                <w:sz w:val="20"/>
                <w:szCs w:val="20"/>
                <w:lang w:val="ro-RO"/>
              </w:rPr>
            </w:pP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vAlign w:val="center"/>
          </w:tcPr>
          <w:p w:rsidR="00CA4383" w:rsidRPr="006E33BD" w:rsidRDefault="00CA4383" w:rsidP="00CA4383">
            <w:pPr>
              <w:rPr>
                <w:sz w:val="20"/>
                <w:szCs w:val="20"/>
                <w:lang w:val="ro-RO"/>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10.1.4.</w:t>
            </w:r>
          </w:p>
        </w:tc>
        <w:tc>
          <w:tcPr>
            <w:tcW w:w="13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Termometre digitale</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A4383" w:rsidRPr="006E33BD" w:rsidRDefault="00CA4383" w:rsidP="00CA4383">
            <w:pPr>
              <w:jc w:val="center"/>
              <w:rPr>
                <w:sz w:val="20"/>
                <w:szCs w:val="20"/>
                <w:lang w:val="ro-RO"/>
              </w:rPr>
            </w:pPr>
            <w:r w:rsidRPr="006E33BD">
              <w:rPr>
                <w:sz w:val="20"/>
                <w:szCs w:val="20"/>
                <w:lang w:val="ro-RO"/>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VI, VP</w:t>
            </w:r>
          </w:p>
        </w:tc>
      </w:tr>
      <w:tr w:rsidR="00CA4383" w:rsidRPr="006E33BD" w:rsidTr="00CA4383">
        <w:trPr>
          <w:trHeight w:val="225"/>
          <w:jc w:val="center"/>
        </w:trPr>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10.2.</w:t>
            </w:r>
          </w:p>
        </w:tc>
        <w:tc>
          <w:tcPr>
            <w:tcW w:w="0" w:type="auto"/>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Traductoare de temperatură</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10.2.1.</w:t>
            </w:r>
          </w:p>
        </w:tc>
        <w:tc>
          <w:tcPr>
            <w:tcW w:w="139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Termorezistenţe</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jc w:val="center"/>
              <w:rPr>
                <w:sz w:val="20"/>
                <w:szCs w:val="20"/>
                <w:lang w:val="ro-RO"/>
              </w:rPr>
            </w:pPr>
            <w:r w:rsidRPr="006E33BD">
              <w:rPr>
                <w:sz w:val="20"/>
                <w:szCs w:val="20"/>
                <w:lang w:val="ro-RO"/>
              </w:rPr>
              <w:t>24</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AM, VI, VP</w:t>
            </w:r>
          </w:p>
        </w:tc>
      </w:tr>
      <w:tr w:rsidR="00CA4383" w:rsidRPr="006E33BD" w:rsidTr="00CA4383">
        <w:trPr>
          <w:trHeight w:val="210"/>
          <w:jc w:val="center"/>
        </w:trPr>
        <w:tc>
          <w:tcPr>
            <w:tcW w:w="0" w:type="auto"/>
            <w:vMerge/>
            <w:tcBorders>
              <w:top w:val="single" w:sz="6" w:space="0" w:color="000000"/>
              <w:left w:val="single" w:sz="6" w:space="0" w:color="000000"/>
              <w:right w:val="single" w:sz="6" w:space="0" w:color="000000"/>
            </w:tcBorders>
            <w:tcMar>
              <w:top w:w="15" w:type="dxa"/>
              <w:left w:w="45" w:type="dxa"/>
              <w:bottom w:w="15" w:type="dxa"/>
              <w:right w:w="45" w:type="dxa"/>
            </w:tcMar>
            <w:vAlign w:val="center"/>
          </w:tcPr>
          <w:p w:rsidR="00CA4383" w:rsidRPr="006E33BD" w:rsidRDefault="00CA4383" w:rsidP="00CA4383">
            <w:pPr>
              <w:rPr>
                <w:sz w:val="20"/>
                <w:szCs w:val="20"/>
                <w:lang w:val="ro-RO"/>
              </w:rPr>
            </w:pPr>
          </w:p>
        </w:tc>
        <w:tc>
          <w:tcPr>
            <w:tcW w:w="0" w:type="auto"/>
            <w:vMerge/>
            <w:tcBorders>
              <w:top w:val="single" w:sz="6" w:space="0" w:color="000000"/>
              <w:left w:val="single" w:sz="6" w:space="0" w:color="000000"/>
              <w:right w:val="single" w:sz="6" w:space="0" w:color="000000"/>
            </w:tcBorders>
            <w:tcMar>
              <w:top w:w="15" w:type="dxa"/>
              <w:left w:w="45" w:type="dxa"/>
              <w:bottom w:w="15" w:type="dxa"/>
              <w:right w:w="45" w:type="dxa"/>
            </w:tcMar>
            <w:vAlign w:val="center"/>
          </w:tcPr>
          <w:p w:rsidR="00CA4383" w:rsidRPr="006E33BD" w:rsidRDefault="00CA4383" w:rsidP="00CA4383">
            <w:pPr>
              <w:rPr>
                <w:sz w:val="20"/>
                <w:szCs w:val="20"/>
                <w:lang w:val="ro-RO"/>
              </w:rPr>
            </w:pP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10.2.2.</w:t>
            </w:r>
          </w:p>
        </w:tc>
        <w:tc>
          <w:tcPr>
            <w:tcW w:w="1393"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Termocupluri</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jc w:val="center"/>
              <w:rPr>
                <w:sz w:val="20"/>
                <w:szCs w:val="20"/>
                <w:lang w:val="ro-RO"/>
              </w:rPr>
            </w:pPr>
            <w:r w:rsidRPr="006E33BD">
              <w:rPr>
                <w:sz w:val="20"/>
                <w:szCs w:val="20"/>
                <w:lang w:val="ro-RO"/>
              </w:rPr>
              <w:t>12</w:t>
            </w:r>
          </w:p>
        </w:tc>
        <w:tc>
          <w:tcPr>
            <w:tcW w:w="0" w:type="auto"/>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VI, VP</w:t>
            </w:r>
          </w:p>
        </w:tc>
      </w:tr>
      <w:tr w:rsidR="00CA4383" w:rsidRPr="006E33BD" w:rsidTr="00CA4383">
        <w:trPr>
          <w:trHeight w:val="240"/>
          <w:jc w:val="center"/>
        </w:trPr>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vAlign w:val="center"/>
          </w:tcPr>
          <w:p w:rsidR="00CA4383" w:rsidRPr="006E33BD" w:rsidRDefault="00CA4383" w:rsidP="00CA4383">
            <w:pPr>
              <w:rPr>
                <w:sz w:val="20"/>
                <w:szCs w:val="20"/>
                <w:lang w:val="ro-RO"/>
              </w:rPr>
            </w:pPr>
          </w:p>
        </w:tc>
        <w:tc>
          <w:tcPr>
            <w:tcW w:w="0" w:type="auto"/>
            <w:vMerge/>
            <w:tcBorders>
              <w:left w:val="single" w:sz="6" w:space="0" w:color="000000"/>
              <w:bottom w:val="single" w:sz="6" w:space="0" w:color="000000"/>
              <w:right w:val="single" w:sz="6" w:space="0" w:color="000000"/>
            </w:tcBorders>
            <w:tcMar>
              <w:top w:w="15" w:type="dxa"/>
              <w:left w:w="45" w:type="dxa"/>
              <w:bottom w:w="15" w:type="dxa"/>
              <w:right w:w="45" w:type="dxa"/>
            </w:tcMar>
            <w:vAlign w:val="center"/>
          </w:tcPr>
          <w:p w:rsidR="00CA4383" w:rsidRPr="006E33BD" w:rsidRDefault="00CA4383" w:rsidP="00CA4383">
            <w:pPr>
              <w:rPr>
                <w:sz w:val="20"/>
                <w:szCs w:val="20"/>
                <w:lang w:val="ro-RO"/>
              </w:rPr>
            </w:pP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10.2.3.</w:t>
            </w:r>
          </w:p>
        </w:tc>
        <w:tc>
          <w:tcPr>
            <w:tcW w:w="13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Aparate de măsurare şi/sau înregistrare a temperaturii</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A4383" w:rsidRPr="006E33BD" w:rsidRDefault="00CA4383" w:rsidP="00CA4383">
            <w:pPr>
              <w:jc w:val="center"/>
              <w:rPr>
                <w:sz w:val="20"/>
                <w:szCs w:val="20"/>
                <w:lang w:val="ro-RO"/>
              </w:rPr>
            </w:pPr>
            <w:r w:rsidRPr="006E33BD">
              <w:rPr>
                <w:sz w:val="20"/>
                <w:szCs w:val="20"/>
                <w:lang w:val="ro-RO"/>
              </w:rPr>
              <w:t>12</w:t>
            </w:r>
          </w:p>
        </w:tc>
        <w:tc>
          <w:tcPr>
            <w:tcW w:w="0" w:type="auto"/>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A4383" w:rsidRPr="006E33BD" w:rsidRDefault="00CA4383" w:rsidP="00CA4383">
            <w:pPr>
              <w:rPr>
                <w:sz w:val="20"/>
                <w:szCs w:val="20"/>
                <w:lang w:val="ro-RO"/>
              </w:rPr>
            </w:pPr>
            <w:r w:rsidRPr="006E33BD">
              <w:rPr>
                <w:sz w:val="20"/>
                <w:szCs w:val="20"/>
                <w:lang w:val="ro-RO"/>
              </w:rPr>
              <w:t>VI, 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10.4</w:t>
            </w:r>
            <w:r w:rsidRPr="006E33BD">
              <w:rPr>
                <w:sz w:val="20"/>
                <w:szCs w:val="20"/>
                <w:vertAlign w:val="superscript"/>
                <w:lang w:val="ro-RO"/>
              </w:rPr>
              <w:t>1)</w:t>
            </w:r>
            <w:r w:rsidRPr="006E33BD">
              <w:rPr>
                <w:sz w:val="20"/>
                <w:szCs w:val="20"/>
                <w:lang w:val="ro-RO"/>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Contoare de energie termică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10.4.1.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Perechi de termorezistenţe pentru contoare de energie termică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10.4.2.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Traductoare de debit pentru contoare de energie termică pînă la DN 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10.4.3.</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Calculatoare de energie termică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10.5.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Aparate de măsurare a umidităţii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10.5.1.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Higrometre şi psihrometre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10.5.2.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Umidimetre (pentru seminţe, cereale, lemn şi tutun)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163D4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b/>
                <w:bCs/>
                <w:sz w:val="20"/>
                <w:szCs w:val="20"/>
                <w:lang w:val="ro-RO"/>
              </w:rPr>
              <w:t>11. FRECVENŢĂ ŞI TIMP</w:t>
            </w:r>
          </w:p>
        </w:tc>
      </w:tr>
      <w:tr w:rsidR="000E65BA" w:rsidRPr="006E33BD" w:rsidTr="00CA438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Cronometre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11.1.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Cronometre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VI, VP</w:t>
            </w:r>
          </w:p>
        </w:tc>
      </w:tr>
      <w:tr w:rsidR="000E65BA" w:rsidRPr="006E33BD" w:rsidTr="00CA438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11.3.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Echipamente de evidenţă a timpului legăturilor telefonice şi a volumului informaţiei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11.3.1.</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Echipamente de evidenţă a timpului legăturilor telefonice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CA438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6C82" w:rsidRPr="006E33BD" w:rsidRDefault="00626C82" w:rsidP="00626C82">
            <w:pPr>
              <w:rPr>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11.3.2.</w:t>
            </w:r>
          </w:p>
        </w:tc>
        <w:tc>
          <w:tcPr>
            <w:tcW w:w="1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Echipamente de evidenţă a volumului informaţiei transmise/recepţionate sau a duratei legăturilor la prestarea serviciilor de transmitere a pachetelor de informaţie şi accesului la internet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jc w:val="center"/>
              <w:rPr>
                <w:sz w:val="20"/>
                <w:szCs w:val="20"/>
                <w:lang w:val="ro-RO"/>
              </w:rPr>
            </w:pPr>
            <w:r w:rsidRPr="006E33BD">
              <w:rPr>
                <w:sz w:val="20"/>
                <w:szCs w:val="20"/>
                <w:lang w:val="ro-RO"/>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26C82" w:rsidRPr="006E33BD" w:rsidRDefault="00626C82" w:rsidP="00626C82">
            <w:pPr>
              <w:rPr>
                <w:sz w:val="20"/>
                <w:szCs w:val="20"/>
                <w:lang w:val="ro-RO"/>
              </w:rPr>
            </w:pPr>
            <w:r w:rsidRPr="006E33BD">
              <w:rPr>
                <w:sz w:val="20"/>
                <w:szCs w:val="20"/>
                <w:lang w:val="ro-RO"/>
              </w:rPr>
              <w:t>AM, VI, VP</w:t>
            </w:r>
          </w:p>
        </w:tc>
      </w:tr>
      <w:tr w:rsidR="000E65BA" w:rsidRPr="006E33BD" w:rsidTr="00163D43">
        <w:trPr>
          <w:jc w:val="center"/>
        </w:trPr>
        <w:tc>
          <w:tcPr>
            <w:tcW w:w="5000" w:type="pct"/>
            <w:gridSpan w:val="6"/>
            <w:tcBorders>
              <w:top w:val="nil"/>
              <w:left w:val="nil"/>
              <w:bottom w:val="nil"/>
              <w:right w:val="nil"/>
            </w:tcBorders>
            <w:tcMar>
              <w:top w:w="15" w:type="dxa"/>
              <w:left w:w="45" w:type="dxa"/>
              <w:bottom w:w="15" w:type="dxa"/>
              <w:right w:w="45" w:type="dxa"/>
            </w:tcMar>
            <w:hideMark/>
          </w:tcPr>
          <w:p w:rsidR="00626C82" w:rsidRPr="006E33BD" w:rsidRDefault="00626C82" w:rsidP="002902CF">
            <w:pPr>
              <w:ind w:firstLine="495"/>
              <w:rPr>
                <w:rFonts w:ascii="Times New Roman" w:eastAsia="Times New Roman" w:hAnsi="Times New Roman" w:cs="Times New Roman"/>
                <w:sz w:val="20"/>
                <w:szCs w:val="20"/>
                <w:lang w:val="ro-RO" w:eastAsia="en-GB"/>
              </w:rPr>
            </w:pPr>
            <w:r w:rsidRPr="006E33BD">
              <w:rPr>
                <w:sz w:val="20"/>
                <w:szCs w:val="20"/>
                <w:lang w:val="ro-RO"/>
              </w:rPr>
              <w:t> </w:t>
            </w:r>
            <w:r w:rsidRPr="006E33BD">
              <w:rPr>
                <w:rFonts w:ascii="Times New Roman" w:eastAsia="Times New Roman" w:hAnsi="Times New Roman" w:cs="Times New Roman"/>
                <w:sz w:val="20"/>
                <w:szCs w:val="20"/>
                <w:lang w:val="ro-RO" w:eastAsia="en-GB"/>
              </w:rPr>
              <w:t xml:space="preserve">Abrevieri utilizate: </w:t>
            </w:r>
          </w:p>
          <w:p w:rsidR="00626C82" w:rsidRPr="006E33BD" w:rsidRDefault="00626C82" w:rsidP="00626C82">
            <w:pPr>
              <w:spacing w:after="0" w:line="240" w:lineRule="auto"/>
              <w:ind w:firstLine="567"/>
              <w:jc w:val="both"/>
              <w:rPr>
                <w:rFonts w:ascii="Times New Roman" w:eastAsia="Times New Roman" w:hAnsi="Times New Roman" w:cs="Times New Roman"/>
                <w:sz w:val="20"/>
                <w:szCs w:val="20"/>
                <w:lang w:val="ro-RO" w:eastAsia="en-GB"/>
              </w:rPr>
            </w:pPr>
            <w:r w:rsidRPr="006E33BD">
              <w:rPr>
                <w:rFonts w:ascii="Times New Roman" w:eastAsia="Times New Roman" w:hAnsi="Times New Roman" w:cs="Times New Roman"/>
                <w:sz w:val="20"/>
                <w:szCs w:val="20"/>
                <w:lang w:val="ro-RO" w:eastAsia="en-GB"/>
              </w:rPr>
              <w:t xml:space="preserve">AM – aprobare de model; </w:t>
            </w:r>
          </w:p>
          <w:p w:rsidR="00626C82" w:rsidRPr="006E33BD" w:rsidRDefault="00626C82" w:rsidP="00626C82">
            <w:pPr>
              <w:spacing w:after="0" w:line="240" w:lineRule="auto"/>
              <w:ind w:firstLine="567"/>
              <w:jc w:val="both"/>
              <w:rPr>
                <w:rFonts w:ascii="Times New Roman" w:eastAsia="Times New Roman" w:hAnsi="Times New Roman" w:cs="Times New Roman"/>
                <w:sz w:val="20"/>
                <w:szCs w:val="20"/>
                <w:lang w:val="ro-RO" w:eastAsia="en-GB"/>
              </w:rPr>
            </w:pPr>
            <w:r w:rsidRPr="006E33BD">
              <w:rPr>
                <w:rFonts w:ascii="Times New Roman" w:eastAsia="Times New Roman" w:hAnsi="Times New Roman" w:cs="Times New Roman"/>
                <w:sz w:val="20"/>
                <w:szCs w:val="20"/>
                <w:lang w:val="ro-RO" w:eastAsia="en-GB"/>
              </w:rPr>
              <w:t xml:space="preserve">VI – verificare iniţială; </w:t>
            </w:r>
          </w:p>
          <w:p w:rsidR="002902CF" w:rsidRPr="006E33BD" w:rsidRDefault="00626C82" w:rsidP="002902CF">
            <w:pPr>
              <w:spacing w:after="0" w:line="240" w:lineRule="auto"/>
              <w:ind w:firstLine="567"/>
              <w:jc w:val="both"/>
              <w:rPr>
                <w:rFonts w:ascii="Times New Roman" w:eastAsia="Times New Roman" w:hAnsi="Times New Roman" w:cs="Times New Roman"/>
                <w:sz w:val="20"/>
                <w:szCs w:val="20"/>
                <w:lang w:val="ro-RO" w:eastAsia="en-GB"/>
              </w:rPr>
            </w:pPr>
            <w:r w:rsidRPr="006E33BD">
              <w:rPr>
                <w:rFonts w:ascii="Times New Roman" w:eastAsia="Times New Roman" w:hAnsi="Times New Roman" w:cs="Times New Roman"/>
                <w:sz w:val="20"/>
                <w:szCs w:val="20"/>
                <w:lang w:val="ro-RO" w:eastAsia="en-GB"/>
              </w:rPr>
              <w:t>VP – verificare periodică (inclusiv după reparare)</w:t>
            </w:r>
            <w:r w:rsidR="002902CF" w:rsidRPr="006E33BD">
              <w:rPr>
                <w:rFonts w:ascii="Times New Roman" w:eastAsia="Times New Roman" w:hAnsi="Times New Roman" w:cs="Times New Roman"/>
                <w:sz w:val="20"/>
                <w:szCs w:val="20"/>
                <w:lang w:val="ro-RO" w:eastAsia="en-GB"/>
              </w:rPr>
              <w:t>”;</w:t>
            </w:r>
          </w:p>
          <w:p w:rsidR="002902CF" w:rsidRPr="006E33BD" w:rsidRDefault="002902CF" w:rsidP="002902CF">
            <w:pPr>
              <w:spacing w:after="0" w:line="240" w:lineRule="auto"/>
              <w:ind w:firstLine="567"/>
              <w:jc w:val="both"/>
              <w:rPr>
                <w:rFonts w:ascii="Times New Roman" w:eastAsia="Times New Roman" w:hAnsi="Times New Roman" w:cs="Times New Roman"/>
                <w:sz w:val="20"/>
                <w:szCs w:val="20"/>
                <w:lang w:val="ro-RO" w:eastAsia="en-GB"/>
              </w:rPr>
            </w:pPr>
          </w:p>
        </w:tc>
      </w:tr>
    </w:tbl>
    <w:p w:rsidR="002902CF" w:rsidRPr="006E33BD" w:rsidRDefault="002902CF" w:rsidP="001A0C48">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 xml:space="preserve">f) </w:t>
      </w:r>
      <w:r w:rsidR="001A0C48" w:rsidRPr="006E33BD">
        <w:rPr>
          <w:rStyle w:val="docheader"/>
          <w:rFonts w:ascii="Times New Roman" w:eastAsia="SimSun" w:hAnsi="Times New Roman"/>
          <w:bCs/>
          <w:sz w:val="28"/>
          <w:szCs w:val="28"/>
          <w:lang w:val="ro-RO"/>
        </w:rPr>
        <w:t xml:space="preserve">la </w:t>
      </w:r>
      <w:r w:rsidRPr="006E33BD">
        <w:rPr>
          <w:rStyle w:val="docheader"/>
          <w:rFonts w:ascii="Times New Roman" w:eastAsia="SimSun" w:hAnsi="Times New Roman"/>
          <w:bCs/>
          <w:sz w:val="28"/>
          <w:szCs w:val="28"/>
          <w:lang w:val="ro-RO"/>
        </w:rPr>
        <w:t>Anexa nr.</w:t>
      </w:r>
      <w:r w:rsidR="00A62F93" w:rsidRPr="006E33BD">
        <w:rPr>
          <w:rStyle w:val="docheader"/>
          <w:rFonts w:ascii="Times New Roman" w:eastAsia="SimSun" w:hAnsi="Times New Roman"/>
          <w:bCs/>
          <w:sz w:val="28"/>
          <w:szCs w:val="28"/>
          <w:lang w:val="ro-RO"/>
        </w:rPr>
        <w:t xml:space="preserve"> </w:t>
      </w:r>
      <w:r w:rsidRPr="006E33BD">
        <w:rPr>
          <w:rStyle w:val="docheader"/>
          <w:rFonts w:ascii="Times New Roman" w:eastAsia="SimSun" w:hAnsi="Times New Roman"/>
          <w:bCs/>
          <w:sz w:val="28"/>
          <w:szCs w:val="28"/>
          <w:lang w:val="ro-RO"/>
        </w:rPr>
        <w:t xml:space="preserve">1 </w:t>
      </w:r>
      <w:r w:rsidR="001A0C48" w:rsidRPr="006E33BD">
        <w:rPr>
          <w:rStyle w:val="docheader"/>
          <w:rFonts w:ascii="Times New Roman" w:eastAsia="SimSun" w:hAnsi="Times New Roman"/>
          <w:bCs/>
          <w:sz w:val="28"/>
          <w:szCs w:val="28"/>
          <w:lang w:val="ro-RO"/>
        </w:rPr>
        <w:t>”Modul de efectuare a aprobării de model a mijloacelor de măsurare supuse controlului metrologic legal”</w:t>
      </w:r>
      <w:r w:rsidR="00CC350B" w:rsidRPr="006E33BD">
        <w:rPr>
          <w:rStyle w:val="docheader"/>
          <w:rFonts w:ascii="Times New Roman" w:eastAsia="SimSun" w:hAnsi="Times New Roman"/>
          <w:bCs/>
          <w:sz w:val="28"/>
          <w:szCs w:val="28"/>
          <w:lang w:val="ro-RO"/>
        </w:rPr>
        <w:t xml:space="preserve">, </w:t>
      </w:r>
      <w:r w:rsidR="001A0C48" w:rsidRPr="006E33BD">
        <w:rPr>
          <w:rStyle w:val="docheader"/>
          <w:rFonts w:ascii="Times New Roman" w:eastAsia="SimSun" w:hAnsi="Times New Roman"/>
          <w:bCs/>
          <w:sz w:val="28"/>
          <w:szCs w:val="28"/>
          <w:lang w:val="ro-RO"/>
        </w:rPr>
        <w:t>în pct</w:t>
      </w:r>
      <w:r w:rsidR="00A62F93" w:rsidRPr="006E33BD">
        <w:rPr>
          <w:rStyle w:val="docheader"/>
          <w:rFonts w:ascii="Times New Roman" w:eastAsia="SimSun" w:hAnsi="Times New Roman"/>
          <w:bCs/>
          <w:sz w:val="28"/>
          <w:szCs w:val="28"/>
          <w:lang w:val="ro-RO"/>
        </w:rPr>
        <w:t>.</w:t>
      </w:r>
      <w:r w:rsidR="001A0C48" w:rsidRPr="006E33BD">
        <w:rPr>
          <w:rStyle w:val="docheader"/>
          <w:rFonts w:ascii="Times New Roman" w:eastAsia="SimSun" w:hAnsi="Times New Roman"/>
          <w:bCs/>
          <w:sz w:val="28"/>
          <w:szCs w:val="28"/>
          <w:lang w:val="ro-RO"/>
        </w:rPr>
        <w:t xml:space="preserve"> 25, după cuvintele ”certificat de recunoaştere a aprobării de model” se completează cu cuvintele ”valabil în termen,”</w:t>
      </w:r>
      <w:r w:rsidR="00155750" w:rsidRPr="006E33BD">
        <w:rPr>
          <w:rStyle w:val="docheader"/>
          <w:rFonts w:ascii="Times New Roman" w:eastAsia="SimSun" w:hAnsi="Times New Roman"/>
          <w:bCs/>
          <w:sz w:val="28"/>
          <w:szCs w:val="28"/>
          <w:lang w:val="ro-RO"/>
        </w:rPr>
        <w:t>;</w:t>
      </w:r>
    </w:p>
    <w:p w:rsidR="00155750" w:rsidRPr="006E33BD" w:rsidRDefault="00155750" w:rsidP="00155750">
      <w:pPr>
        <w:spacing w:after="0" w:line="240" w:lineRule="auto"/>
        <w:ind w:firstLine="540"/>
        <w:jc w:val="both"/>
        <w:rPr>
          <w:rStyle w:val="docheader"/>
          <w:rFonts w:ascii="Times New Roman" w:eastAsia="SimSun" w:hAnsi="Times New Roman"/>
          <w:bCs/>
          <w:sz w:val="28"/>
          <w:szCs w:val="28"/>
          <w:lang w:val="ro-RO"/>
        </w:rPr>
      </w:pPr>
      <w:r w:rsidRPr="006E33BD">
        <w:rPr>
          <w:rStyle w:val="docheader"/>
          <w:rFonts w:ascii="Times New Roman" w:eastAsia="SimSun" w:hAnsi="Times New Roman"/>
          <w:bCs/>
          <w:sz w:val="28"/>
          <w:szCs w:val="28"/>
          <w:lang w:val="ro-RO"/>
        </w:rPr>
        <w:t>g) la Anexa nr.</w:t>
      </w:r>
      <w:r w:rsidR="00A62F93" w:rsidRPr="006E33BD">
        <w:rPr>
          <w:rStyle w:val="docheader"/>
          <w:rFonts w:ascii="Times New Roman" w:eastAsia="SimSun" w:hAnsi="Times New Roman"/>
          <w:bCs/>
          <w:sz w:val="28"/>
          <w:szCs w:val="28"/>
          <w:lang w:val="ro-RO"/>
        </w:rPr>
        <w:t xml:space="preserve"> </w:t>
      </w:r>
      <w:r w:rsidRPr="006E33BD">
        <w:rPr>
          <w:rStyle w:val="docheader"/>
          <w:rFonts w:ascii="Times New Roman" w:eastAsia="SimSun" w:hAnsi="Times New Roman"/>
          <w:bCs/>
          <w:sz w:val="28"/>
          <w:szCs w:val="28"/>
          <w:lang w:val="ro-RO"/>
        </w:rPr>
        <w:t>2 ”Modul de efectuare a verificării metrologice a mijloacelor de măsurare supuse controlului metrologic legal”, în pct 10, după cuvintele ”prezentate la verificare metrologică iniţială” se completează cu cuvintele”</w:t>
      </w:r>
      <w:r w:rsidRPr="006E33BD">
        <w:t xml:space="preserve"> </w:t>
      </w:r>
      <w:r w:rsidRPr="006E33BD">
        <w:rPr>
          <w:rStyle w:val="docheader"/>
          <w:rFonts w:ascii="Times New Roman" w:eastAsia="SimSun" w:hAnsi="Times New Roman"/>
          <w:bCs/>
          <w:sz w:val="28"/>
          <w:szCs w:val="28"/>
          <w:lang w:val="ro-RO"/>
        </w:rPr>
        <w:t>, care se prezintă în perioada de valabilitate a Certificatului de aprobare sau a Certificatului de recunoaștere a aprobării de model”.</w:t>
      </w:r>
    </w:p>
    <w:p w:rsidR="00155750" w:rsidRPr="006E33BD" w:rsidRDefault="00155750" w:rsidP="001A0C48">
      <w:pPr>
        <w:spacing w:after="0" w:line="240" w:lineRule="auto"/>
        <w:ind w:firstLine="540"/>
        <w:jc w:val="both"/>
        <w:rPr>
          <w:rStyle w:val="docheader"/>
          <w:rFonts w:ascii="Times New Roman" w:eastAsia="SimSun" w:hAnsi="Times New Roman"/>
          <w:bCs/>
          <w:sz w:val="28"/>
          <w:szCs w:val="28"/>
          <w:lang w:val="ro-RO"/>
        </w:rPr>
      </w:pPr>
    </w:p>
    <w:p w:rsidR="002902CF" w:rsidRPr="006E33BD" w:rsidRDefault="002902CF" w:rsidP="00A73F4D">
      <w:pPr>
        <w:spacing w:after="0" w:line="240" w:lineRule="auto"/>
        <w:jc w:val="both"/>
        <w:rPr>
          <w:rStyle w:val="docheader"/>
          <w:rFonts w:ascii="Times New Roman" w:eastAsia="SimSun" w:hAnsi="Times New Roman"/>
          <w:b/>
          <w:bCs/>
          <w:sz w:val="28"/>
          <w:szCs w:val="28"/>
          <w:lang w:val="ro-RO"/>
        </w:rPr>
      </w:pPr>
    </w:p>
    <w:p w:rsidR="003E67AC" w:rsidRPr="006E33BD" w:rsidRDefault="003E67AC" w:rsidP="003E67AC">
      <w:pPr>
        <w:spacing w:after="0" w:line="276" w:lineRule="auto"/>
        <w:rPr>
          <w:rFonts w:ascii="Times New Roman" w:hAnsi="Times New Roman" w:cs="Times New Roman"/>
          <w:b/>
          <w:sz w:val="28"/>
          <w:szCs w:val="28"/>
          <w:lang w:val="ro-MD"/>
        </w:rPr>
      </w:pPr>
      <w:r w:rsidRPr="006E33BD">
        <w:rPr>
          <w:rFonts w:ascii="Times New Roman" w:hAnsi="Times New Roman" w:cs="Times New Roman"/>
          <w:b/>
          <w:sz w:val="28"/>
          <w:szCs w:val="28"/>
          <w:lang w:val="ro-MD"/>
        </w:rPr>
        <w:t>PRIM – MINISTRU</w:t>
      </w:r>
      <w:r w:rsidRPr="006E33BD">
        <w:rPr>
          <w:rFonts w:ascii="Times New Roman" w:hAnsi="Times New Roman" w:cs="Times New Roman"/>
          <w:b/>
          <w:sz w:val="28"/>
          <w:szCs w:val="28"/>
          <w:lang w:val="ro-MD"/>
        </w:rPr>
        <w:tab/>
      </w:r>
      <w:r w:rsidRPr="006E33BD">
        <w:rPr>
          <w:rFonts w:ascii="Times New Roman" w:hAnsi="Times New Roman" w:cs="Times New Roman"/>
          <w:b/>
          <w:sz w:val="28"/>
          <w:szCs w:val="28"/>
          <w:lang w:val="ro-MD"/>
        </w:rPr>
        <w:tab/>
      </w:r>
      <w:r w:rsidRPr="006E33BD">
        <w:rPr>
          <w:rFonts w:ascii="Times New Roman" w:hAnsi="Times New Roman" w:cs="Times New Roman"/>
          <w:b/>
          <w:sz w:val="28"/>
          <w:szCs w:val="28"/>
          <w:lang w:val="ro-MD"/>
        </w:rPr>
        <w:tab/>
      </w:r>
      <w:r w:rsidRPr="006E33BD">
        <w:rPr>
          <w:rFonts w:ascii="Times New Roman" w:hAnsi="Times New Roman" w:cs="Times New Roman"/>
          <w:b/>
          <w:sz w:val="28"/>
          <w:szCs w:val="28"/>
          <w:lang w:val="ro-MD"/>
        </w:rPr>
        <w:tab/>
      </w:r>
      <w:r w:rsidRPr="006E33BD">
        <w:rPr>
          <w:rFonts w:ascii="Times New Roman" w:hAnsi="Times New Roman" w:cs="Times New Roman"/>
          <w:b/>
          <w:sz w:val="28"/>
          <w:szCs w:val="28"/>
          <w:lang w:val="ro-MD"/>
        </w:rPr>
        <w:tab/>
      </w:r>
      <w:r w:rsidR="00820B2A" w:rsidRPr="006E33BD">
        <w:rPr>
          <w:rFonts w:ascii="Times New Roman" w:hAnsi="Times New Roman" w:cs="Times New Roman"/>
          <w:b/>
          <w:sz w:val="28"/>
          <w:szCs w:val="28"/>
          <w:lang w:val="ro-MD"/>
        </w:rPr>
        <w:t>Ion CHICU</w:t>
      </w:r>
    </w:p>
    <w:p w:rsidR="003E67AC" w:rsidRPr="006E33BD" w:rsidRDefault="003E67AC" w:rsidP="003E67AC">
      <w:pPr>
        <w:spacing w:after="0" w:line="276" w:lineRule="auto"/>
        <w:rPr>
          <w:rFonts w:ascii="Times New Roman" w:hAnsi="Times New Roman" w:cs="Times New Roman"/>
          <w:sz w:val="28"/>
          <w:szCs w:val="28"/>
          <w:lang w:val="ro-MD"/>
        </w:rPr>
      </w:pPr>
    </w:p>
    <w:p w:rsidR="003E67AC" w:rsidRPr="006E33BD" w:rsidRDefault="003E67AC" w:rsidP="003E67AC">
      <w:pPr>
        <w:spacing w:after="0" w:line="276" w:lineRule="auto"/>
        <w:rPr>
          <w:rFonts w:ascii="Times New Roman" w:hAnsi="Times New Roman" w:cs="Times New Roman"/>
          <w:sz w:val="28"/>
          <w:szCs w:val="28"/>
          <w:lang w:val="ro-MD"/>
        </w:rPr>
      </w:pPr>
      <w:r w:rsidRPr="006E33BD">
        <w:rPr>
          <w:rFonts w:ascii="Times New Roman" w:hAnsi="Times New Roman" w:cs="Times New Roman"/>
          <w:sz w:val="28"/>
          <w:szCs w:val="28"/>
          <w:lang w:val="ro-MD"/>
        </w:rPr>
        <w:t>Contrasemnează:</w:t>
      </w:r>
    </w:p>
    <w:p w:rsidR="003E67AC" w:rsidRPr="006E33BD" w:rsidRDefault="003E67AC" w:rsidP="003E67AC">
      <w:pPr>
        <w:spacing w:after="0" w:line="276" w:lineRule="auto"/>
        <w:rPr>
          <w:rFonts w:ascii="Times New Roman" w:hAnsi="Times New Roman" w:cs="Times New Roman"/>
          <w:sz w:val="28"/>
          <w:szCs w:val="28"/>
          <w:lang w:val="ro-MD"/>
        </w:rPr>
      </w:pPr>
    </w:p>
    <w:p w:rsidR="003E67AC" w:rsidRPr="000E65BA" w:rsidRDefault="003E67AC" w:rsidP="003E67AC">
      <w:pPr>
        <w:spacing w:after="0" w:line="276" w:lineRule="auto"/>
        <w:rPr>
          <w:rFonts w:ascii="Times New Roman" w:eastAsia="Times New Roman" w:hAnsi="Times New Roman" w:cs="Times New Roman"/>
          <w:b/>
          <w:bCs/>
          <w:sz w:val="28"/>
          <w:szCs w:val="28"/>
          <w:lang w:val="ro-RO" w:eastAsia="ru-RU"/>
        </w:rPr>
      </w:pPr>
      <w:r w:rsidRPr="006E33BD">
        <w:rPr>
          <w:rFonts w:ascii="Times New Roman" w:hAnsi="Times New Roman" w:cs="Times New Roman"/>
          <w:b/>
          <w:sz w:val="28"/>
          <w:szCs w:val="28"/>
          <w:lang w:val="ro-MD"/>
        </w:rPr>
        <w:t xml:space="preserve">Ministrul economiei si infrastructurii </w:t>
      </w:r>
      <w:r w:rsidRPr="006E33BD">
        <w:rPr>
          <w:rFonts w:ascii="Times New Roman" w:hAnsi="Times New Roman" w:cs="Times New Roman"/>
          <w:b/>
          <w:sz w:val="28"/>
          <w:szCs w:val="28"/>
          <w:lang w:val="ro-MD"/>
        </w:rPr>
        <w:tab/>
      </w:r>
      <w:r w:rsidRPr="006E33BD">
        <w:rPr>
          <w:rFonts w:ascii="Times New Roman" w:hAnsi="Times New Roman" w:cs="Times New Roman"/>
          <w:b/>
          <w:sz w:val="28"/>
          <w:szCs w:val="28"/>
          <w:lang w:val="ro-MD"/>
        </w:rPr>
        <w:tab/>
      </w:r>
      <w:r w:rsidR="0006582D" w:rsidRPr="006E33BD">
        <w:rPr>
          <w:rFonts w:ascii="Times New Roman" w:hAnsi="Times New Roman" w:cs="Times New Roman"/>
          <w:b/>
          <w:sz w:val="28"/>
          <w:szCs w:val="28"/>
          <w:lang w:val="ro-MD"/>
        </w:rPr>
        <w:t>Anatol USATÎI</w:t>
      </w:r>
      <w:bookmarkStart w:id="0" w:name="_GoBack"/>
      <w:bookmarkEnd w:id="0"/>
    </w:p>
    <w:sectPr w:rsidR="003E67AC" w:rsidRPr="000E65BA" w:rsidSect="00CC350B">
      <w:pgSz w:w="11907" w:h="16840" w:code="9"/>
      <w:pgMar w:top="1260" w:right="747" w:bottom="810" w:left="1701" w:header="142"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23D" w:rsidRDefault="0065023D" w:rsidP="00736F61">
      <w:pPr>
        <w:spacing w:after="0" w:line="240" w:lineRule="auto"/>
      </w:pPr>
      <w:r>
        <w:separator/>
      </w:r>
    </w:p>
  </w:endnote>
  <w:endnote w:type="continuationSeparator" w:id="0">
    <w:p w:rsidR="0065023D" w:rsidRDefault="0065023D" w:rsidP="0073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23D" w:rsidRDefault="0065023D" w:rsidP="00736F61">
      <w:pPr>
        <w:spacing w:after="0" w:line="240" w:lineRule="auto"/>
      </w:pPr>
      <w:r>
        <w:separator/>
      </w:r>
    </w:p>
  </w:footnote>
  <w:footnote w:type="continuationSeparator" w:id="0">
    <w:p w:rsidR="0065023D" w:rsidRDefault="0065023D" w:rsidP="00736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06B9B"/>
    <w:multiLevelType w:val="hybridMultilevel"/>
    <w:tmpl w:val="C37E6794"/>
    <w:lvl w:ilvl="0" w:tplc="7990F45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nsid w:val="1A9B51C5"/>
    <w:multiLevelType w:val="hybridMultilevel"/>
    <w:tmpl w:val="579C7308"/>
    <w:lvl w:ilvl="0" w:tplc="06E2564E">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nsid w:val="22857C05"/>
    <w:multiLevelType w:val="hybridMultilevel"/>
    <w:tmpl w:val="4E6ABEA2"/>
    <w:lvl w:ilvl="0" w:tplc="0262E5AE">
      <w:start w:val="1"/>
      <w:numFmt w:val="decimal"/>
      <w:lvlText w:val="(%1)"/>
      <w:lvlJc w:val="left"/>
      <w:pPr>
        <w:ind w:left="810" w:hanging="360"/>
      </w:pPr>
      <w:rPr>
        <w:rFonts w:hint="default"/>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nsid w:val="27331959"/>
    <w:multiLevelType w:val="hybridMultilevel"/>
    <w:tmpl w:val="2DD003FE"/>
    <w:lvl w:ilvl="0" w:tplc="469EB1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E15126"/>
    <w:multiLevelType w:val="hybridMultilevel"/>
    <w:tmpl w:val="676C2308"/>
    <w:lvl w:ilvl="0" w:tplc="2FBA4B90">
      <w:start w:val="1"/>
      <w:numFmt w:val="decimal"/>
      <w:lvlText w:val="%1."/>
      <w:lvlJc w:val="left"/>
      <w:pPr>
        <w:ind w:left="720" w:hanging="360"/>
      </w:pPr>
      <w:rPr>
        <w:rFonts w:eastAsiaTheme="minorHAns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AAE58A2"/>
    <w:multiLevelType w:val="hybridMultilevel"/>
    <w:tmpl w:val="FABED6F4"/>
    <w:lvl w:ilvl="0" w:tplc="AF587098">
      <w:start w:val="13"/>
      <w:numFmt w:val="decimal"/>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
    <w:nsid w:val="7FB93187"/>
    <w:multiLevelType w:val="hybridMultilevel"/>
    <w:tmpl w:val="A5C89D3A"/>
    <w:lvl w:ilvl="0" w:tplc="65889EEE">
      <w:start w:val="1"/>
      <w:numFmt w:val="decimal"/>
      <w:lvlText w:val="(%1)"/>
      <w:lvlJc w:val="left"/>
      <w:pPr>
        <w:ind w:left="927" w:hanging="360"/>
      </w:pPr>
      <w:rPr>
        <w:rFonts w:eastAsia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00B51"/>
    <w:rsid w:val="00004905"/>
    <w:rsid w:val="000158AE"/>
    <w:rsid w:val="000173C1"/>
    <w:rsid w:val="00027584"/>
    <w:rsid w:val="00034F4A"/>
    <w:rsid w:val="00046AB8"/>
    <w:rsid w:val="00047C68"/>
    <w:rsid w:val="00061D86"/>
    <w:rsid w:val="0006582D"/>
    <w:rsid w:val="00065BA2"/>
    <w:rsid w:val="00072AEF"/>
    <w:rsid w:val="00073CFF"/>
    <w:rsid w:val="00094699"/>
    <w:rsid w:val="000A60F8"/>
    <w:rsid w:val="000B6B9D"/>
    <w:rsid w:val="000C3B4A"/>
    <w:rsid w:val="000E1673"/>
    <w:rsid w:val="000E65BA"/>
    <w:rsid w:val="000F58E4"/>
    <w:rsid w:val="000F790A"/>
    <w:rsid w:val="00103040"/>
    <w:rsid w:val="00113A10"/>
    <w:rsid w:val="0014208C"/>
    <w:rsid w:val="00142DFB"/>
    <w:rsid w:val="001439B4"/>
    <w:rsid w:val="00150BAD"/>
    <w:rsid w:val="00155750"/>
    <w:rsid w:val="0016086A"/>
    <w:rsid w:val="00161176"/>
    <w:rsid w:val="0016119E"/>
    <w:rsid w:val="00163D43"/>
    <w:rsid w:val="00171FFF"/>
    <w:rsid w:val="0018091B"/>
    <w:rsid w:val="00183539"/>
    <w:rsid w:val="001A0C48"/>
    <w:rsid w:val="001B4224"/>
    <w:rsid w:val="001D39D9"/>
    <w:rsid w:val="001D4823"/>
    <w:rsid w:val="001E3BFA"/>
    <w:rsid w:val="001E787A"/>
    <w:rsid w:val="001F2DCC"/>
    <w:rsid w:val="001F2EDD"/>
    <w:rsid w:val="001F3C0E"/>
    <w:rsid w:val="002029E3"/>
    <w:rsid w:val="00202DAE"/>
    <w:rsid w:val="00210888"/>
    <w:rsid w:val="00212AFA"/>
    <w:rsid w:val="00230AAD"/>
    <w:rsid w:val="00231DA2"/>
    <w:rsid w:val="00247BB6"/>
    <w:rsid w:val="00265093"/>
    <w:rsid w:val="0026509A"/>
    <w:rsid w:val="00270F7C"/>
    <w:rsid w:val="00271B3D"/>
    <w:rsid w:val="00271F9F"/>
    <w:rsid w:val="00287AC7"/>
    <w:rsid w:val="002902CF"/>
    <w:rsid w:val="002C003A"/>
    <w:rsid w:val="002F3FD3"/>
    <w:rsid w:val="00305248"/>
    <w:rsid w:val="00307792"/>
    <w:rsid w:val="00312684"/>
    <w:rsid w:val="00321C85"/>
    <w:rsid w:val="00346C8B"/>
    <w:rsid w:val="00355A73"/>
    <w:rsid w:val="0036456A"/>
    <w:rsid w:val="00366998"/>
    <w:rsid w:val="00366B37"/>
    <w:rsid w:val="00367DF6"/>
    <w:rsid w:val="0038659D"/>
    <w:rsid w:val="00386B78"/>
    <w:rsid w:val="003A214C"/>
    <w:rsid w:val="003C2E87"/>
    <w:rsid w:val="003C40E3"/>
    <w:rsid w:val="003C47D6"/>
    <w:rsid w:val="003C6B52"/>
    <w:rsid w:val="003D16DD"/>
    <w:rsid w:val="003D769E"/>
    <w:rsid w:val="003E67AC"/>
    <w:rsid w:val="003F1F79"/>
    <w:rsid w:val="003F7B65"/>
    <w:rsid w:val="0040121F"/>
    <w:rsid w:val="00402173"/>
    <w:rsid w:val="00422F4F"/>
    <w:rsid w:val="00427F68"/>
    <w:rsid w:val="0044007E"/>
    <w:rsid w:val="00444696"/>
    <w:rsid w:val="00451B8F"/>
    <w:rsid w:val="00456CDA"/>
    <w:rsid w:val="00457A18"/>
    <w:rsid w:val="00474266"/>
    <w:rsid w:val="00493D7B"/>
    <w:rsid w:val="0049589E"/>
    <w:rsid w:val="00497586"/>
    <w:rsid w:val="004A31F4"/>
    <w:rsid w:val="004A588E"/>
    <w:rsid w:val="004B0FDE"/>
    <w:rsid w:val="004E1C51"/>
    <w:rsid w:val="004E2221"/>
    <w:rsid w:val="005013ED"/>
    <w:rsid w:val="0051320F"/>
    <w:rsid w:val="0051329E"/>
    <w:rsid w:val="0051352C"/>
    <w:rsid w:val="00537448"/>
    <w:rsid w:val="005379FC"/>
    <w:rsid w:val="005425DE"/>
    <w:rsid w:val="00560007"/>
    <w:rsid w:val="0056046C"/>
    <w:rsid w:val="0056311E"/>
    <w:rsid w:val="00563D90"/>
    <w:rsid w:val="00565A48"/>
    <w:rsid w:val="0056658F"/>
    <w:rsid w:val="00576A90"/>
    <w:rsid w:val="00585757"/>
    <w:rsid w:val="00594C20"/>
    <w:rsid w:val="005A2A86"/>
    <w:rsid w:val="005A3BC6"/>
    <w:rsid w:val="005B10F8"/>
    <w:rsid w:val="005B3D01"/>
    <w:rsid w:val="005B4391"/>
    <w:rsid w:val="005B7822"/>
    <w:rsid w:val="005D1288"/>
    <w:rsid w:val="005E1FA7"/>
    <w:rsid w:val="005F1522"/>
    <w:rsid w:val="005F1790"/>
    <w:rsid w:val="00601CD0"/>
    <w:rsid w:val="00612142"/>
    <w:rsid w:val="0061252A"/>
    <w:rsid w:val="00614592"/>
    <w:rsid w:val="00626C82"/>
    <w:rsid w:val="00642714"/>
    <w:rsid w:val="0065023D"/>
    <w:rsid w:val="0065357A"/>
    <w:rsid w:val="0066099D"/>
    <w:rsid w:val="006725E6"/>
    <w:rsid w:val="00674F5E"/>
    <w:rsid w:val="00675317"/>
    <w:rsid w:val="00683196"/>
    <w:rsid w:val="00690AC2"/>
    <w:rsid w:val="006967D3"/>
    <w:rsid w:val="00697E18"/>
    <w:rsid w:val="006A2DA5"/>
    <w:rsid w:val="006A3FE1"/>
    <w:rsid w:val="006A68FE"/>
    <w:rsid w:val="006A6B4F"/>
    <w:rsid w:val="006B7E50"/>
    <w:rsid w:val="006E33BD"/>
    <w:rsid w:val="006F0482"/>
    <w:rsid w:val="006F36E4"/>
    <w:rsid w:val="006F42AB"/>
    <w:rsid w:val="006F6467"/>
    <w:rsid w:val="0070002E"/>
    <w:rsid w:val="00700E74"/>
    <w:rsid w:val="00720B57"/>
    <w:rsid w:val="007229AA"/>
    <w:rsid w:val="0073084F"/>
    <w:rsid w:val="00730E93"/>
    <w:rsid w:val="00736F61"/>
    <w:rsid w:val="00761E9F"/>
    <w:rsid w:val="007632D9"/>
    <w:rsid w:val="00767A59"/>
    <w:rsid w:val="007716D4"/>
    <w:rsid w:val="00782605"/>
    <w:rsid w:val="00791839"/>
    <w:rsid w:val="007A4666"/>
    <w:rsid w:val="007B5B76"/>
    <w:rsid w:val="007B7D48"/>
    <w:rsid w:val="007C0EF0"/>
    <w:rsid w:val="007C7B62"/>
    <w:rsid w:val="007F1047"/>
    <w:rsid w:val="007F1890"/>
    <w:rsid w:val="007F5B94"/>
    <w:rsid w:val="008072F6"/>
    <w:rsid w:val="00813AEB"/>
    <w:rsid w:val="00820B2A"/>
    <w:rsid w:val="008433B7"/>
    <w:rsid w:val="008452E6"/>
    <w:rsid w:val="00845887"/>
    <w:rsid w:val="00846A37"/>
    <w:rsid w:val="008522B5"/>
    <w:rsid w:val="0085605F"/>
    <w:rsid w:val="008627FD"/>
    <w:rsid w:val="00867258"/>
    <w:rsid w:val="00870B64"/>
    <w:rsid w:val="00872FE1"/>
    <w:rsid w:val="00885FA9"/>
    <w:rsid w:val="008871EB"/>
    <w:rsid w:val="008878C5"/>
    <w:rsid w:val="00895356"/>
    <w:rsid w:val="008A5C8E"/>
    <w:rsid w:val="008B1F04"/>
    <w:rsid w:val="008B6155"/>
    <w:rsid w:val="008C34B7"/>
    <w:rsid w:val="008D482A"/>
    <w:rsid w:val="008E53A2"/>
    <w:rsid w:val="008F1087"/>
    <w:rsid w:val="00903019"/>
    <w:rsid w:val="0090450E"/>
    <w:rsid w:val="00922700"/>
    <w:rsid w:val="009233B1"/>
    <w:rsid w:val="00923C96"/>
    <w:rsid w:val="009249E4"/>
    <w:rsid w:val="00942156"/>
    <w:rsid w:val="00943EFD"/>
    <w:rsid w:val="0094523D"/>
    <w:rsid w:val="00954A76"/>
    <w:rsid w:val="009646DD"/>
    <w:rsid w:val="00994D08"/>
    <w:rsid w:val="00995EC2"/>
    <w:rsid w:val="00996D98"/>
    <w:rsid w:val="0099773C"/>
    <w:rsid w:val="0099785A"/>
    <w:rsid w:val="009A7C47"/>
    <w:rsid w:val="009C3334"/>
    <w:rsid w:val="009C4008"/>
    <w:rsid w:val="009E13ED"/>
    <w:rsid w:val="009E1B81"/>
    <w:rsid w:val="009F19D1"/>
    <w:rsid w:val="00A0786C"/>
    <w:rsid w:val="00A17A94"/>
    <w:rsid w:val="00A21165"/>
    <w:rsid w:val="00A3184A"/>
    <w:rsid w:val="00A351DA"/>
    <w:rsid w:val="00A400B5"/>
    <w:rsid w:val="00A420C6"/>
    <w:rsid w:val="00A57D45"/>
    <w:rsid w:val="00A61C17"/>
    <w:rsid w:val="00A62F93"/>
    <w:rsid w:val="00A6532E"/>
    <w:rsid w:val="00A65875"/>
    <w:rsid w:val="00A73E35"/>
    <w:rsid w:val="00A73F4D"/>
    <w:rsid w:val="00A82B10"/>
    <w:rsid w:val="00A93BA7"/>
    <w:rsid w:val="00A95F20"/>
    <w:rsid w:val="00A9699C"/>
    <w:rsid w:val="00AA0259"/>
    <w:rsid w:val="00AC15E7"/>
    <w:rsid w:val="00AD50CE"/>
    <w:rsid w:val="00AF197B"/>
    <w:rsid w:val="00AF7968"/>
    <w:rsid w:val="00B0091E"/>
    <w:rsid w:val="00B045D9"/>
    <w:rsid w:val="00B31488"/>
    <w:rsid w:val="00B33231"/>
    <w:rsid w:val="00B475A0"/>
    <w:rsid w:val="00B50D64"/>
    <w:rsid w:val="00B51D02"/>
    <w:rsid w:val="00B56B3B"/>
    <w:rsid w:val="00B676A4"/>
    <w:rsid w:val="00B74F4F"/>
    <w:rsid w:val="00B77134"/>
    <w:rsid w:val="00B839BE"/>
    <w:rsid w:val="00B84687"/>
    <w:rsid w:val="00B85869"/>
    <w:rsid w:val="00B950EF"/>
    <w:rsid w:val="00B96881"/>
    <w:rsid w:val="00BA3F6D"/>
    <w:rsid w:val="00BA5805"/>
    <w:rsid w:val="00BB1BFB"/>
    <w:rsid w:val="00BC40B5"/>
    <w:rsid w:val="00BE0333"/>
    <w:rsid w:val="00BF3B4C"/>
    <w:rsid w:val="00BF60B9"/>
    <w:rsid w:val="00C279EC"/>
    <w:rsid w:val="00C565BB"/>
    <w:rsid w:val="00C66FDD"/>
    <w:rsid w:val="00C70FB4"/>
    <w:rsid w:val="00C71ECE"/>
    <w:rsid w:val="00C808AA"/>
    <w:rsid w:val="00C83AF1"/>
    <w:rsid w:val="00C84BC4"/>
    <w:rsid w:val="00C8568F"/>
    <w:rsid w:val="00C87642"/>
    <w:rsid w:val="00CA3203"/>
    <w:rsid w:val="00CA4383"/>
    <w:rsid w:val="00CC052D"/>
    <w:rsid w:val="00CC350B"/>
    <w:rsid w:val="00CC380B"/>
    <w:rsid w:val="00CD0C94"/>
    <w:rsid w:val="00CD7403"/>
    <w:rsid w:val="00CE1D4F"/>
    <w:rsid w:val="00CE4401"/>
    <w:rsid w:val="00CE5F32"/>
    <w:rsid w:val="00CF4D96"/>
    <w:rsid w:val="00CF73F0"/>
    <w:rsid w:val="00D10925"/>
    <w:rsid w:val="00D2675D"/>
    <w:rsid w:val="00D32E22"/>
    <w:rsid w:val="00D3501B"/>
    <w:rsid w:val="00D363A8"/>
    <w:rsid w:val="00D40CC5"/>
    <w:rsid w:val="00D417E0"/>
    <w:rsid w:val="00D43F94"/>
    <w:rsid w:val="00D5080D"/>
    <w:rsid w:val="00D673B9"/>
    <w:rsid w:val="00D67C1F"/>
    <w:rsid w:val="00D769F9"/>
    <w:rsid w:val="00D80A5B"/>
    <w:rsid w:val="00D903F8"/>
    <w:rsid w:val="00D93453"/>
    <w:rsid w:val="00D95824"/>
    <w:rsid w:val="00DA09DA"/>
    <w:rsid w:val="00DB2E42"/>
    <w:rsid w:val="00DC391E"/>
    <w:rsid w:val="00DC4AFB"/>
    <w:rsid w:val="00DD10FA"/>
    <w:rsid w:val="00DD798F"/>
    <w:rsid w:val="00DE2104"/>
    <w:rsid w:val="00DE3DF3"/>
    <w:rsid w:val="00DE7963"/>
    <w:rsid w:val="00E01799"/>
    <w:rsid w:val="00E051A9"/>
    <w:rsid w:val="00E22FF1"/>
    <w:rsid w:val="00E31177"/>
    <w:rsid w:val="00E41BFF"/>
    <w:rsid w:val="00E47A7A"/>
    <w:rsid w:val="00E6064C"/>
    <w:rsid w:val="00E66A3E"/>
    <w:rsid w:val="00E6738F"/>
    <w:rsid w:val="00E82CDD"/>
    <w:rsid w:val="00E856DE"/>
    <w:rsid w:val="00E857AA"/>
    <w:rsid w:val="00EA3008"/>
    <w:rsid w:val="00EA7A7C"/>
    <w:rsid w:val="00EB19D6"/>
    <w:rsid w:val="00EC1A01"/>
    <w:rsid w:val="00EC2C16"/>
    <w:rsid w:val="00ED6195"/>
    <w:rsid w:val="00ED6C0B"/>
    <w:rsid w:val="00EE3852"/>
    <w:rsid w:val="00F0440E"/>
    <w:rsid w:val="00F1017E"/>
    <w:rsid w:val="00F17536"/>
    <w:rsid w:val="00F30CFF"/>
    <w:rsid w:val="00F330AA"/>
    <w:rsid w:val="00F41F40"/>
    <w:rsid w:val="00F47B1C"/>
    <w:rsid w:val="00F64076"/>
    <w:rsid w:val="00F728BB"/>
    <w:rsid w:val="00F74C00"/>
    <w:rsid w:val="00F76A44"/>
    <w:rsid w:val="00F81B1D"/>
    <w:rsid w:val="00F90592"/>
    <w:rsid w:val="00F9303A"/>
    <w:rsid w:val="00F930D5"/>
    <w:rsid w:val="00F965B1"/>
    <w:rsid w:val="00FA4AC4"/>
    <w:rsid w:val="00FA6F0E"/>
    <w:rsid w:val="00FB3000"/>
    <w:rsid w:val="00FD1AA4"/>
    <w:rsid w:val="00FD4C28"/>
    <w:rsid w:val="00FE1666"/>
    <w:rsid w:val="00FE591B"/>
    <w:rsid w:val="00FE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93C1B3-41B9-40D5-9A30-BE937745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71F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semiHidden/>
    <w:unhideWhenUsed/>
    <w:rsid w:val="00736F61"/>
    <w:rPr>
      <w:sz w:val="16"/>
      <w:szCs w:val="16"/>
    </w:rPr>
  </w:style>
  <w:style w:type="paragraph" w:styleId="CommentText">
    <w:name w:val="annotation text"/>
    <w:basedOn w:val="Normal"/>
    <w:link w:val="CommentTextChar"/>
    <w:uiPriority w:val="99"/>
    <w:semiHidden/>
    <w:unhideWhenUsed/>
    <w:rsid w:val="00736F61"/>
    <w:pPr>
      <w:spacing w:line="240" w:lineRule="auto"/>
    </w:pPr>
    <w:rPr>
      <w:sz w:val="20"/>
      <w:szCs w:val="20"/>
    </w:rPr>
  </w:style>
  <w:style w:type="character" w:customStyle="1" w:styleId="CommentTextChar">
    <w:name w:val="Comment Text Char"/>
    <w:basedOn w:val="DefaultParagraphFont"/>
    <w:link w:val="CommentText"/>
    <w:uiPriority w:val="99"/>
    <w:semiHidden/>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39"/>
    <w:rsid w:val="00B3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qFormat/>
    <w:rsid w:val="00366B37"/>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Heading2Char">
    <w:name w:val="Heading 2 Char"/>
    <w:basedOn w:val="DefaultParagraphFont"/>
    <w:link w:val="Heading2"/>
    <w:uiPriority w:val="9"/>
    <w:semiHidden/>
    <w:rsid w:val="00171FF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71FFF"/>
    <w:rPr>
      <w:b/>
      <w:bCs/>
    </w:rPr>
  </w:style>
  <w:style w:type="paragraph" w:customStyle="1" w:styleId="CharChar">
    <w:name w:val="Знак Char Char"/>
    <w:basedOn w:val="Normal"/>
    <w:rsid w:val="00171FFF"/>
    <w:pPr>
      <w:spacing w:line="240" w:lineRule="exact"/>
    </w:pPr>
    <w:rPr>
      <w:rFonts w:ascii="Arial" w:eastAsia="Batang" w:hAnsi="Arial" w:cs="Arial"/>
      <w:sz w:val="20"/>
      <w:szCs w:val="20"/>
    </w:rPr>
  </w:style>
  <w:style w:type="paragraph" w:styleId="NoSpacing">
    <w:name w:val="No Spacing"/>
    <w:uiPriority w:val="1"/>
    <w:qFormat/>
    <w:rsid w:val="00730E93"/>
    <w:pPr>
      <w:spacing w:after="0" w:line="240" w:lineRule="auto"/>
    </w:pPr>
  </w:style>
  <w:style w:type="paragraph" w:styleId="NormalWeb">
    <w:name w:val="Normal (Web)"/>
    <w:aliases w:val="Знак"/>
    <w:basedOn w:val="Normal"/>
    <w:link w:val="NormalWebChar"/>
    <w:uiPriority w:val="99"/>
    <w:rsid w:val="003E67AC"/>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NormalWebChar">
    <w:name w:val="Normal (Web) Char"/>
    <w:aliases w:val="Знак Char"/>
    <w:link w:val="NormalWeb"/>
    <w:uiPriority w:val="99"/>
    <w:locked/>
    <w:rsid w:val="003E67AC"/>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F81B1D"/>
    <w:pPr>
      <w:ind w:left="720"/>
      <w:contextualSpacing/>
    </w:pPr>
  </w:style>
  <w:style w:type="paragraph" w:customStyle="1" w:styleId="Default">
    <w:name w:val="Default"/>
    <w:rsid w:val="005425DE"/>
    <w:pPr>
      <w:autoSpaceDE w:val="0"/>
      <w:autoSpaceDN w:val="0"/>
      <w:adjustRightInd w:val="0"/>
      <w:spacing w:after="0" w:line="240" w:lineRule="auto"/>
    </w:pPr>
    <w:rPr>
      <w:rFonts w:ascii="Arial" w:hAnsi="Arial" w:cs="Arial"/>
      <w:color w:val="000000"/>
      <w:sz w:val="24"/>
      <w:szCs w:val="24"/>
      <w:lang w:val="en-GB"/>
    </w:rPr>
  </w:style>
  <w:style w:type="paragraph" w:customStyle="1" w:styleId="lf">
    <w:name w:val="lf"/>
    <w:basedOn w:val="Normal"/>
    <w:rsid w:val="00287AC7"/>
    <w:pPr>
      <w:spacing w:after="0" w:line="240" w:lineRule="auto"/>
    </w:pPr>
    <w:rPr>
      <w:rFonts w:ascii="Times New Roman" w:eastAsiaTheme="minorEastAsia" w:hAnsi="Times New Roman" w:cs="Times New Roman"/>
      <w:sz w:val="24"/>
      <w:szCs w:val="24"/>
    </w:rPr>
  </w:style>
  <w:style w:type="character" w:customStyle="1" w:styleId="docheader">
    <w:name w:val="doc_header"/>
    <w:rsid w:val="00B50D64"/>
    <w:rPr>
      <w:rFonts w:cs="Times New Roman"/>
    </w:rPr>
  </w:style>
  <w:style w:type="numbering" w:customStyle="1" w:styleId="NoList1">
    <w:name w:val="No List1"/>
    <w:next w:val="NoList"/>
    <w:uiPriority w:val="99"/>
    <w:semiHidden/>
    <w:unhideWhenUsed/>
    <w:rsid w:val="00626C82"/>
  </w:style>
  <w:style w:type="paragraph" w:customStyle="1" w:styleId="pb">
    <w:name w:val="pb"/>
    <w:basedOn w:val="Normal"/>
    <w:rsid w:val="00626C82"/>
    <w:pPr>
      <w:spacing w:after="0" w:line="240" w:lineRule="auto"/>
      <w:jc w:val="center"/>
    </w:pPr>
    <w:rPr>
      <w:rFonts w:ascii="Times New Roman" w:eastAsia="Times New Roman" w:hAnsi="Times New Roman" w:cs="Times New Roman"/>
      <w:i/>
      <w:iCs/>
      <w:color w:val="663300"/>
      <w:sz w:val="20"/>
      <w:szCs w:val="20"/>
      <w:lang w:val="en-GB" w:eastAsia="en-GB"/>
    </w:rPr>
  </w:style>
  <w:style w:type="paragraph" w:customStyle="1" w:styleId="cu">
    <w:name w:val="cu"/>
    <w:basedOn w:val="Normal"/>
    <w:rsid w:val="00626C82"/>
    <w:pPr>
      <w:spacing w:before="45" w:after="0" w:line="240" w:lineRule="auto"/>
      <w:ind w:left="1134" w:right="567" w:hanging="567"/>
      <w:jc w:val="both"/>
    </w:pPr>
    <w:rPr>
      <w:rFonts w:ascii="Times New Roman" w:eastAsia="Times New Roman" w:hAnsi="Times New Roman" w:cs="Times New Roman"/>
      <w:sz w:val="20"/>
      <w:szCs w:val="20"/>
      <w:lang w:val="en-GB" w:eastAsia="en-GB"/>
    </w:rPr>
  </w:style>
  <w:style w:type="paragraph" w:customStyle="1" w:styleId="cut">
    <w:name w:val="cut"/>
    <w:basedOn w:val="Normal"/>
    <w:rsid w:val="00626C82"/>
    <w:pPr>
      <w:spacing w:after="0" w:line="240" w:lineRule="auto"/>
      <w:ind w:left="567" w:right="567" w:firstLine="567"/>
      <w:jc w:val="center"/>
    </w:pPr>
    <w:rPr>
      <w:rFonts w:ascii="Times New Roman" w:eastAsia="Times New Roman" w:hAnsi="Times New Roman" w:cs="Times New Roman"/>
      <w:b/>
      <w:bCs/>
      <w:sz w:val="20"/>
      <w:szCs w:val="20"/>
      <w:lang w:val="en-GB" w:eastAsia="en-GB"/>
    </w:rPr>
  </w:style>
  <w:style w:type="paragraph" w:customStyle="1" w:styleId="cp">
    <w:name w:val="cp"/>
    <w:basedOn w:val="Normal"/>
    <w:rsid w:val="00626C82"/>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nt">
    <w:name w:val="nt"/>
    <w:basedOn w:val="Normal"/>
    <w:rsid w:val="00626C82"/>
    <w:pPr>
      <w:spacing w:after="0" w:line="240" w:lineRule="auto"/>
      <w:ind w:left="567" w:right="567" w:hanging="567"/>
      <w:jc w:val="both"/>
    </w:pPr>
    <w:rPr>
      <w:rFonts w:ascii="Times New Roman" w:eastAsia="Times New Roman" w:hAnsi="Times New Roman" w:cs="Times New Roman"/>
      <w:i/>
      <w:iCs/>
      <w:color w:val="663300"/>
      <w:sz w:val="20"/>
      <w:szCs w:val="20"/>
      <w:lang w:val="en-GB" w:eastAsia="en-GB"/>
    </w:rPr>
  </w:style>
  <w:style w:type="paragraph" w:customStyle="1" w:styleId="md">
    <w:name w:val="md"/>
    <w:basedOn w:val="Normal"/>
    <w:rsid w:val="00626C82"/>
    <w:pPr>
      <w:spacing w:after="0" w:line="240" w:lineRule="auto"/>
      <w:ind w:firstLine="567"/>
      <w:jc w:val="both"/>
    </w:pPr>
    <w:rPr>
      <w:rFonts w:ascii="Times New Roman" w:eastAsia="Times New Roman" w:hAnsi="Times New Roman" w:cs="Times New Roman"/>
      <w:i/>
      <w:iCs/>
      <w:color w:val="663300"/>
      <w:sz w:val="20"/>
      <w:szCs w:val="20"/>
      <w:lang w:val="en-GB" w:eastAsia="en-GB"/>
    </w:rPr>
  </w:style>
  <w:style w:type="paragraph" w:customStyle="1" w:styleId="cn">
    <w:name w:val="cn"/>
    <w:basedOn w:val="Normal"/>
    <w:rsid w:val="00626C82"/>
    <w:pPr>
      <w:spacing w:after="0" w:line="240" w:lineRule="auto"/>
      <w:jc w:val="center"/>
    </w:pPr>
    <w:rPr>
      <w:rFonts w:ascii="Times New Roman" w:eastAsia="Times New Roman" w:hAnsi="Times New Roman" w:cs="Times New Roman"/>
      <w:sz w:val="24"/>
      <w:szCs w:val="24"/>
      <w:lang w:val="en-GB" w:eastAsia="en-GB"/>
    </w:rPr>
  </w:style>
  <w:style w:type="paragraph" w:customStyle="1" w:styleId="cb">
    <w:name w:val="cb"/>
    <w:basedOn w:val="Normal"/>
    <w:rsid w:val="00626C82"/>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rg">
    <w:name w:val="rg"/>
    <w:basedOn w:val="Normal"/>
    <w:rsid w:val="00626C82"/>
    <w:pPr>
      <w:spacing w:after="0" w:line="240" w:lineRule="auto"/>
      <w:jc w:val="right"/>
    </w:pPr>
    <w:rPr>
      <w:rFonts w:ascii="Times New Roman" w:eastAsia="Times New Roman" w:hAnsi="Times New Roman" w:cs="Times New Roman"/>
      <w:sz w:val="24"/>
      <w:szCs w:val="24"/>
      <w:lang w:val="en-GB" w:eastAsia="en-GB"/>
    </w:rPr>
  </w:style>
  <w:style w:type="paragraph" w:customStyle="1" w:styleId="js">
    <w:name w:val="js"/>
    <w:basedOn w:val="Normal"/>
    <w:rsid w:val="00626C82"/>
    <w:pPr>
      <w:spacing w:after="0" w:line="240" w:lineRule="auto"/>
      <w:jc w:val="both"/>
    </w:pPr>
    <w:rPr>
      <w:rFonts w:ascii="Times New Roman" w:eastAsia="Times New Roman" w:hAnsi="Times New Roman" w:cs="Times New Roman"/>
      <w:sz w:val="24"/>
      <w:szCs w:val="24"/>
      <w:lang w:val="en-GB" w:eastAsia="en-GB"/>
    </w:rPr>
  </w:style>
  <w:style w:type="paragraph" w:customStyle="1" w:styleId="forma">
    <w:name w:val="forma"/>
    <w:basedOn w:val="Normal"/>
    <w:rsid w:val="00626C82"/>
    <w:pPr>
      <w:spacing w:after="0" w:line="240" w:lineRule="auto"/>
      <w:ind w:firstLine="567"/>
      <w:jc w:val="both"/>
    </w:pPr>
    <w:rPr>
      <w:rFonts w:ascii="Arial" w:eastAsia="Times New Roman" w:hAnsi="Arial" w:cs="Arial"/>
      <w:sz w:val="20"/>
      <w:szCs w:val="20"/>
      <w:lang w:val="en-GB" w:eastAsia="en-GB"/>
    </w:rPr>
  </w:style>
  <w:style w:type="paragraph" w:customStyle="1" w:styleId="sm">
    <w:name w:val="sm"/>
    <w:basedOn w:val="Normal"/>
    <w:rsid w:val="00626C82"/>
    <w:pPr>
      <w:spacing w:before="240" w:after="0" w:line="240" w:lineRule="auto"/>
      <w:ind w:left="567" w:firstLine="567"/>
    </w:pPr>
    <w:rPr>
      <w:rFonts w:ascii="Times New Roman" w:eastAsia="Times New Roman" w:hAnsi="Times New Roman" w:cs="Times New Roman"/>
      <w:b/>
      <w:bCs/>
      <w:sz w:val="24"/>
      <w:szCs w:val="24"/>
      <w:lang w:val="en-GB" w:eastAsia="en-GB"/>
    </w:rPr>
  </w:style>
  <w:style w:type="paragraph" w:customStyle="1" w:styleId="smfunctia">
    <w:name w:val="sm_functia"/>
    <w:basedOn w:val="Normal"/>
    <w:rsid w:val="00626C82"/>
    <w:pPr>
      <w:spacing w:after="0" w:line="240" w:lineRule="auto"/>
      <w:ind w:firstLine="567"/>
      <w:jc w:val="both"/>
    </w:pPr>
    <w:rPr>
      <w:rFonts w:ascii="Times New Roman" w:eastAsia="Times New Roman" w:hAnsi="Times New Roman" w:cs="Times New Roman"/>
      <w:sz w:val="24"/>
      <w:szCs w:val="24"/>
      <w:lang w:val="en-GB" w:eastAsia="en-GB"/>
    </w:rPr>
  </w:style>
  <w:style w:type="paragraph" w:customStyle="1" w:styleId="smdata">
    <w:name w:val="sm_data"/>
    <w:basedOn w:val="Normal"/>
    <w:rsid w:val="00626C82"/>
    <w:pPr>
      <w:spacing w:after="0" w:line="240" w:lineRule="auto"/>
      <w:ind w:firstLine="567"/>
      <w:jc w:val="both"/>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626C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4759">
      <w:bodyDiv w:val="1"/>
      <w:marLeft w:val="0"/>
      <w:marRight w:val="0"/>
      <w:marTop w:val="0"/>
      <w:marBottom w:val="0"/>
      <w:divBdr>
        <w:top w:val="none" w:sz="0" w:space="0" w:color="auto"/>
        <w:left w:val="none" w:sz="0" w:space="0" w:color="auto"/>
        <w:bottom w:val="none" w:sz="0" w:space="0" w:color="auto"/>
        <w:right w:val="none" w:sz="0" w:space="0" w:color="auto"/>
      </w:divBdr>
    </w:div>
    <w:div w:id="295837036">
      <w:bodyDiv w:val="1"/>
      <w:marLeft w:val="0"/>
      <w:marRight w:val="0"/>
      <w:marTop w:val="0"/>
      <w:marBottom w:val="0"/>
      <w:divBdr>
        <w:top w:val="none" w:sz="0" w:space="0" w:color="auto"/>
        <w:left w:val="none" w:sz="0" w:space="0" w:color="auto"/>
        <w:bottom w:val="none" w:sz="0" w:space="0" w:color="auto"/>
        <w:right w:val="none" w:sz="0" w:space="0" w:color="auto"/>
      </w:divBdr>
    </w:div>
    <w:div w:id="838228831">
      <w:bodyDiv w:val="1"/>
      <w:marLeft w:val="0"/>
      <w:marRight w:val="0"/>
      <w:marTop w:val="0"/>
      <w:marBottom w:val="0"/>
      <w:divBdr>
        <w:top w:val="none" w:sz="0" w:space="0" w:color="auto"/>
        <w:left w:val="none" w:sz="0" w:space="0" w:color="auto"/>
        <w:bottom w:val="none" w:sz="0" w:space="0" w:color="auto"/>
        <w:right w:val="none" w:sz="0" w:space="0" w:color="auto"/>
      </w:divBdr>
    </w:div>
    <w:div w:id="886112861">
      <w:bodyDiv w:val="1"/>
      <w:marLeft w:val="0"/>
      <w:marRight w:val="0"/>
      <w:marTop w:val="0"/>
      <w:marBottom w:val="0"/>
      <w:divBdr>
        <w:top w:val="none" w:sz="0" w:space="0" w:color="auto"/>
        <w:left w:val="none" w:sz="0" w:space="0" w:color="auto"/>
        <w:bottom w:val="none" w:sz="0" w:space="0" w:color="auto"/>
        <w:right w:val="none" w:sz="0" w:space="0" w:color="auto"/>
      </w:divBdr>
    </w:div>
    <w:div w:id="910190426">
      <w:bodyDiv w:val="1"/>
      <w:marLeft w:val="0"/>
      <w:marRight w:val="0"/>
      <w:marTop w:val="0"/>
      <w:marBottom w:val="0"/>
      <w:divBdr>
        <w:top w:val="none" w:sz="0" w:space="0" w:color="auto"/>
        <w:left w:val="none" w:sz="0" w:space="0" w:color="auto"/>
        <w:bottom w:val="none" w:sz="0" w:space="0" w:color="auto"/>
        <w:right w:val="none" w:sz="0" w:space="0" w:color="auto"/>
      </w:divBdr>
    </w:div>
    <w:div w:id="939217389">
      <w:bodyDiv w:val="1"/>
      <w:marLeft w:val="0"/>
      <w:marRight w:val="0"/>
      <w:marTop w:val="0"/>
      <w:marBottom w:val="0"/>
      <w:divBdr>
        <w:top w:val="none" w:sz="0" w:space="0" w:color="auto"/>
        <w:left w:val="none" w:sz="0" w:space="0" w:color="auto"/>
        <w:bottom w:val="none" w:sz="0" w:space="0" w:color="auto"/>
        <w:right w:val="none" w:sz="0" w:space="0" w:color="auto"/>
      </w:divBdr>
    </w:div>
    <w:div w:id="1014648305">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371607994">
      <w:bodyDiv w:val="1"/>
      <w:marLeft w:val="0"/>
      <w:marRight w:val="0"/>
      <w:marTop w:val="0"/>
      <w:marBottom w:val="0"/>
      <w:divBdr>
        <w:top w:val="none" w:sz="0" w:space="0" w:color="auto"/>
        <w:left w:val="none" w:sz="0" w:space="0" w:color="auto"/>
        <w:bottom w:val="none" w:sz="0" w:space="0" w:color="auto"/>
        <w:right w:val="none" w:sz="0" w:space="0" w:color="auto"/>
      </w:divBdr>
    </w:div>
    <w:div w:id="1431467625">
      <w:bodyDiv w:val="1"/>
      <w:marLeft w:val="0"/>
      <w:marRight w:val="0"/>
      <w:marTop w:val="0"/>
      <w:marBottom w:val="0"/>
      <w:divBdr>
        <w:top w:val="none" w:sz="0" w:space="0" w:color="auto"/>
        <w:left w:val="none" w:sz="0" w:space="0" w:color="auto"/>
        <w:bottom w:val="none" w:sz="0" w:space="0" w:color="auto"/>
        <w:right w:val="none" w:sz="0" w:space="0" w:color="auto"/>
      </w:divBdr>
    </w:div>
    <w:div w:id="1467048631">
      <w:bodyDiv w:val="1"/>
      <w:marLeft w:val="0"/>
      <w:marRight w:val="0"/>
      <w:marTop w:val="0"/>
      <w:marBottom w:val="0"/>
      <w:divBdr>
        <w:top w:val="none" w:sz="0" w:space="0" w:color="auto"/>
        <w:left w:val="none" w:sz="0" w:space="0" w:color="auto"/>
        <w:bottom w:val="none" w:sz="0" w:space="0" w:color="auto"/>
        <w:right w:val="none" w:sz="0" w:space="0" w:color="auto"/>
      </w:divBdr>
    </w:div>
    <w:div w:id="1495955548">
      <w:bodyDiv w:val="1"/>
      <w:marLeft w:val="0"/>
      <w:marRight w:val="0"/>
      <w:marTop w:val="0"/>
      <w:marBottom w:val="0"/>
      <w:divBdr>
        <w:top w:val="none" w:sz="0" w:space="0" w:color="auto"/>
        <w:left w:val="none" w:sz="0" w:space="0" w:color="auto"/>
        <w:bottom w:val="none" w:sz="0" w:space="0" w:color="auto"/>
        <w:right w:val="none" w:sz="0" w:space="0" w:color="auto"/>
      </w:divBdr>
    </w:div>
    <w:div w:id="1745760928">
      <w:bodyDiv w:val="1"/>
      <w:marLeft w:val="0"/>
      <w:marRight w:val="0"/>
      <w:marTop w:val="0"/>
      <w:marBottom w:val="0"/>
      <w:divBdr>
        <w:top w:val="none" w:sz="0" w:space="0" w:color="auto"/>
        <w:left w:val="none" w:sz="0" w:space="0" w:color="auto"/>
        <w:bottom w:val="none" w:sz="0" w:space="0" w:color="auto"/>
        <w:right w:val="none" w:sz="0" w:space="0" w:color="auto"/>
      </w:divBdr>
    </w:div>
    <w:div w:id="19944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ADF94-A6BB-4773-A33E-951E1BDC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1992</Words>
  <Characters>11355</Characters>
  <Application>Microsoft Office Word</Application>
  <DocSecurity>0</DocSecurity>
  <Lines>94</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2</cp:revision>
  <cp:lastPrinted>2020-02-25T08:06:00Z</cp:lastPrinted>
  <dcterms:created xsi:type="dcterms:W3CDTF">2020-03-02T07:04:00Z</dcterms:created>
  <dcterms:modified xsi:type="dcterms:W3CDTF">2020-03-02T07:04:00Z</dcterms:modified>
</cp:coreProperties>
</file>