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9" w:rsidRPr="00A63EF9" w:rsidRDefault="009E1499" w:rsidP="009E1499">
      <w:pPr>
        <w:pStyle w:val="a5"/>
        <w:shd w:val="clear" w:color="auto" w:fill="FFFFFF"/>
        <w:jc w:val="center"/>
        <w:rPr>
          <w:b/>
          <w:bCs/>
          <w:lang w:val="en-US"/>
        </w:rPr>
      </w:pPr>
      <w:r w:rsidRPr="00A63EF9">
        <w:rPr>
          <w:rStyle w:val="a7"/>
          <w:lang w:val="en-US"/>
        </w:rPr>
        <w:t>NOTA INFORMATIVĂ</w:t>
      </w:r>
      <w:r w:rsidRPr="00A63EF9">
        <w:rPr>
          <w:lang w:val="en-US"/>
        </w:rPr>
        <w:br/>
      </w:r>
      <w:r w:rsidRPr="00A63EF9">
        <w:rPr>
          <w:b/>
          <w:lang w:val="en-US"/>
        </w:rPr>
        <w:t xml:space="preserve">la </w:t>
      </w:r>
      <w:proofErr w:type="spellStart"/>
      <w:r w:rsidRPr="00A63EF9">
        <w:rPr>
          <w:b/>
          <w:lang w:val="en-US"/>
        </w:rPr>
        <w:t>proiectul</w:t>
      </w:r>
      <w:proofErr w:type="spellEnd"/>
      <w:r w:rsidRPr="00A63EF9">
        <w:rPr>
          <w:b/>
          <w:lang w:val="en-US"/>
        </w:rPr>
        <w:t xml:space="preserve"> de </w:t>
      </w:r>
      <w:proofErr w:type="spellStart"/>
      <w:r w:rsidRPr="00A63EF9">
        <w:rPr>
          <w:b/>
          <w:lang w:val="en-US"/>
        </w:rPr>
        <w:t>lege</w:t>
      </w:r>
      <w:proofErr w:type="spellEnd"/>
      <w:r w:rsidRPr="00A63EF9">
        <w:rPr>
          <w:b/>
          <w:lang w:val="en-US"/>
        </w:rPr>
        <w:t xml:space="preserve"> </w:t>
      </w:r>
      <w:proofErr w:type="spellStart"/>
      <w:r w:rsidRPr="00A63EF9">
        <w:rPr>
          <w:b/>
          <w:lang w:val="en-US"/>
        </w:rPr>
        <w:t>pentru</w:t>
      </w:r>
      <w:proofErr w:type="spellEnd"/>
      <w:r w:rsidRPr="00A63EF9">
        <w:rPr>
          <w:b/>
          <w:lang w:val="en-US"/>
        </w:rPr>
        <w:t xml:space="preserve"> </w:t>
      </w:r>
      <w:proofErr w:type="spellStart"/>
      <w:r w:rsidRPr="00A63EF9">
        <w:rPr>
          <w:b/>
          <w:lang w:val="en-US"/>
        </w:rPr>
        <w:t>modificarea</w:t>
      </w:r>
      <w:proofErr w:type="spellEnd"/>
      <w:r w:rsidRPr="00A63EF9">
        <w:rPr>
          <w:b/>
          <w:lang w:val="en-US"/>
        </w:rPr>
        <w:t xml:space="preserve"> </w:t>
      </w:r>
      <w:proofErr w:type="spellStart"/>
      <w:r w:rsidRPr="00A63EF9">
        <w:rPr>
          <w:b/>
          <w:lang w:val="en-US"/>
        </w:rPr>
        <w:t>unor</w:t>
      </w:r>
      <w:proofErr w:type="spellEnd"/>
      <w:r w:rsidRPr="00A63EF9">
        <w:rPr>
          <w:b/>
          <w:lang w:val="en-US"/>
        </w:rPr>
        <w:t xml:space="preserve"> </w:t>
      </w:r>
      <w:proofErr w:type="spellStart"/>
      <w:r w:rsidRPr="00A63EF9">
        <w:rPr>
          <w:b/>
          <w:lang w:val="en-US"/>
        </w:rPr>
        <w:t>acte</w:t>
      </w:r>
      <w:proofErr w:type="spellEnd"/>
      <w:r w:rsidRPr="00A63EF9">
        <w:rPr>
          <w:b/>
          <w:lang w:val="en-US"/>
        </w:rPr>
        <w:t xml:space="preserve"> legislative </w:t>
      </w:r>
    </w:p>
    <w:p w:rsidR="009E1499" w:rsidRPr="00EE7C9B" w:rsidRDefault="009E1499" w:rsidP="009E1499">
      <w:pPr>
        <w:pStyle w:val="a3"/>
        <w:spacing w:after="60" w:line="276" w:lineRule="auto"/>
        <w:jc w:val="both"/>
        <w:rPr>
          <w:b w:val="0"/>
          <w:iCs/>
          <w:color w:val="000000"/>
          <w:szCs w:val="24"/>
        </w:rPr>
      </w:pPr>
    </w:p>
    <w:tbl>
      <w:tblP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0"/>
      </w:tblGrid>
      <w:tr w:rsidR="009E1499" w:rsidRPr="00EE7C9B" w:rsidTr="00EF44AD">
        <w:trPr>
          <w:cantSplit/>
          <w:trHeight w:val="338"/>
        </w:trPr>
        <w:tc>
          <w:tcPr>
            <w:tcW w:w="5000" w:type="pct"/>
          </w:tcPr>
          <w:p w:rsidR="009E1499" w:rsidRPr="00892F9F" w:rsidRDefault="009E1499" w:rsidP="00EF44AD">
            <w:pPr>
              <w:tabs>
                <w:tab w:val="left" w:pos="884"/>
                <w:tab w:val="left" w:pos="1196"/>
                <w:tab w:val="right" w:pos="9508"/>
              </w:tabs>
              <w:jc w:val="both"/>
              <w:rPr>
                <w:sz w:val="26"/>
                <w:szCs w:val="26"/>
                <w:lang w:val="ro-MO"/>
              </w:rPr>
            </w:pPr>
            <w:r w:rsidRPr="00892F9F">
              <w:rPr>
                <w:b/>
                <w:sz w:val="26"/>
                <w:szCs w:val="26"/>
                <w:lang w:val="ro-MO"/>
              </w:rPr>
              <w:t>1. Condiţiile ce au impus elaborarea proiectului de act normativ şi finalităţile urmărite</w:t>
            </w:r>
          </w:p>
        </w:tc>
      </w:tr>
      <w:tr w:rsidR="009E1499" w:rsidRPr="00EE7C9B" w:rsidTr="00EF44AD">
        <w:tc>
          <w:tcPr>
            <w:tcW w:w="5000" w:type="pct"/>
          </w:tcPr>
          <w:p w:rsidR="009E1499" w:rsidRPr="00892F9F" w:rsidRDefault="009E1499" w:rsidP="00EF44AD">
            <w:pPr>
              <w:jc w:val="both"/>
              <w:rPr>
                <w:color w:val="000000"/>
                <w:sz w:val="26"/>
                <w:szCs w:val="26"/>
                <w:lang w:val="ro-MO"/>
              </w:rPr>
            </w:pPr>
            <w:r w:rsidRPr="00892F9F">
              <w:rPr>
                <w:color w:val="000000"/>
                <w:sz w:val="26"/>
                <w:szCs w:val="26"/>
                <w:lang w:val="ro-MO"/>
              </w:rPr>
              <w:t xml:space="preserve">        Proiectul de lege pentru modificarea unor acte legislative este elaborat de către Ministerul</w:t>
            </w:r>
            <w:r w:rsidRPr="00892F9F">
              <w:rPr>
                <w:color w:val="000000"/>
                <w:sz w:val="26"/>
                <w:szCs w:val="26"/>
              </w:rPr>
              <w:t xml:space="preserve">  </w:t>
            </w:r>
            <w:proofErr w:type="spellStart"/>
            <w:r w:rsidRPr="00892F9F">
              <w:rPr>
                <w:color w:val="000000"/>
                <w:sz w:val="26"/>
                <w:szCs w:val="26"/>
              </w:rPr>
              <w:t>Finanţelor</w:t>
            </w:r>
            <w:proofErr w:type="spellEnd"/>
            <w:r w:rsidRPr="00892F9F">
              <w:rPr>
                <w:color w:val="000000"/>
                <w:sz w:val="26"/>
                <w:szCs w:val="26"/>
              </w:rPr>
              <w:t xml:space="preserve"> </w:t>
            </w:r>
            <w:r w:rsidRPr="00892F9F">
              <w:rPr>
                <w:color w:val="000000"/>
                <w:sz w:val="26"/>
                <w:szCs w:val="26"/>
                <w:lang w:val="ro-MO"/>
              </w:rPr>
              <w:t xml:space="preserve">întru  executarea </w:t>
            </w:r>
            <w:proofErr w:type="spellStart"/>
            <w:r w:rsidRPr="00892F9F">
              <w:rPr>
                <w:color w:val="000000"/>
                <w:sz w:val="26"/>
                <w:szCs w:val="26"/>
                <w:lang w:val="ro-MO"/>
              </w:rPr>
              <w:t>Hotărîrii</w:t>
            </w:r>
            <w:proofErr w:type="spellEnd"/>
            <w:r w:rsidRPr="00892F9F">
              <w:rPr>
                <w:color w:val="000000"/>
                <w:sz w:val="26"/>
                <w:szCs w:val="26"/>
                <w:lang w:val="ro-MO"/>
              </w:rPr>
              <w:t xml:space="preserve"> Curţii Constituţionale nr.27/2019 pentru controlul  constituţionalităţii prevederilor articolelor 37 din Legea cu privire la Curtea Constituţională, 27 din Legea cu privire la Curtea Supremă de Justiţie şi 4 din Legea cu privire la organizarea şi funcţionarea Curţii de Conturi.</w:t>
            </w:r>
          </w:p>
          <w:p w:rsidR="009E1499" w:rsidRPr="00892F9F" w:rsidRDefault="009E1499" w:rsidP="00EF44AD">
            <w:pPr>
              <w:tabs>
                <w:tab w:val="left" w:pos="993"/>
              </w:tabs>
              <w:jc w:val="both"/>
              <w:rPr>
                <w:sz w:val="26"/>
                <w:szCs w:val="26"/>
                <w:lang w:val="ro-MO"/>
              </w:rPr>
            </w:pPr>
            <w:r w:rsidRPr="00892F9F">
              <w:rPr>
                <w:color w:val="000000"/>
                <w:sz w:val="26"/>
                <w:szCs w:val="26"/>
                <w:lang w:val="ro-MO"/>
              </w:rPr>
              <w:t xml:space="preserve">       </w:t>
            </w:r>
            <w:r w:rsidRPr="00892F9F">
              <w:rPr>
                <w:sz w:val="26"/>
                <w:szCs w:val="26"/>
                <w:lang w:val="ro-MO"/>
              </w:rPr>
              <w:t>Potrivit art. 28</w:t>
            </w:r>
            <w:r w:rsidRPr="00892F9F">
              <w:rPr>
                <w:sz w:val="26"/>
                <w:szCs w:val="26"/>
                <w:vertAlign w:val="superscript"/>
              </w:rPr>
              <w:t xml:space="preserve"> 1 </w:t>
            </w:r>
            <w:r w:rsidRPr="00892F9F">
              <w:rPr>
                <w:sz w:val="26"/>
                <w:szCs w:val="26"/>
                <w:lang w:val="ro-MO"/>
              </w:rPr>
              <w:t xml:space="preserve">alin. (1) al Legii nr. 317/1994 cu privire la Curtea Constituţională și a pct. 299 din Regulamentul Guvernului, aprobat prin </w:t>
            </w:r>
            <w:proofErr w:type="spellStart"/>
            <w:r w:rsidRPr="00892F9F">
              <w:rPr>
                <w:sz w:val="26"/>
                <w:szCs w:val="26"/>
                <w:lang w:val="ro-MO"/>
              </w:rPr>
              <w:t>Hotărîrea</w:t>
            </w:r>
            <w:proofErr w:type="spellEnd"/>
            <w:r w:rsidRPr="00892F9F">
              <w:rPr>
                <w:sz w:val="26"/>
                <w:szCs w:val="26"/>
                <w:lang w:val="ro-MO"/>
              </w:rPr>
              <w:t xml:space="preserve"> Guvernului nr. 610/2018, Guvernul are obligația ca în termen de cel mult trei luni de la data publicării </w:t>
            </w:r>
            <w:proofErr w:type="spellStart"/>
            <w:r w:rsidRPr="00892F9F">
              <w:rPr>
                <w:sz w:val="26"/>
                <w:szCs w:val="26"/>
                <w:lang w:val="ro-MO"/>
              </w:rPr>
              <w:t>hotărîrii</w:t>
            </w:r>
            <w:proofErr w:type="spellEnd"/>
            <w:r w:rsidRPr="00892F9F">
              <w:rPr>
                <w:sz w:val="26"/>
                <w:szCs w:val="26"/>
                <w:lang w:val="ro-MO"/>
              </w:rPr>
              <w:t xml:space="preserve"> Curții Constituționale, să înainteze Parlamentului proiectul de lege cu privire la modificarea, completarea sau abrogarea actului normativ declarat, total sau parțial, neconstituțional.</w:t>
            </w:r>
          </w:p>
          <w:p w:rsidR="009E1499" w:rsidRPr="00892F9F" w:rsidRDefault="009E1499" w:rsidP="00EF44AD">
            <w:pPr>
              <w:tabs>
                <w:tab w:val="left" w:pos="993"/>
              </w:tabs>
              <w:jc w:val="both"/>
              <w:rPr>
                <w:color w:val="000000"/>
                <w:sz w:val="26"/>
                <w:szCs w:val="26"/>
              </w:rPr>
            </w:pPr>
            <w:r w:rsidRPr="00892F9F">
              <w:rPr>
                <w:sz w:val="26"/>
                <w:szCs w:val="26"/>
                <w:lang w:val="ro-MO"/>
              </w:rPr>
              <w:t xml:space="preserve">         </w:t>
            </w:r>
          </w:p>
        </w:tc>
      </w:tr>
      <w:tr w:rsidR="009E1499" w:rsidRPr="00EE7C9B" w:rsidTr="00EF44AD">
        <w:trPr>
          <w:trHeight w:val="378"/>
        </w:trPr>
        <w:tc>
          <w:tcPr>
            <w:tcW w:w="5000" w:type="pct"/>
          </w:tcPr>
          <w:p w:rsidR="009E1499" w:rsidRPr="00892F9F" w:rsidRDefault="009E1499" w:rsidP="00EF44AD">
            <w:pPr>
              <w:tabs>
                <w:tab w:val="left" w:pos="884"/>
                <w:tab w:val="left" w:pos="1196"/>
              </w:tabs>
              <w:jc w:val="both"/>
              <w:rPr>
                <w:sz w:val="26"/>
                <w:szCs w:val="26"/>
              </w:rPr>
            </w:pPr>
            <w:r w:rsidRPr="00892F9F">
              <w:rPr>
                <w:b/>
                <w:sz w:val="26"/>
                <w:szCs w:val="26"/>
              </w:rPr>
              <w:t xml:space="preserve">2. </w:t>
            </w:r>
            <w:r w:rsidRPr="003D2F6F">
              <w:rPr>
                <w:b/>
                <w:sz w:val="26"/>
                <w:szCs w:val="26"/>
                <w:lang w:val="ro-MO"/>
              </w:rPr>
              <w:t>Principalele prevederi ale proiectului şi evidenţierea elementelor noi</w:t>
            </w:r>
          </w:p>
        </w:tc>
      </w:tr>
      <w:tr w:rsidR="009E1499" w:rsidRPr="00EE7C9B" w:rsidTr="00EF44AD">
        <w:tc>
          <w:tcPr>
            <w:tcW w:w="5000" w:type="pct"/>
          </w:tcPr>
          <w:p w:rsidR="009E1499" w:rsidRPr="00892F9F" w:rsidRDefault="009E1499" w:rsidP="00EF44AD">
            <w:pPr>
              <w:jc w:val="both"/>
              <w:rPr>
                <w:color w:val="000000"/>
                <w:sz w:val="26"/>
                <w:szCs w:val="26"/>
                <w:lang w:val="ro-MO"/>
              </w:rPr>
            </w:pPr>
            <w:r w:rsidRPr="00892F9F">
              <w:rPr>
                <w:sz w:val="26"/>
                <w:szCs w:val="26"/>
              </w:rPr>
              <w:t xml:space="preserve">         </w:t>
            </w:r>
            <w:r w:rsidRPr="00892F9F">
              <w:rPr>
                <w:sz w:val="26"/>
                <w:szCs w:val="26"/>
                <w:lang w:val="ro-MO"/>
              </w:rPr>
              <w:t xml:space="preserve">Prin </w:t>
            </w:r>
            <w:proofErr w:type="spellStart"/>
            <w:r w:rsidRPr="00892F9F">
              <w:rPr>
                <w:sz w:val="26"/>
                <w:szCs w:val="26"/>
                <w:lang w:val="ro-MO"/>
              </w:rPr>
              <w:t>Hotărîrea</w:t>
            </w:r>
            <w:proofErr w:type="spellEnd"/>
            <w:r w:rsidRPr="00892F9F">
              <w:rPr>
                <w:sz w:val="26"/>
                <w:szCs w:val="26"/>
                <w:lang w:val="ro-MO"/>
              </w:rPr>
              <w:t xml:space="preserve"> Curţii Constituţionale nr.27/2019 au fost declarate neconstituţionale articolele </w:t>
            </w:r>
            <w:r w:rsidRPr="00892F9F">
              <w:rPr>
                <w:color w:val="000000"/>
                <w:sz w:val="26"/>
                <w:szCs w:val="26"/>
                <w:lang w:val="ro-MO"/>
              </w:rPr>
              <w:t>37 alin. (1) din Legea nr.317 din 13 decembrie 1994 cu privire la Curtea Constituţională,  27 alin. (1) din Legea nr.789 din 26 martie 1996 cu privire la Curtea Supremă de Justiţie şi 22 alin. (1) din Legea nr.514 din 6 iulie 1995 privind organizarea judecătorească.</w:t>
            </w:r>
          </w:p>
          <w:p w:rsidR="009E1499" w:rsidRPr="00892F9F" w:rsidRDefault="009E1499" w:rsidP="00EF44AD">
            <w:pPr>
              <w:jc w:val="both"/>
              <w:rPr>
                <w:color w:val="000000"/>
                <w:sz w:val="26"/>
                <w:szCs w:val="26"/>
                <w:lang w:val="ro-MO"/>
              </w:rPr>
            </w:pPr>
            <w:r w:rsidRPr="00892F9F">
              <w:rPr>
                <w:color w:val="000000"/>
                <w:sz w:val="26"/>
                <w:szCs w:val="26"/>
                <w:lang w:val="ro-MO"/>
              </w:rPr>
              <w:t xml:space="preserve">         Totodată, Curtea a considerat să dispună revigorarea prevederilor articolului 37 alin. (1) din Legea nr.317 din 13 decembrie 1994 cu privire la Curtea Constituţională şi a articolului 22 alin. (1) teza I din Legea nr.514 din 6 iulie 1995 privind organizarea judecătorească, în forma anterioară abrogării.</w:t>
            </w:r>
          </w:p>
          <w:p w:rsidR="009E1499" w:rsidRPr="00892F9F" w:rsidRDefault="009E1499" w:rsidP="00EF44AD">
            <w:pPr>
              <w:jc w:val="both"/>
              <w:rPr>
                <w:color w:val="000000"/>
                <w:sz w:val="26"/>
                <w:szCs w:val="26"/>
                <w:lang w:val="ro-MO"/>
              </w:rPr>
            </w:pPr>
            <w:r w:rsidRPr="00892F9F">
              <w:rPr>
                <w:color w:val="000000"/>
                <w:sz w:val="26"/>
                <w:szCs w:val="26"/>
                <w:lang w:val="ro-MO"/>
              </w:rPr>
              <w:t xml:space="preserve">         Prin urmare, prezentul proiect de lege are drept scop executarea </w:t>
            </w:r>
            <w:proofErr w:type="spellStart"/>
            <w:r w:rsidRPr="00892F9F">
              <w:rPr>
                <w:color w:val="000000"/>
                <w:sz w:val="26"/>
                <w:szCs w:val="26"/>
                <w:lang w:val="ro-MO"/>
              </w:rPr>
              <w:t>Hotărîrii</w:t>
            </w:r>
            <w:proofErr w:type="spellEnd"/>
            <w:r w:rsidRPr="00892F9F">
              <w:rPr>
                <w:color w:val="000000"/>
                <w:sz w:val="26"/>
                <w:szCs w:val="26"/>
                <w:lang w:val="ro-MO"/>
              </w:rPr>
              <w:t xml:space="preserve"> Curţii Constituţionale nr.27/2019 şi propune operarea următoarelor modificări:</w:t>
            </w:r>
          </w:p>
          <w:p w:rsidR="009E1499" w:rsidRPr="00892F9F" w:rsidRDefault="009E1499" w:rsidP="00EF44AD">
            <w:pPr>
              <w:jc w:val="both"/>
              <w:rPr>
                <w:color w:val="000000"/>
                <w:sz w:val="26"/>
                <w:szCs w:val="26"/>
                <w:lang w:val="en-US"/>
              </w:rPr>
            </w:pPr>
            <w:r w:rsidRPr="00892F9F">
              <w:rPr>
                <w:color w:val="000000"/>
                <w:sz w:val="26"/>
                <w:szCs w:val="26"/>
                <w:lang w:val="ro-MO"/>
              </w:rPr>
              <w:t xml:space="preserve">         1. </w:t>
            </w:r>
            <w:r>
              <w:rPr>
                <w:color w:val="000000"/>
                <w:sz w:val="26"/>
                <w:szCs w:val="26"/>
                <w:lang w:val="ro-MO"/>
              </w:rPr>
              <w:t>Revigorarea</w:t>
            </w:r>
            <w:r w:rsidRPr="00892F9F">
              <w:rPr>
                <w:color w:val="000000"/>
                <w:sz w:val="26"/>
                <w:szCs w:val="26"/>
                <w:lang w:val="ro-MO"/>
              </w:rPr>
              <w:t xml:space="preserve"> prevederil</w:t>
            </w:r>
            <w:r>
              <w:rPr>
                <w:color w:val="000000"/>
                <w:sz w:val="26"/>
                <w:szCs w:val="26"/>
                <w:lang w:val="ro-MO"/>
              </w:rPr>
              <w:t>or</w:t>
            </w:r>
            <w:r w:rsidRPr="00892F9F">
              <w:rPr>
                <w:color w:val="000000"/>
                <w:sz w:val="26"/>
                <w:szCs w:val="26"/>
                <w:lang w:val="ro-MO"/>
              </w:rPr>
              <w:t xml:space="preserve"> articolului 37 alin. (1) din Legea nr.317 din 13 decembrie 1994 cu privire la Curtea Constituţională, în forma anterioară abrogării: „(1) Curtea Constituţională are un buget propriu, care face parte integrantă din bugetul de stat</w:t>
            </w:r>
            <w:r w:rsidRPr="00892F9F">
              <w:rPr>
                <w:color w:val="000000"/>
                <w:sz w:val="26"/>
                <w:szCs w:val="26"/>
                <w:lang w:val="en-US"/>
              </w:rPr>
              <w:t>”.</w:t>
            </w:r>
          </w:p>
          <w:p w:rsidR="009E1499" w:rsidRPr="00892F9F" w:rsidRDefault="009E1499" w:rsidP="00EF44AD">
            <w:pPr>
              <w:tabs>
                <w:tab w:val="left" w:pos="993"/>
              </w:tabs>
              <w:jc w:val="both"/>
              <w:rPr>
                <w:sz w:val="26"/>
                <w:szCs w:val="26"/>
                <w:lang w:val="ro-MO"/>
              </w:rPr>
            </w:pPr>
            <w:r w:rsidRPr="00892F9F">
              <w:rPr>
                <w:color w:val="000000"/>
                <w:sz w:val="26"/>
                <w:szCs w:val="26"/>
                <w:lang w:val="en-US"/>
              </w:rPr>
              <w:t xml:space="preserve">         2. </w:t>
            </w:r>
            <w:r w:rsidRPr="00892F9F">
              <w:rPr>
                <w:sz w:val="26"/>
                <w:szCs w:val="26"/>
                <w:lang w:val="ro-MO"/>
              </w:rPr>
              <w:t xml:space="preserve">Abrogarea </w:t>
            </w:r>
            <w:r>
              <w:rPr>
                <w:sz w:val="26"/>
                <w:szCs w:val="26"/>
                <w:lang w:val="ro-MO"/>
              </w:rPr>
              <w:t>articolului 27 alin.</w:t>
            </w:r>
            <w:r w:rsidRPr="00892F9F">
              <w:rPr>
                <w:sz w:val="26"/>
                <w:szCs w:val="26"/>
                <w:lang w:val="ro-MO"/>
              </w:rPr>
              <w:t xml:space="preserve"> (1) din Legea nr.789/1996 cu privire la Curtea Supremă de Justiţie, în urma declarării neconstituţionale de către Curtea Constituţională, dat fiind faptul că </w:t>
            </w:r>
            <w:r>
              <w:rPr>
                <w:sz w:val="26"/>
                <w:szCs w:val="26"/>
                <w:lang w:val="ro-MO"/>
              </w:rPr>
              <w:t>Curtea Supremă de Justiţie face parte din sistemul judecătoresc, iar norma ce ţine de bugetul instanţelor judecătoreşti se propune de a fi reflectată în Legea privind organizarea judecătorească.</w:t>
            </w:r>
          </w:p>
          <w:p w:rsidR="009E1499" w:rsidRDefault="009E1499" w:rsidP="00EF44AD">
            <w:pPr>
              <w:autoSpaceDE w:val="0"/>
              <w:autoSpaceDN w:val="0"/>
              <w:adjustRightInd w:val="0"/>
              <w:jc w:val="both"/>
              <w:rPr>
                <w:sz w:val="26"/>
                <w:szCs w:val="26"/>
                <w:lang w:val="ro-MO"/>
              </w:rPr>
            </w:pPr>
            <w:r>
              <w:rPr>
                <w:sz w:val="26"/>
                <w:szCs w:val="26"/>
                <w:lang w:val="ro-MO"/>
              </w:rPr>
              <w:t xml:space="preserve">      </w:t>
            </w:r>
            <w:r w:rsidRPr="00892F9F">
              <w:rPr>
                <w:sz w:val="26"/>
                <w:szCs w:val="26"/>
                <w:lang w:val="ro-MO"/>
              </w:rPr>
              <w:t xml:space="preserve">   3.  </w:t>
            </w:r>
            <w:r>
              <w:rPr>
                <w:sz w:val="26"/>
                <w:szCs w:val="26"/>
                <w:lang w:val="ro-MO"/>
              </w:rPr>
              <w:t xml:space="preserve">Expunerea articolului </w:t>
            </w:r>
            <w:r w:rsidRPr="00892F9F">
              <w:rPr>
                <w:sz w:val="26"/>
                <w:szCs w:val="26"/>
                <w:lang w:val="ro-MO"/>
              </w:rPr>
              <w:t>22 alin</w:t>
            </w:r>
            <w:r>
              <w:rPr>
                <w:sz w:val="26"/>
                <w:szCs w:val="26"/>
                <w:lang w:val="ro-MO"/>
              </w:rPr>
              <w:t>.</w:t>
            </w:r>
            <w:r w:rsidRPr="00892F9F">
              <w:rPr>
                <w:sz w:val="26"/>
                <w:szCs w:val="26"/>
                <w:lang w:val="ro-MO"/>
              </w:rPr>
              <w:t xml:space="preserve"> (1) din Legea nr.514/1995</w:t>
            </w:r>
            <w:r>
              <w:rPr>
                <w:sz w:val="26"/>
                <w:szCs w:val="26"/>
                <w:lang w:val="ro-MO"/>
              </w:rPr>
              <w:t xml:space="preserve"> în noua redacţie:</w:t>
            </w:r>
          </w:p>
          <w:p w:rsidR="009E1499" w:rsidRPr="00502189" w:rsidRDefault="009E1499" w:rsidP="00EF44AD">
            <w:pPr>
              <w:autoSpaceDE w:val="0"/>
              <w:autoSpaceDN w:val="0"/>
              <w:adjustRightInd w:val="0"/>
              <w:jc w:val="both"/>
              <w:rPr>
                <w:sz w:val="26"/>
                <w:szCs w:val="26"/>
                <w:lang w:val="ro-RO"/>
              </w:rPr>
            </w:pPr>
            <w:r w:rsidRPr="00892F9F">
              <w:rPr>
                <w:sz w:val="26"/>
                <w:szCs w:val="26"/>
                <w:lang w:val="ro-MO"/>
              </w:rPr>
              <w:t xml:space="preserve"> „</w:t>
            </w:r>
            <w:r w:rsidRPr="005F229E">
              <w:rPr>
                <w:sz w:val="28"/>
                <w:szCs w:val="28"/>
                <w:lang w:val="ro-RO"/>
              </w:rPr>
              <w:t>(1)</w:t>
            </w:r>
            <w:r>
              <w:rPr>
                <w:sz w:val="28"/>
                <w:szCs w:val="28"/>
                <w:lang w:val="ro-RO"/>
              </w:rPr>
              <w:t xml:space="preserve"> Instanţele judecătoreşti au un buget propriu, care face parte integrantă din bugetul de stat”</w:t>
            </w:r>
            <w:r>
              <w:rPr>
                <w:sz w:val="26"/>
                <w:szCs w:val="26"/>
                <w:lang w:val="en-US"/>
              </w:rPr>
              <w:t xml:space="preserve">, </w:t>
            </w:r>
            <w:r w:rsidRPr="00892F9F">
              <w:rPr>
                <w:sz w:val="26"/>
                <w:szCs w:val="26"/>
                <w:lang w:val="ro-MO"/>
              </w:rPr>
              <w:t>se prezintă din perspectiva respectării principiului independenţei financiare pentru instanţele judecătoreşti</w:t>
            </w:r>
            <w:r w:rsidRPr="00237FD3">
              <w:rPr>
                <w:sz w:val="26"/>
                <w:szCs w:val="26"/>
                <w:lang w:val="ro-RO"/>
              </w:rPr>
              <w:t>.</w:t>
            </w:r>
          </w:p>
        </w:tc>
      </w:tr>
      <w:tr w:rsidR="009E1499" w:rsidRPr="00EE7C9B" w:rsidTr="00EF44AD">
        <w:tc>
          <w:tcPr>
            <w:tcW w:w="5000" w:type="pct"/>
          </w:tcPr>
          <w:p w:rsidR="009E1499" w:rsidRPr="00892F9F" w:rsidRDefault="009E1499" w:rsidP="00EF44AD">
            <w:pPr>
              <w:tabs>
                <w:tab w:val="left" w:pos="884"/>
                <w:tab w:val="left" w:pos="1196"/>
              </w:tabs>
              <w:jc w:val="both"/>
              <w:rPr>
                <w:sz w:val="26"/>
                <w:szCs w:val="26"/>
                <w:lang w:val="ro-MO"/>
              </w:rPr>
            </w:pPr>
            <w:r w:rsidRPr="00892F9F">
              <w:rPr>
                <w:b/>
                <w:sz w:val="26"/>
                <w:szCs w:val="26"/>
                <w:lang w:val="ro-MO"/>
              </w:rPr>
              <w:t>3. Fundamentarea economico-financiară</w:t>
            </w:r>
          </w:p>
        </w:tc>
      </w:tr>
      <w:tr w:rsidR="009E1499" w:rsidRPr="00EE7C9B" w:rsidTr="00EF44AD">
        <w:tc>
          <w:tcPr>
            <w:tcW w:w="5000" w:type="pct"/>
          </w:tcPr>
          <w:p w:rsidR="009E1499" w:rsidRPr="00892F9F" w:rsidRDefault="009E1499" w:rsidP="00EF44AD">
            <w:pPr>
              <w:jc w:val="both"/>
              <w:rPr>
                <w:color w:val="000000"/>
                <w:sz w:val="26"/>
                <w:szCs w:val="26"/>
                <w:lang w:val="ro-MO"/>
              </w:rPr>
            </w:pPr>
            <w:r w:rsidRPr="00892F9F">
              <w:rPr>
                <w:color w:val="000000"/>
                <w:sz w:val="26"/>
                <w:szCs w:val="26"/>
                <w:lang w:val="ro-MO"/>
              </w:rPr>
              <w:t xml:space="preserve">         </w:t>
            </w:r>
            <w:r w:rsidRPr="00892F9F">
              <w:rPr>
                <w:sz w:val="26"/>
                <w:szCs w:val="26"/>
                <w:lang w:val="ro-MO"/>
              </w:rPr>
              <w:t>Implementarea prezentului proiect de lege nu necesită cheltuieli financiare suplimentare din bugetul de stat.</w:t>
            </w:r>
          </w:p>
          <w:p w:rsidR="009E1499" w:rsidRPr="00892F9F" w:rsidRDefault="009E1499" w:rsidP="00EF44AD">
            <w:pPr>
              <w:jc w:val="both"/>
              <w:rPr>
                <w:sz w:val="26"/>
                <w:szCs w:val="26"/>
                <w:lang w:val="ro-MO"/>
              </w:rPr>
            </w:pPr>
          </w:p>
        </w:tc>
      </w:tr>
      <w:tr w:rsidR="009E1499" w:rsidRPr="00EE7C9B" w:rsidTr="00EF44AD">
        <w:tc>
          <w:tcPr>
            <w:tcW w:w="5000" w:type="pct"/>
          </w:tcPr>
          <w:p w:rsidR="009E1499" w:rsidRPr="00892F9F" w:rsidRDefault="009E1499" w:rsidP="00EF44AD">
            <w:pPr>
              <w:tabs>
                <w:tab w:val="left" w:pos="884"/>
                <w:tab w:val="left" w:pos="1196"/>
              </w:tabs>
              <w:jc w:val="both"/>
              <w:rPr>
                <w:sz w:val="26"/>
                <w:szCs w:val="26"/>
                <w:lang w:val="ro-MO"/>
              </w:rPr>
            </w:pPr>
            <w:r w:rsidRPr="00892F9F">
              <w:rPr>
                <w:b/>
                <w:sz w:val="26"/>
                <w:szCs w:val="26"/>
                <w:lang w:val="ro-MO"/>
              </w:rPr>
              <w:t>4. Modul de încorporare a actului în cadrul normativ în vigoare</w:t>
            </w:r>
          </w:p>
        </w:tc>
      </w:tr>
      <w:tr w:rsidR="009E1499" w:rsidRPr="00EE7C9B" w:rsidTr="00EF44AD">
        <w:tc>
          <w:tcPr>
            <w:tcW w:w="5000" w:type="pct"/>
          </w:tcPr>
          <w:p w:rsidR="009E1499" w:rsidRPr="00892F9F" w:rsidRDefault="009E1499" w:rsidP="00EF44AD">
            <w:pPr>
              <w:jc w:val="both"/>
              <w:rPr>
                <w:b/>
                <w:sz w:val="26"/>
                <w:szCs w:val="26"/>
                <w:lang w:val="ro-MO"/>
              </w:rPr>
            </w:pPr>
            <w:r w:rsidRPr="00892F9F">
              <w:rPr>
                <w:color w:val="000000"/>
                <w:sz w:val="26"/>
                <w:szCs w:val="26"/>
                <w:lang w:val="ro-MO"/>
              </w:rPr>
              <w:lastRenderedPageBreak/>
              <w:t xml:space="preserve">          Pentru implementarea prevederilor prezentului proiect de lege nu va fi necesară modificarea altor acte normative.</w:t>
            </w:r>
          </w:p>
        </w:tc>
      </w:tr>
      <w:tr w:rsidR="009E1499" w:rsidRPr="00EE7C9B" w:rsidTr="00EF44AD">
        <w:tc>
          <w:tcPr>
            <w:tcW w:w="5000" w:type="pct"/>
          </w:tcPr>
          <w:p w:rsidR="009E1499" w:rsidRPr="00892F9F" w:rsidRDefault="009E1499" w:rsidP="00EF44AD">
            <w:pPr>
              <w:tabs>
                <w:tab w:val="left" w:pos="884"/>
                <w:tab w:val="left" w:pos="1196"/>
              </w:tabs>
              <w:jc w:val="both"/>
              <w:rPr>
                <w:sz w:val="26"/>
                <w:szCs w:val="26"/>
                <w:lang w:val="ro-MO"/>
              </w:rPr>
            </w:pPr>
            <w:r w:rsidRPr="00892F9F">
              <w:rPr>
                <w:b/>
                <w:sz w:val="26"/>
                <w:szCs w:val="26"/>
                <w:lang w:val="ro-MO"/>
              </w:rPr>
              <w:t>5. Avizarea şi consultarea publică a proiectului</w:t>
            </w:r>
          </w:p>
        </w:tc>
      </w:tr>
      <w:tr w:rsidR="009E1499" w:rsidRPr="00EE7C9B" w:rsidTr="00EF44AD">
        <w:tc>
          <w:tcPr>
            <w:tcW w:w="5000" w:type="pct"/>
          </w:tcPr>
          <w:p w:rsidR="009E1499" w:rsidRDefault="009E1499" w:rsidP="00EF44AD">
            <w:pPr>
              <w:jc w:val="both"/>
              <w:rPr>
                <w:sz w:val="26"/>
                <w:szCs w:val="26"/>
                <w:lang w:val="ro-RO"/>
              </w:rPr>
            </w:pPr>
            <w:r>
              <w:rPr>
                <w:sz w:val="26"/>
                <w:szCs w:val="26"/>
                <w:lang w:val="ro-RO"/>
              </w:rPr>
              <w:t xml:space="preserve">        În scopul respectării prevederilor Legii nr.239/2008 privind transparenţa în procesul decizional, proiectul legii pentru modificarea unor acte legislative va fi plasat pe pagina oficială a Ministerului Finanţelor (</w:t>
            </w:r>
            <w:hyperlink r:id="rId4" w:history="1">
              <w:r w:rsidRPr="00E66779">
                <w:rPr>
                  <w:rStyle w:val="a8"/>
                  <w:sz w:val="26"/>
                  <w:szCs w:val="26"/>
                  <w:lang w:val="ro-RO"/>
                </w:rPr>
                <w:t>www.mf.gov.md</w:t>
              </w:r>
            </w:hyperlink>
            <w:r>
              <w:rPr>
                <w:sz w:val="26"/>
                <w:szCs w:val="26"/>
                <w:lang w:val="ro-RO"/>
              </w:rPr>
              <w:t xml:space="preserve">), directoriul „Transparenţă decizională”, secţiunea „Procesul decizional”. </w:t>
            </w:r>
          </w:p>
          <w:p w:rsidR="009E1499" w:rsidRPr="00892F9F" w:rsidRDefault="009E1499" w:rsidP="00EF44AD">
            <w:pPr>
              <w:jc w:val="both"/>
              <w:rPr>
                <w:sz w:val="26"/>
                <w:szCs w:val="26"/>
                <w:lang w:val="ro-MO"/>
              </w:rPr>
            </w:pPr>
            <w:r>
              <w:rPr>
                <w:sz w:val="26"/>
                <w:szCs w:val="26"/>
                <w:lang w:val="ro-RO"/>
              </w:rPr>
              <w:t xml:space="preserve">        </w:t>
            </w:r>
            <w:r w:rsidRPr="00892F9F">
              <w:rPr>
                <w:sz w:val="26"/>
                <w:szCs w:val="26"/>
                <w:lang w:val="ro-MO"/>
              </w:rPr>
              <w:t xml:space="preserve">Proiectul urmează a fi </w:t>
            </w:r>
            <w:r>
              <w:rPr>
                <w:sz w:val="26"/>
                <w:szCs w:val="26"/>
                <w:lang w:val="ro-MO"/>
              </w:rPr>
              <w:t>consultat cu</w:t>
            </w:r>
            <w:r w:rsidRPr="00892F9F">
              <w:rPr>
                <w:sz w:val="26"/>
                <w:szCs w:val="26"/>
                <w:lang w:val="ro-MO"/>
              </w:rPr>
              <w:t xml:space="preserve">  Ministerul Justiției</w:t>
            </w:r>
            <w:r>
              <w:rPr>
                <w:sz w:val="26"/>
                <w:szCs w:val="26"/>
                <w:lang w:val="ro-MO"/>
              </w:rPr>
              <w:t xml:space="preserve"> şi Consiliul Superior al Magistraturii</w:t>
            </w:r>
            <w:r w:rsidRPr="00892F9F">
              <w:rPr>
                <w:sz w:val="26"/>
                <w:szCs w:val="26"/>
                <w:lang w:val="ro-MO"/>
              </w:rPr>
              <w:t>.</w:t>
            </w:r>
          </w:p>
        </w:tc>
      </w:tr>
      <w:tr w:rsidR="009E1499" w:rsidRPr="00EE7C9B" w:rsidTr="00EF44AD">
        <w:tc>
          <w:tcPr>
            <w:tcW w:w="5000" w:type="pct"/>
          </w:tcPr>
          <w:p w:rsidR="009E1499" w:rsidRPr="005A313F" w:rsidRDefault="009E1499" w:rsidP="00EF44AD">
            <w:pPr>
              <w:jc w:val="both"/>
              <w:rPr>
                <w:b/>
                <w:sz w:val="26"/>
                <w:szCs w:val="26"/>
                <w:lang w:val="ro-RO"/>
              </w:rPr>
            </w:pPr>
            <w:r w:rsidRPr="005A313F">
              <w:rPr>
                <w:b/>
                <w:sz w:val="26"/>
                <w:szCs w:val="26"/>
                <w:lang w:val="ro-RO"/>
              </w:rPr>
              <w:t>6.Constatările expertizei anticorupţie</w:t>
            </w:r>
          </w:p>
        </w:tc>
      </w:tr>
      <w:tr w:rsidR="009E1499" w:rsidRPr="00EE7C9B" w:rsidTr="00EF44AD">
        <w:tc>
          <w:tcPr>
            <w:tcW w:w="5000" w:type="pct"/>
          </w:tcPr>
          <w:p w:rsidR="009E1499" w:rsidRPr="005A313F" w:rsidRDefault="009E1499" w:rsidP="00EF44AD">
            <w:pPr>
              <w:jc w:val="both"/>
              <w:rPr>
                <w:sz w:val="26"/>
                <w:szCs w:val="26"/>
                <w:lang w:val="ro-MO"/>
              </w:rPr>
            </w:pPr>
            <w:r>
              <w:rPr>
                <w:sz w:val="26"/>
                <w:szCs w:val="26"/>
                <w:lang w:val="ro-MO"/>
              </w:rPr>
              <w:t xml:space="preserve">        </w:t>
            </w:r>
            <w:r w:rsidRPr="00FE652C">
              <w:rPr>
                <w:sz w:val="26"/>
                <w:szCs w:val="26"/>
                <w:lang w:val="ro-MO"/>
              </w:rPr>
              <w:t xml:space="preserve">Potrivit art.34 alin.(1) și art.35 din Legea nr.100/2017, proiectul de lege se </w:t>
            </w:r>
            <w:r>
              <w:rPr>
                <w:sz w:val="26"/>
                <w:szCs w:val="26"/>
                <w:lang w:val="ro-MO"/>
              </w:rPr>
              <w:t xml:space="preserve">va </w:t>
            </w:r>
            <w:r w:rsidRPr="00FE652C">
              <w:rPr>
                <w:sz w:val="26"/>
                <w:szCs w:val="26"/>
                <w:lang w:val="ro-MO"/>
              </w:rPr>
              <w:t>remite Centrului Naţional Anticorupţie pentru a fi supusă expertizei anticorupţie.</w:t>
            </w:r>
          </w:p>
        </w:tc>
      </w:tr>
    </w:tbl>
    <w:p w:rsidR="009E1499" w:rsidRPr="00EE7C9B" w:rsidRDefault="009E1499" w:rsidP="009E1499"/>
    <w:p w:rsidR="009E1499" w:rsidRPr="00EE7C9B" w:rsidRDefault="009E1499" w:rsidP="009E1499"/>
    <w:p w:rsidR="009E1499" w:rsidRDefault="009E1499" w:rsidP="009E1499">
      <w:pPr>
        <w:shd w:val="clear" w:color="auto" w:fill="FFFFFF"/>
        <w:jc w:val="both"/>
        <w:rPr>
          <w:b/>
          <w:bCs/>
          <w:color w:val="000000"/>
          <w:sz w:val="28"/>
          <w:szCs w:val="28"/>
          <w:lang w:val="en-US" w:eastAsia="ru-RU"/>
        </w:rPr>
      </w:pPr>
      <w:proofErr w:type="spellStart"/>
      <w:r>
        <w:rPr>
          <w:b/>
          <w:bCs/>
          <w:color w:val="000000"/>
          <w:sz w:val="28"/>
          <w:szCs w:val="28"/>
          <w:lang w:val="en-US" w:eastAsia="ru-RU"/>
        </w:rPr>
        <w:t>Viceprim-ministru</w:t>
      </w:r>
      <w:proofErr w:type="spellEnd"/>
      <w:r>
        <w:rPr>
          <w:b/>
          <w:bCs/>
          <w:color w:val="000000"/>
          <w:sz w:val="28"/>
          <w:szCs w:val="28"/>
          <w:lang w:val="en-US" w:eastAsia="ru-RU"/>
        </w:rPr>
        <w:t>,</w:t>
      </w:r>
    </w:p>
    <w:p w:rsidR="009E1499" w:rsidRDefault="009E1499" w:rsidP="009E1499">
      <w:pPr>
        <w:rPr>
          <w:b/>
          <w:bCs/>
          <w:color w:val="000000"/>
          <w:sz w:val="28"/>
          <w:szCs w:val="28"/>
          <w:lang w:val="en-US" w:eastAsia="ru-RU"/>
        </w:rPr>
      </w:pPr>
      <w:proofErr w:type="spellStart"/>
      <w:r>
        <w:rPr>
          <w:b/>
          <w:bCs/>
          <w:color w:val="000000"/>
          <w:sz w:val="28"/>
          <w:szCs w:val="28"/>
          <w:lang w:val="en-US" w:eastAsia="ru-RU"/>
        </w:rPr>
        <w:t>Ministru</w:t>
      </w:r>
      <w:proofErr w:type="spellEnd"/>
      <w:r>
        <w:rPr>
          <w:b/>
          <w:bCs/>
          <w:color w:val="000000"/>
          <w:sz w:val="28"/>
          <w:szCs w:val="28"/>
          <w:lang w:val="en-US" w:eastAsia="ru-RU"/>
        </w:rPr>
        <w:t xml:space="preserve"> al </w:t>
      </w:r>
      <w:proofErr w:type="spellStart"/>
      <w:r>
        <w:rPr>
          <w:b/>
          <w:bCs/>
          <w:color w:val="000000"/>
          <w:sz w:val="28"/>
          <w:szCs w:val="28"/>
          <w:lang w:val="en-US" w:eastAsia="ru-RU"/>
        </w:rPr>
        <w:t>Finanțelor</w:t>
      </w:r>
      <w:proofErr w:type="spellEnd"/>
      <w:r>
        <w:rPr>
          <w:b/>
          <w:bCs/>
          <w:color w:val="000000"/>
          <w:sz w:val="28"/>
          <w:szCs w:val="28"/>
          <w:lang w:val="en-US" w:eastAsia="ru-RU"/>
        </w:rPr>
        <w:t xml:space="preserve">                    </w:t>
      </w:r>
      <w:bookmarkStart w:id="0" w:name="_GoBack"/>
      <w:bookmarkEnd w:id="0"/>
      <w:r w:rsidRPr="002F7E12">
        <w:rPr>
          <w:rFonts w:asciiTheme="minorHAnsi" w:eastAsiaTheme="minorHAnsi" w:hAnsiTheme="minorHAnsi" w:cstheme="minorBidi"/>
          <w:sz w:val="28"/>
          <w:szCs w:val="28"/>
          <w:lang w:val="en-US"/>
        </w:rPr>
        <w:t xml:space="preserve">                                                  </w:t>
      </w:r>
      <w:proofErr w:type="spellStart"/>
      <w:r w:rsidRPr="002F7E12">
        <w:rPr>
          <w:b/>
          <w:bCs/>
          <w:color w:val="000000"/>
          <w:sz w:val="28"/>
          <w:szCs w:val="28"/>
          <w:lang w:val="en-US" w:eastAsia="ru-RU"/>
        </w:rPr>
        <w:t>Serghei</w:t>
      </w:r>
      <w:proofErr w:type="spellEnd"/>
      <w:r w:rsidRPr="002F7E12">
        <w:rPr>
          <w:b/>
          <w:bCs/>
          <w:color w:val="000000"/>
          <w:sz w:val="28"/>
          <w:szCs w:val="28"/>
          <w:lang w:val="en-US" w:eastAsia="ru-RU"/>
        </w:rPr>
        <w:t xml:space="preserve"> PUȘCUȚA</w:t>
      </w: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rPr>
          <w:b/>
          <w:bCs/>
          <w:color w:val="000000"/>
          <w:sz w:val="28"/>
          <w:szCs w:val="28"/>
          <w:lang w:val="en-US" w:eastAsia="ru-RU"/>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sz w:val="26"/>
          <w:szCs w:val="26"/>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E1499" w:rsidRDefault="009E1499" w:rsidP="009E1499">
      <w:pPr>
        <w:tabs>
          <w:tab w:val="left" w:pos="993"/>
        </w:tabs>
        <w:jc w:val="both"/>
        <w:rPr>
          <w:color w:val="000000"/>
          <w:sz w:val="26"/>
          <w:szCs w:val="26"/>
          <w:lang w:val="ro-MO"/>
        </w:rPr>
      </w:pPr>
    </w:p>
    <w:p w:rsidR="009C1640" w:rsidRPr="009E1499" w:rsidRDefault="009C1640">
      <w:pPr>
        <w:rPr>
          <w:lang w:val="ro-MO"/>
        </w:rPr>
      </w:pPr>
    </w:p>
    <w:sectPr w:rsidR="009C1640" w:rsidRPr="009E1499" w:rsidSect="009C1640">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E1499"/>
    <w:rsid w:val="009C1640"/>
    <w:rsid w:val="009E1499"/>
    <w:rsid w:val="009F754B"/>
    <w:rsid w:val="00C47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9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1499"/>
    <w:pPr>
      <w:numPr>
        <w:ilvl w:val="12"/>
      </w:numPr>
      <w:jc w:val="center"/>
    </w:pPr>
    <w:rPr>
      <w:b/>
      <w:szCs w:val="20"/>
      <w:lang w:val="ro-RO"/>
    </w:rPr>
  </w:style>
  <w:style w:type="character" w:customStyle="1" w:styleId="a4">
    <w:name w:val="Основной текст Знак"/>
    <w:basedOn w:val="a0"/>
    <w:link w:val="a3"/>
    <w:rsid w:val="009E1499"/>
    <w:rPr>
      <w:rFonts w:ascii="Times New Roman" w:eastAsia="Times New Roman" w:hAnsi="Times New Roman" w:cs="Times New Roman"/>
      <w:b/>
      <w:sz w:val="24"/>
      <w:szCs w:val="20"/>
      <w:lang w:val="ro-RO"/>
    </w:rPr>
  </w:style>
  <w:style w:type="paragraph" w:styleId="a5">
    <w:name w:val="Normal (Web)"/>
    <w:aliases w:val="webb, webb"/>
    <w:basedOn w:val="a"/>
    <w:link w:val="a6"/>
    <w:qFormat/>
    <w:rsid w:val="009E1499"/>
    <w:pPr>
      <w:ind w:firstLine="567"/>
      <w:jc w:val="both"/>
    </w:pPr>
    <w:rPr>
      <w:lang w:val="ru-RU" w:eastAsia="ru-RU"/>
    </w:rPr>
  </w:style>
  <w:style w:type="character" w:customStyle="1" w:styleId="a6">
    <w:name w:val="Обычный (веб) Знак"/>
    <w:aliases w:val="webb Знак, webb Знак"/>
    <w:link w:val="a5"/>
    <w:locked/>
    <w:rsid w:val="009E1499"/>
    <w:rPr>
      <w:rFonts w:ascii="Times New Roman" w:eastAsia="Times New Roman" w:hAnsi="Times New Roman" w:cs="Times New Roman"/>
      <w:sz w:val="24"/>
      <w:szCs w:val="24"/>
      <w:lang w:eastAsia="ru-RU"/>
    </w:rPr>
  </w:style>
  <w:style w:type="character" w:styleId="a7">
    <w:name w:val="Strong"/>
    <w:basedOn w:val="a0"/>
    <w:uiPriority w:val="22"/>
    <w:qFormat/>
    <w:rsid w:val="009E1499"/>
    <w:rPr>
      <w:b/>
      <w:bCs/>
    </w:rPr>
  </w:style>
  <w:style w:type="character" w:styleId="a8">
    <w:name w:val="Hyperlink"/>
    <w:rsid w:val="009E14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f.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0</DocSecurity>
  <Lines>29</Lines>
  <Paragraphs>8</Paragraphs>
  <ScaleCrop>false</ScaleCrop>
  <Company>CtrlSoft</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rotarustef</dc:creator>
  <cp:lastModifiedBy>rotarustef</cp:lastModifiedBy>
  <cp:revision>1</cp:revision>
  <dcterms:created xsi:type="dcterms:W3CDTF">2020-03-02T12:17:00Z</dcterms:created>
  <dcterms:modified xsi:type="dcterms:W3CDTF">2020-03-02T12:17:00Z</dcterms:modified>
</cp:coreProperties>
</file>