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1A" w:rsidRPr="003021CF" w:rsidRDefault="00ED2CAE" w:rsidP="00ED2CAE">
      <w:pPr>
        <w:jc w:val="center"/>
        <w:rPr>
          <w:b/>
        </w:rPr>
      </w:pPr>
      <w:r w:rsidRPr="00410215">
        <w:rPr>
          <w:b/>
          <w:lang w:val="fr-FR"/>
        </w:rPr>
        <w:t>NOT</w:t>
      </w:r>
      <w:r w:rsidRPr="003021CF">
        <w:rPr>
          <w:b/>
        </w:rPr>
        <w:t>Ă</w:t>
      </w:r>
    </w:p>
    <w:p w:rsidR="00ED2CAE" w:rsidRPr="003021CF" w:rsidRDefault="00ED2CAE" w:rsidP="00ED2CAE">
      <w:pPr>
        <w:jc w:val="center"/>
        <w:rPr>
          <w:b/>
        </w:rPr>
      </w:pPr>
      <w:r w:rsidRPr="003021CF">
        <w:rPr>
          <w:b/>
        </w:rPr>
        <w:t>privind elaborarea documentului normativ CP G.03.08:2020 „Instalații și rețele de alimentare cu apă și canalizare. Proiectarea și construcția sistemelor exterioare de alimentare cu  apă potabilă pentru localități mici, cu un consum sub 200 m</w:t>
      </w:r>
      <w:r w:rsidRPr="003021CF">
        <w:rPr>
          <w:b/>
          <w:vertAlign w:val="superscript"/>
        </w:rPr>
        <w:t>3</w:t>
      </w:r>
      <w:r w:rsidRPr="003021CF">
        <w:rPr>
          <w:b/>
        </w:rPr>
        <w:t>/zi”</w:t>
      </w:r>
    </w:p>
    <w:p w:rsidR="00ED2CAE" w:rsidRDefault="00ED2CAE" w:rsidP="00ED2CAE"/>
    <w:p w:rsidR="009E371E" w:rsidRDefault="009E371E" w:rsidP="009E371E">
      <w:pPr>
        <w:ind w:firstLine="567"/>
      </w:pPr>
      <w:r>
        <w:t>Factorul de mediu cu cel mai mare impact asupra sănătății populației este apa, având în vedere importanța vitală permanentă a prezenței apei potabile pentru procesele fiziologice, biochimice etc. ce au loc în organismul uman, precum şi pentru necesitățile igienice şi menajere.</w:t>
      </w:r>
    </w:p>
    <w:p w:rsidR="009E371E" w:rsidRDefault="009E371E" w:rsidP="009E371E">
      <w:pPr>
        <w:ind w:firstLine="567"/>
      </w:pPr>
    </w:p>
    <w:p w:rsidR="009E371E" w:rsidRDefault="009E371E" w:rsidP="009E371E">
      <w:pPr>
        <w:ind w:firstLine="567"/>
      </w:pPr>
      <w:r>
        <w:t>Alimentația populației cu apă potabilă şi în cantități suficiente trebuie să fie una din direcțiile prioritare în politica şi acțiunile statului pentru sănătate în relație cu mediul, fiind o măsură eficientă în profilaxia maladiilor condiționate de apă.</w:t>
      </w:r>
    </w:p>
    <w:p w:rsidR="009E371E" w:rsidRDefault="009E371E" w:rsidP="009E371E">
      <w:pPr>
        <w:ind w:firstLine="567"/>
      </w:pPr>
    </w:p>
    <w:p w:rsidR="00ED2CAE" w:rsidRDefault="00ED2CAE" w:rsidP="009E371E">
      <w:pPr>
        <w:ind w:firstLine="567"/>
      </w:pPr>
      <w:r w:rsidRPr="00ED2CAE">
        <w:t>Prezentul Cod practic în construcții stabilește cerințe privind proiectarea și construcția sistemelor exterioare de alimentare cu apă potabilă, conform SM SR EN 805</w:t>
      </w:r>
      <w:r>
        <w:t xml:space="preserve"> „</w:t>
      </w:r>
      <w:r w:rsidRPr="00ED2CAE">
        <w:t>Alimentări cu apă. Condiții pentru sistemele și componentele exterioare clădirilor</w:t>
      </w:r>
      <w:r>
        <w:t>”</w:t>
      </w:r>
      <w:r w:rsidRPr="00ED2CAE">
        <w:t>, a localităților sau a unor obiecte sociale separate (case de odihnă, tabere de vară pentru copii, ferme, depozite, penitenciare etc.), cu un volum al consumului de apă care nu depășește 200 m</w:t>
      </w:r>
      <w:r w:rsidRPr="00ED2CAE">
        <w:rPr>
          <w:vertAlign w:val="superscript"/>
        </w:rPr>
        <w:t>3</w:t>
      </w:r>
      <w:r w:rsidRPr="00ED2CAE">
        <w:t>/zi. Codul stabilește cerințe privind determinarea debitelor de calcul, surselor, schemelor și sistemelor de alimentare cu apă, rețelelor și construcțiilor acestora.</w:t>
      </w:r>
    </w:p>
    <w:p w:rsidR="009E371E" w:rsidRDefault="009E371E" w:rsidP="009E371E">
      <w:pPr>
        <w:ind w:firstLine="567"/>
      </w:pPr>
    </w:p>
    <w:p w:rsidR="00ED2CAE" w:rsidRDefault="009E371E" w:rsidP="009E371E">
      <w:pPr>
        <w:ind w:firstLine="567"/>
      </w:pPr>
      <w:r w:rsidRPr="009E371E">
        <w:t xml:space="preserve">La elaborarea proiectelor de alimentare cu apă potabilă trebuie respectate actele legislative ale Republicii Moldova, cerințele privind protecția mediului, utilizarea rațională a resurselor naturale, prevederile organelor supravegherii </w:t>
      </w:r>
      <w:proofErr w:type="spellStart"/>
      <w:r w:rsidRPr="009E371E">
        <w:t>sanitaro</w:t>
      </w:r>
      <w:proofErr w:type="spellEnd"/>
      <w:r w:rsidRPr="009E371E">
        <w:t>-epidemiologice de stat, precum și documentele normative valabile la momentul proiectării.</w:t>
      </w:r>
    </w:p>
    <w:p w:rsidR="009E371E" w:rsidRDefault="009E371E" w:rsidP="009E371E">
      <w:pPr>
        <w:ind w:firstLine="567"/>
      </w:pPr>
    </w:p>
    <w:p w:rsidR="00ED2CAE" w:rsidRDefault="009E371E" w:rsidP="009E371E">
      <w:pPr>
        <w:ind w:firstLine="567"/>
      </w:pPr>
      <w:r w:rsidRPr="009E371E">
        <w:t>Cod</w:t>
      </w:r>
      <w:r>
        <w:t>ul practic</w:t>
      </w:r>
      <w:r w:rsidRPr="009E371E">
        <w:t xml:space="preserve"> se aplică la proiectarea și construcția sistemelor noi de alimentare cu apă potabilă și celor supuse reconstrucției.</w:t>
      </w:r>
    </w:p>
    <w:p w:rsidR="009E371E" w:rsidRDefault="009E371E" w:rsidP="009E371E">
      <w:pPr>
        <w:ind w:firstLine="567"/>
      </w:pPr>
    </w:p>
    <w:p w:rsidR="009E371E" w:rsidRDefault="009E371E" w:rsidP="009E371E">
      <w:pPr>
        <w:ind w:firstLine="567"/>
      </w:pPr>
      <w:r w:rsidRPr="009E371E">
        <w:t xml:space="preserve">Cerințele de protecție împotriva </w:t>
      </w:r>
      <w:proofErr w:type="spellStart"/>
      <w:r w:rsidRPr="009E371E">
        <w:t>ince</w:t>
      </w:r>
      <w:proofErr w:type="spellEnd"/>
      <w:r w:rsidR="00410215">
        <w:t xml:space="preserve"> </w:t>
      </w:r>
      <w:bookmarkStart w:id="0" w:name="_GoBack"/>
      <w:bookmarkEnd w:id="0"/>
      <w:r w:rsidRPr="009E371E">
        <w:t>ndiului din prezentul Cod nu se aplică sistemelor de alimentare cu apă ale întreprinderilor care produc, utilizează sau păstrează substanțe inflamabile sau explozive, depozite de materiale combustibile și ușor inflamabile, pentru care cerințele de stingere a incendiului sunt stabilite prin documente normative separate.</w:t>
      </w:r>
    </w:p>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p w:rsidR="009E371E" w:rsidRDefault="009E371E" w:rsidP="00ED2CAE">
      <w:r>
        <w:t>Persoana de contact: Croitoru Gheorghe</w:t>
      </w:r>
    </w:p>
    <w:p w:rsidR="009E371E" w:rsidRPr="00ED2CAE" w:rsidRDefault="009E371E" w:rsidP="00ED2CAE">
      <w:r>
        <w:t>Tel.: 022 234 013; gheorghe.croitoru@mei.gov.md</w:t>
      </w:r>
    </w:p>
    <w:sectPr w:rsidR="009E371E" w:rsidRPr="00ED2CAE" w:rsidSect="00480E68">
      <w:pgSz w:w="11907" w:h="16840" w:code="9"/>
      <w:pgMar w:top="851" w:right="851" w:bottom="851" w:left="1418" w:header="142" w:footer="2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FF"/>
    <w:rsid w:val="001020F7"/>
    <w:rsid w:val="002D3E7A"/>
    <w:rsid w:val="003021CF"/>
    <w:rsid w:val="00307649"/>
    <w:rsid w:val="00345B36"/>
    <w:rsid w:val="00383D2A"/>
    <w:rsid w:val="003E69BE"/>
    <w:rsid w:val="00410215"/>
    <w:rsid w:val="00480E68"/>
    <w:rsid w:val="006833B0"/>
    <w:rsid w:val="007D1231"/>
    <w:rsid w:val="008513D2"/>
    <w:rsid w:val="009A5B3C"/>
    <w:rsid w:val="009E371E"/>
    <w:rsid w:val="00A0241B"/>
    <w:rsid w:val="00BA30FF"/>
    <w:rsid w:val="00C7031A"/>
    <w:rsid w:val="00D47963"/>
    <w:rsid w:val="00ED2CAE"/>
    <w:rsid w:val="00FA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AB015-83E8-4BF4-9A66-AB9CC31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AdInsMDRC</dc:creator>
  <cp:keywords/>
  <dc:description/>
  <cp:lastModifiedBy>Lucia Cecan</cp:lastModifiedBy>
  <cp:revision>2</cp:revision>
  <dcterms:created xsi:type="dcterms:W3CDTF">2020-05-06T06:17:00Z</dcterms:created>
  <dcterms:modified xsi:type="dcterms:W3CDTF">2020-05-06T06:17:00Z</dcterms:modified>
</cp:coreProperties>
</file>