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F7" w:rsidRPr="009B2301" w:rsidRDefault="00BF7CF7" w:rsidP="009B230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2301">
        <w:rPr>
          <w:rFonts w:ascii="Times New Roman" w:hAnsi="Times New Roman" w:cs="Times New Roman"/>
          <w:b/>
          <w:sz w:val="27"/>
          <w:szCs w:val="27"/>
        </w:rPr>
        <w:t>Nota informativă</w:t>
      </w:r>
    </w:p>
    <w:p w:rsidR="00182C95" w:rsidRPr="009B2301" w:rsidRDefault="00BF7CF7" w:rsidP="009B2301">
      <w:pPr>
        <w:jc w:val="center"/>
        <w:rPr>
          <w:rFonts w:ascii="Times New Roman" w:hAnsi="Times New Roman" w:cs="Times New Roman"/>
          <w:sz w:val="27"/>
          <w:szCs w:val="27"/>
        </w:rPr>
      </w:pPr>
      <w:r w:rsidRPr="009B2301">
        <w:rPr>
          <w:rFonts w:ascii="Times New Roman" w:hAnsi="Times New Roman" w:cs="Times New Roman"/>
          <w:sz w:val="27"/>
          <w:szCs w:val="27"/>
        </w:rPr>
        <w:t xml:space="preserve">la proiectul hotărârii Guvernului cu privire la modificarea </w:t>
      </w:r>
      <w:r w:rsidR="00890603">
        <w:rPr>
          <w:rFonts w:ascii="Times New Roman" w:hAnsi="Times New Roman" w:cs="Times New Roman"/>
          <w:sz w:val="27"/>
          <w:szCs w:val="27"/>
        </w:rPr>
        <w:t>a</w:t>
      </w:r>
      <w:bookmarkStart w:id="0" w:name="_GoBack"/>
      <w:bookmarkEnd w:id="0"/>
      <w:r w:rsidR="005567CA" w:rsidRPr="009B2301">
        <w:rPr>
          <w:rFonts w:ascii="Times New Roman" w:hAnsi="Times New Roman" w:cs="Times New Roman"/>
          <w:sz w:val="27"/>
          <w:szCs w:val="27"/>
        </w:rPr>
        <w:t>nex</w:t>
      </w:r>
      <w:r w:rsidR="0056374A" w:rsidRPr="009B2301">
        <w:rPr>
          <w:rFonts w:ascii="Times New Roman" w:hAnsi="Times New Roman" w:cs="Times New Roman"/>
          <w:sz w:val="27"/>
          <w:szCs w:val="27"/>
        </w:rPr>
        <w:t>ei</w:t>
      </w:r>
      <w:r w:rsidR="005567CA" w:rsidRPr="009B2301">
        <w:rPr>
          <w:rFonts w:ascii="Times New Roman" w:hAnsi="Times New Roman" w:cs="Times New Roman"/>
          <w:sz w:val="27"/>
          <w:szCs w:val="27"/>
        </w:rPr>
        <w:t xml:space="preserve"> nr. 1</w:t>
      </w:r>
    </w:p>
    <w:p w:rsidR="00182C95" w:rsidRPr="009B2301" w:rsidRDefault="005567CA" w:rsidP="009B2301">
      <w:pPr>
        <w:jc w:val="center"/>
        <w:rPr>
          <w:rFonts w:ascii="Times New Roman" w:hAnsi="Times New Roman" w:cs="Times New Roman"/>
          <w:sz w:val="27"/>
          <w:szCs w:val="27"/>
        </w:rPr>
      </w:pPr>
      <w:r w:rsidRPr="009B2301">
        <w:rPr>
          <w:rFonts w:ascii="Times New Roman" w:hAnsi="Times New Roman" w:cs="Times New Roman"/>
          <w:sz w:val="27"/>
          <w:szCs w:val="27"/>
        </w:rPr>
        <w:t xml:space="preserve"> la Hotărârea</w:t>
      </w:r>
      <w:r w:rsidR="00BF7CF7" w:rsidRPr="009B2301">
        <w:rPr>
          <w:rFonts w:ascii="Times New Roman" w:hAnsi="Times New Roman" w:cs="Times New Roman"/>
          <w:sz w:val="27"/>
          <w:szCs w:val="27"/>
        </w:rPr>
        <w:t xml:space="preserve"> Guvernului nr. 115/2013 privind controlul nitraților</w:t>
      </w:r>
    </w:p>
    <w:p w:rsidR="00BF7CF7" w:rsidRPr="009B2301" w:rsidRDefault="00BF7CF7" w:rsidP="009B2301">
      <w:pPr>
        <w:jc w:val="center"/>
        <w:rPr>
          <w:rFonts w:ascii="Times New Roman" w:hAnsi="Times New Roman" w:cs="Times New Roman"/>
          <w:sz w:val="27"/>
          <w:szCs w:val="27"/>
        </w:rPr>
      </w:pPr>
      <w:r w:rsidRPr="009B2301">
        <w:rPr>
          <w:rFonts w:ascii="Times New Roman" w:hAnsi="Times New Roman" w:cs="Times New Roman"/>
          <w:sz w:val="27"/>
          <w:szCs w:val="27"/>
        </w:rPr>
        <w:t xml:space="preserve"> în produsele alimentare de origine vegetală</w:t>
      </w:r>
    </w:p>
    <w:p w:rsidR="002521B5" w:rsidRPr="009B2301" w:rsidRDefault="002521B5" w:rsidP="009B230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7B009C" w:rsidRPr="009B2301" w:rsidRDefault="007B009C" w:rsidP="009B2301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9B2301" w:rsidRPr="009B2301" w:rsidTr="009B2301">
        <w:trPr>
          <w:trHeight w:val="1254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F7" w:rsidRPr="009B2301" w:rsidRDefault="002521B5" w:rsidP="009B2301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bidi="ro-RO"/>
              </w:rPr>
            </w:pPr>
            <w:r w:rsidRPr="009B2301">
              <w:rPr>
                <w:rFonts w:ascii="Times New Roman" w:hAnsi="Times New Roman"/>
                <w:b/>
                <w:bCs/>
                <w:sz w:val="27"/>
                <w:szCs w:val="27"/>
                <w:lang w:bidi="ro-RO"/>
              </w:rPr>
              <w:t>Denumirea autorului ș</w:t>
            </w:r>
            <w:r w:rsidR="00BF7CF7" w:rsidRPr="009B2301">
              <w:rPr>
                <w:rFonts w:ascii="Times New Roman" w:hAnsi="Times New Roman"/>
                <w:b/>
                <w:bCs/>
                <w:sz w:val="27"/>
                <w:szCs w:val="27"/>
                <w:lang w:bidi="ro-RO"/>
              </w:rPr>
              <w:t xml:space="preserve">i, după caz, a </w:t>
            </w:r>
            <w:r w:rsidRPr="009B2301">
              <w:rPr>
                <w:rFonts w:ascii="Times New Roman" w:hAnsi="Times New Roman"/>
                <w:b/>
                <w:bCs/>
                <w:sz w:val="27"/>
                <w:szCs w:val="27"/>
                <w:lang w:bidi="ro-RO"/>
              </w:rPr>
              <w:t>participanț</w:t>
            </w:r>
            <w:r w:rsidR="00BF7CF7" w:rsidRPr="009B2301">
              <w:rPr>
                <w:rFonts w:ascii="Times New Roman" w:hAnsi="Times New Roman"/>
                <w:b/>
                <w:bCs/>
                <w:sz w:val="27"/>
                <w:szCs w:val="27"/>
                <w:lang w:bidi="ro-RO"/>
              </w:rPr>
              <w:t>ilor la elaborarea proiectului</w:t>
            </w:r>
          </w:p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Ministerul Agriculturii, Dezvoltării Regionale și Mediului 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2521B5" w:rsidP="009B2301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2.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ab/>
              <w:t>Condiț</w:t>
            </w:r>
            <w:r w:rsidR="00BF7CF7" w:rsidRPr="009B2301">
              <w:rPr>
                <w:rFonts w:ascii="Times New Roman" w:hAnsi="Times New Roman"/>
                <w:b/>
                <w:sz w:val="27"/>
                <w:szCs w:val="27"/>
              </w:rPr>
              <w:t>iile ce au impus elaborarea proiectu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lui de act normativ și finalităț</w:t>
            </w:r>
            <w:r w:rsidR="00BF7CF7" w:rsidRPr="009B2301">
              <w:rPr>
                <w:rFonts w:ascii="Times New Roman" w:hAnsi="Times New Roman"/>
                <w:b/>
                <w:sz w:val="27"/>
                <w:szCs w:val="27"/>
              </w:rPr>
              <w:t>ile urmărite</w:t>
            </w:r>
          </w:p>
        </w:tc>
      </w:tr>
      <w:tr w:rsidR="009B2301" w:rsidRPr="009B2301" w:rsidTr="00631C4E">
        <w:trPr>
          <w:trHeight w:val="310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9" w:rsidRPr="009B2301" w:rsidRDefault="007712C2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Proiectul este elaborat în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>tru executarea</w:t>
            </w:r>
            <w:r w:rsidR="00A05F79" w:rsidRPr="009B2301">
              <w:rPr>
                <w:rFonts w:ascii="Times New Roman" w:hAnsi="Times New Roman"/>
                <w:sz w:val="27"/>
                <w:szCs w:val="27"/>
              </w:rPr>
              <w:t>:</w:t>
            </w:r>
          </w:p>
          <w:p w:rsidR="007143A2" w:rsidRPr="009B2301" w:rsidRDefault="007143A2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Planului de acțiuni al Guvernului pentru anii 2020-2023, aprobat prin Hotărârea Guvernului nr.636/2019 (cap. VIII. pct. 8.4, </w:t>
            </w:r>
            <w:proofErr w:type="spellStart"/>
            <w:r w:rsidRPr="009B2301">
              <w:rPr>
                <w:rFonts w:ascii="Times New Roman" w:hAnsi="Times New Roman"/>
                <w:sz w:val="27"/>
                <w:szCs w:val="27"/>
              </w:rPr>
              <w:t>subpct</w:t>
            </w:r>
            <w:proofErr w:type="spellEnd"/>
            <w:r w:rsidRPr="009B2301">
              <w:rPr>
                <w:rFonts w:ascii="Times New Roman" w:hAnsi="Times New Roman"/>
                <w:sz w:val="27"/>
                <w:szCs w:val="27"/>
              </w:rPr>
              <w:t>. 8.4.2);</w:t>
            </w:r>
          </w:p>
          <w:p w:rsidR="007143A2" w:rsidRPr="009B2301" w:rsidRDefault="007143A2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D</w:t>
            </w:r>
            <w:r w:rsidR="007712C2" w:rsidRPr="009B2301">
              <w:rPr>
                <w:rFonts w:ascii="Times New Roman" w:hAnsi="Times New Roman"/>
                <w:sz w:val="27"/>
                <w:szCs w:val="27"/>
              </w:rPr>
              <w:t>ecizi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>ei luate</w:t>
            </w:r>
            <w:r w:rsidR="007712C2" w:rsidRPr="009B2301">
              <w:rPr>
                <w:rFonts w:ascii="Times New Roman" w:hAnsi="Times New Roman"/>
                <w:sz w:val="27"/>
                <w:szCs w:val="27"/>
              </w:rPr>
              <w:t xml:space="preserve"> în cadrul reuniunii sub-comitetului Moldova - Uniunea Europeană pentru Măsurile Sanitare și Fitosanitare (SPS), desfășurate la Chișinău, la data de 19.07.2019</w:t>
            </w:r>
            <w:r w:rsidR="00A05F79" w:rsidRPr="009B2301">
              <w:rPr>
                <w:rFonts w:ascii="Times New Roman" w:hAnsi="Times New Roman"/>
                <w:sz w:val="27"/>
                <w:szCs w:val="27"/>
              </w:rPr>
              <w:t xml:space="preserve">. </w:t>
            </w:r>
          </w:p>
          <w:p w:rsidR="007143A2" w:rsidRPr="009B2301" w:rsidRDefault="00A05F79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Urmare a evaluării cadrului normativ național </w:t>
            </w:r>
            <w:r w:rsidR="007143A2" w:rsidRPr="009B2301">
              <w:rPr>
                <w:rFonts w:ascii="Times New Roman" w:hAnsi="Times New Roman"/>
                <w:sz w:val="27"/>
                <w:szCs w:val="27"/>
              </w:rPr>
              <w:t xml:space="preserve">de către experții UE,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au fost identificate divergențe între </w:t>
            </w:r>
            <w:r w:rsidR="007143A2" w:rsidRPr="009B2301">
              <w:rPr>
                <w:rFonts w:ascii="Times New Roman" w:hAnsi="Times New Roman"/>
                <w:sz w:val="27"/>
                <w:szCs w:val="27"/>
              </w:rPr>
              <w:t xml:space="preserve">normele cadrului normativ național comparativ cu actele UE, norme ce reglementează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LMA a conținutului de nitrați în produsele </w:t>
            </w:r>
            <w:r w:rsidR="007143A2" w:rsidRPr="009B2301">
              <w:rPr>
                <w:rFonts w:ascii="Times New Roman" w:hAnsi="Times New Roman"/>
                <w:sz w:val="27"/>
                <w:szCs w:val="27"/>
              </w:rPr>
              <w:t>de origine vegetală, calificate ca fiind bariere tehnice în calea comerțului.</w:t>
            </w:r>
          </w:p>
          <w:p w:rsidR="007143A2" w:rsidRPr="009B2301" w:rsidRDefault="007143A2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Apariția barierelor tehnice (TBT) în calea comerțului este urmare a reglementării, la nivel național a LMA a conținutului de nitrați pentru 22 produse vegetale</w:t>
            </w:r>
            <w:r w:rsidR="007C06F3" w:rsidRPr="009B2301">
              <w:rPr>
                <w:rFonts w:ascii="Times New Roman" w:hAnsi="Times New Roman"/>
                <w:sz w:val="27"/>
                <w:szCs w:val="27"/>
              </w:rPr>
              <w:t xml:space="preserve"> (Hotărârea Guvernului nr. 115/2013)</w:t>
            </w:r>
            <w:r w:rsidR="006218CC">
              <w:rPr>
                <w:rFonts w:ascii="Times New Roman" w:hAnsi="Times New Roman"/>
                <w:sz w:val="27"/>
                <w:szCs w:val="27"/>
              </w:rPr>
              <w:t>, comparativ cu doar 6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6218CC">
              <w:rPr>
                <w:rFonts w:ascii="Times New Roman" w:hAnsi="Times New Roman"/>
                <w:sz w:val="27"/>
                <w:szCs w:val="27"/>
              </w:rPr>
              <w:t>produse</w:t>
            </w:r>
            <w:r w:rsidR="009B2301" w:rsidRPr="009B2301">
              <w:rPr>
                <w:rFonts w:ascii="Times New Roman" w:hAnsi="Times New Roman"/>
                <w:sz w:val="27"/>
                <w:szCs w:val="27"/>
              </w:rPr>
              <w:t xml:space="preserve"> (salate, </w:t>
            </w:r>
            <w:proofErr w:type="spellStart"/>
            <w:r w:rsidR="009B2301" w:rsidRPr="009B2301">
              <w:rPr>
                <w:rFonts w:ascii="Times New Roman" w:hAnsi="Times New Roman"/>
                <w:sz w:val="27"/>
                <w:szCs w:val="27"/>
              </w:rPr>
              <w:t>rukola</w:t>
            </w:r>
            <w:proofErr w:type="spellEnd"/>
            <w:r w:rsidR="009B2301" w:rsidRPr="009B2301">
              <w:rPr>
                <w:rFonts w:ascii="Times New Roman" w:hAnsi="Times New Roman"/>
                <w:sz w:val="27"/>
                <w:szCs w:val="27"/>
              </w:rPr>
              <w:t>, spanacul și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preparate pe bază de cereale, destinate sugarilor și copiilor de vârstă mică), reglementate de Regulamentul (CE) nr. 1881/2006 al Comisiei din 19 decembrie 2006 de stabilire a nivelurilor maxime pentru anumiți contaminanți din produsele alimentare.</w:t>
            </w:r>
          </w:p>
          <w:p w:rsidR="007712C2" w:rsidRPr="009B2301" w:rsidRDefault="007C06F3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În cadrul ședinței comune cu sub-comitetul (SPS),</w:t>
            </w:r>
            <w:r w:rsidR="007712C2" w:rsidRPr="009B2301">
              <w:rPr>
                <w:rFonts w:ascii="Times New Roman" w:hAnsi="Times New Roman"/>
                <w:sz w:val="27"/>
                <w:szCs w:val="27"/>
              </w:rPr>
              <w:t xml:space="preserve"> a fost abordată problema excluderii barierelor tehnice (TBT) în calea comerțului, obiectiv prevăzut în Acordul Central European de Comerț Liber (CEFTA 2006).</w:t>
            </w:r>
          </w:p>
          <w:p w:rsidR="007712C2" w:rsidRPr="009B2301" w:rsidRDefault="00A05F79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Ba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>riere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>le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 xml:space="preserve"> tehnice în calea comerțului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>pot fi e</w:t>
            </w:r>
            <w:r w:rsidR="007712C2" w:rsidRPr="009B2301">
              <w:rPr>
                <w:rFonts w:ascii="Times New Roman" w:hAnsi="Times New Roman"/>
                <w:sz w:val="27"/>
                <w:szCs w:val="27"/>
              </w:rPr>
              <w:t>xclu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>se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 xml:space="preserve"> prin</w:t>
            </w:r>
            <w:r w:rsidR="007712C2" w:rsidRPr="009B2301">
              <w:rPr>
                <w:rFonts w:ascii="Times New Roman" w:hAnsi="Times New Roman"/>
                <w:sz w:val="27"/>
                <w:szCs w:val="27"/>
              </w:rPr>
              <w:t xml:space="preserve"> ajustarea cadrului normativ național ce reglementează conținutul de nitrați în produsele alimentare de origine vegetală</w:t>
            </w:r>
            <w:r w:rsidR="007B7BAF" w:rsidRPr="009B2301">
              <w:rPr>
                <w:rFonts w:ascii="Times New Roman" w:hAnsi="Times New Roman"/>
                <w:sz w:val="27"/>
                <w:szCs w:val="27"/>
              </w:rPr>
              <w:t>,</w:t>
            </w:r>
            <w:r w:rsidR="007712C2" w:rsidRPr="009B2301">
              <w:rPr>
                <w:rFonts w:ascii="Times New Roman" w:hAnsi="Times New Roman"/>
                <w:sz w:val="27"/>
                <w:szCs w:val="27"/>
              </w:rPr>
              <w:t xml:space="preserve"> cu cel prevăzut în Regulamentul (CE) nr. 1881/2006 al Comisiei din 19 decembrie 2006 de stabilire a nivelurilor maxime pentru anumiți contam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>inanți din produsele alimentare.</w:t>
            </w:r>
          </w:p>
        </w:tc>
      </w:tr>
      <w:tr w:rsidR="009B2301" w:rsidRPr="009B2301" w:rsidTr="00631C4E">
        <w:trPr>
          <w:trHeight w:val="667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3.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ab/>
              <w:t>Descrierea gradului de compatibilitate pentru proiectele care au ca scop armonizarea legislaţiei naţionale cu legislaţia Uniunii Europene</w:t>
            </w:r>
          </w:p>
        </w:tc>
      </w:tr>
      <w:tr w:rsidR="009B2301" w:rsidRPr="009B2301" w:rsidTr="00631C4E">
        <w:trPr>
          <w:trHeight w:val="310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2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Proiectul hotărârii Guvernului</w:t>
            </w:r>
            <w:r w:rsidRPr="009B2301">
              <w:rPr>
                <w:sz w:val="27"/>
                <w:szCs w:val="27"/>
              </w:rPr>
              <w:t xml:space="preserve">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transpune </w:t>
            </w:r>
            <w:r w:rsidR="0001432A" w:rsidRPr="009B2301">
              <w:rPr>
                <w:rFonts w:ascii="Times New Roman" w:hAnsi="Times New Roman"/>
                <w:sz w:val="27"/>
                <w:szCs w:val="27"/>
              </w:rPr>
              <w:t xml:space="preserve">integral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>prevederile</w:t>
            </w:r>
            <w:r w:rsidR="0056374A" w:rsidRPr="009B2301">
              <w:rPr>
                <w:rFonts w:ascii="Times New Roman" w:hAnsi="Times New Roman"/>
                <w:sz w:val="27"/>
                <w:szCs w:val="27"/>
              </w:rPr>
              <w:t xml:space="preserve"> punctului 1: Nitrați.</w:t>
            </w:r>
            <w:r w:rsidR="00B43F4C" w:rsidRPr="009B2301">
              <w:rPr>
                <w:rFonts w:ascii="Times New Roman" w:hAnsi="Times New Roman"/>
                <w:sz w:val="27"/>
                <w:szCs w:val="27"/>
              </w:rPr>
              <w:t xml:space="preserve"> din anexă la Regulamentul (CE) nr. 1881/2006 al Comisiei din 19 decembrie 2006 de stabilire a nivelurilor maxime pentru anumiți contaminanți din produsele alimentare. 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B2301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4.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ab/>
              <w:t>Principalele prev</w:t>
            </w:r>
            <w:r w:rsidR="009D279F" w:rsidRPr="009B2301">
              <w:rPr>
                <w:rFonts w:ascii="Times New Roman" w:hAnsi="Times New Roman"/>
                <w:b/>
                <w:sz w:val="27"/>
                <w:szCs w:val="27"/>
              </w:rPr>
              <w:t>ederi ale proiectului şi evidenț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ierea elementelor noi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A8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Proiectul propus creează cadrul normativ național, armonizat la acquis-ul comunitar, în vederea reglementării 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>limitei</w:t>
            </w:r>
            <w:r w:rsidR="00B43F4C" w:rsidRPr="009B2301">
              <w:rPr>
                <w:rFonts w:ascii="Times New Roman" w:hAnsi="Times New Roman"/>
                <w:sz w:val="27"/>
                <w:szCs w:val="27"/>
              </w:rPr>
              <w:t xml:space="preserve"> maxime 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>admisibile (LMA)</w:t>
            </w:r>
            <w:r w:rsidR="009D279F" w:rsidRPr="009B2301">
              <w:rPr>
                <w:rFonts w:ascii="Times New Roman" w:hAnsi="Times New Roman"/>
                <w:sz w:val="27"/>
                <w:szCs w:val="27"/>
              </w:rPr>
              <w:t xml:space="preserve"> a</w:t>
            </w:r>
            <w:r w:rsidR="00B43F4C" w:rsidRPr="009B2301">
              <w:rPr>
                <w:rFonts w:ascii="Times New Roman" w:hAnsi="Times New Roman"/>
                <w:sz w:val="27"/>
                <w:szCs w:val="27"/>
              </w:rPr>
              <w:t xml:space="preserve"> conținutul</w:t>
            </w:r>
            <w:r w:rsidR="009D279F" w:rsidRPr="009B2301">
              <w:rPr>
                <w:rFonts w:ascii="Times New Roman" w:hAnsi="Times New Roman"/>
                <w:sz w:val="27"/>
                <w:szCs w:val="27"/>
              </w:rPr>
              <w:t>ui</w:t>
            </w:r>
            <w:r w:rsidR="00B43F4C" w:rsidRPr="009B2301">
              <w:rPr>
                <w:rFonts w:ascii="Times New Roman" w:hAnsi="Times New Roman"/>
                <w:sz w:val="27"/>
                <w:szCs w:val="27"/>
              </w:rPr>
              <w:t xml:space="preserve"> de nitrați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 xml:space="preserve"> (mg/NO</w:t>
            </w:r>
            <w:r w:rsidR="00E07F0F" w:rsidRPr="009B2301">
              <w:rPr>
                <w:rFonts w:ascii="Times New Roman" w:hAnsi="Times New Roman"/>
                <w:sz w:val="27"/>
                <w:szCs w:val="27"/>
                <w:vertAlign w:val="subscript"/>
              </w:rPr>
              <w:t xml:space="preserve">3 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 xml:space="preserve">), </w:t>
            </w:r>
            <w:r w:rsidR="00B43F4C" w:rsidRPr="009B2301">
              <w:rPr>
                <w:rFonts w:ascii="Times New Roman" w:hAnsi="Times New Roman"/>
                <w:sz w:val="27"/>
                <w:szCs w:val="27"/>
              </w:rPr>
              <w:t>în produse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>le</w:t>
            </w:r>
            <w:r w:rsidR="00B43F4C" w:rsidRPr="009B2301">
              <w:rPr>
                <w:rFonts w:ascii="Times New Roman" w:hAnsi="Times New Roman"/>
                <w:sz w:val="27"/>
                <w:szCs w:val="27"/>
              </w:rPr>
              <w:t xml:space="preserve"> alimentare</w:t>
            </w:r>
            <w:r w:rsidR="005567CA"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 xml:space="preserve">de origine vegetală, </w:t>
            </w:r>
            <w:r w:rsidR="005567CA" w:rsidRPr="009B2301">
              <w:rPr>
                <w:rFonts w:ascii="Times New Roman" w:hAnsi="Times New Roman"/>
                <w:sz w:val="27"/>
                <w:szCs w:val="27"/>
              </w:rPr>
              <w:t>aplic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>ate</w:t>
            </w:r>
            <w:r w:rsidR="005567CA"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>părții comestibile a acestora.</w:t>
            </w:r>
          </w:p>
          <w:p w:rsidR="009315A8" w:rsidRPr="009B2301" w:rsidRDefault="009315A8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Proiectul conține pr</w:t>
            </w:r>
            <w:r w:rsidR="0001432A" w:rsidRPr="009B2301">
              <w:rPr>
                <w:rFonts w:ascii="Times New Roman" w:hAnsi="Times New Roman"/>
                <w:sz w:val="27"/>
                <w:szCs w:val="27"/>
              </w:rPr>
              <w:t xml:space="preserve">evederi specifice pentru </w:t>
            </w:r>
            <w:r w:rsidR="00980578" w:rsidRPr="009B2301">
              <w:rPr>
                <w:rFonts w:ascii="Times New Roman" w:hAnsi="Times New Roman"/>
                <w:sz w:val="27"/>
                <w:szCs w:val="27"/>
              </w:rPr>
              <w:t xml:space="preserve">următoarele produse vegetale: </w:t>
            </w:r>
            <w:r w:rsidR="0001432A" w:rsidRPr="009B2301">
              <w:rPr>
                <w:rFonts w:ascii="Times New Roman" w:hAnsi="Times New Roman"/>
                <w:sz w:val="27"/>
                <w:szCs w:val="27"/>
              </w:rPr>
              <w:t>spanac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conservat, congelat sau înghețat, salată cultivată în </w:t>
            </w:r>
            <w:r w:rsidR="00980578" w:rsidRPr="009B2301">
              <w:rPr>
                <w:rFonts w:ascii="Times New Roman" w:hAnsi="Times New Roman"/>
                <w:sz w:val="27"/>
                <w:szCs w:val="27"/>
              </w:rPr>
              <w:t>câmp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deschis sau seră, salata tip </w:t>
            </w:r>
            <w:proofErr w:type="spellStart"/>
            <w:r w:rsidRPr="009B2301">
              <w:rPr>
                <w:rFonts w:ascii="Times New Roman" w:hAnsi="Times New Roman"/>
                <w:sz w:val="27"/>
                <w:szCs w:val="27"/>
              </w:rPr>
              <w:t>Iaceberg</w:t>
            </w:r>
            <w:proofErr w:type="spellEnd"/>
            <w:r w:rsidRPr="009B2301">
              <w:rPr>
                <w:rFonts w:ascii="Times New Roman" w:hAnsi="Times New Roman"/>
                <w:sz w:val="27"/>
                <w:szCs w:val="27"/>
              </w:rPr>
              <w:t xml:space="preserve"> și </w:t>
            </w:r>
            <w:proofErr w:type="spellStart"/>
            <w:r w:rsidRPr="009B2301">
              <w:rPr>
                <w:rFonts w:ascii="Times New Roman" w:hAnsi="Times New Roman"/>
                <w:sz w:val="27"/>
                <w:szCs w:val="27"/>
              </w:rPr>
              <w:t>rucola</w:t>
            </w:r>
            <w:proofErr w:type="spellEnd"/>
            <w:r w:rsidRPr="009B2301">
              <w:rPr>
                <w:rFonts w:ascii="Times New Roman" w:hAnsi="Times New Roman"/>
                <w:sz w:val="27"/>
                <w:szCs w:val="27"/>
              </w:rPr>
              <w:t>. Totodată</w:t>
            </w:r>
            <w:r w:rsidR="00980578" w:rsidRPr="009B2301">
              <w:rPr>
                <w:rFonts w:ascii="Times New Roman" w:hAnsi="Times New Roman"/>
                <w:sz w:val="27"/>
                <w:szCs w:val="27"/>
              </w:rPr>
              <w:t>,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sunt reglementate 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 xml:space="preserve">LMA a conținutului de nitrați </w:t>
            </w:r>
            <w:r w:rsidR="00980578" w:rsidRPr="009B2301">
              <w:rPr>
                <w:rFonts w:ascii="Times New Roman" w:hAnsi="Times New Roman"/>
                <w:sz w:val="27"/>
                <w:szCs w:val="27"/>
              </w:rPr>
              <w:t>pentru alimentele destinate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copii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>lor</w:t>
            </w:r>
            <w:r w:rsidR="009B2301" w:rsidRPr="009B2301">
              <w:rPr>
                <w:rFonts w:ascii="Times New Roman" w:hAnsi="Times New Roman"/>
                <w:sz w:val="27"/>
                <w:szCs w:val="27"/>
              </w:rPr>
              <w:t xml:space="preserve"> care</w:t>
            </w:r>
            <w:r w:rsidR="00CF0AD2" w:rsidRPr="009B2301">
              <w:rPr>
                <w:rFonts w:ascii="Times New Roman" w:hAnsi="Times New Roman"/>
                <w:sz w:val="27"/>
                <w:szCs w:val="27"/>
              </w:rPr>
              <w:t xml:space="preserve"> sunt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preparate pe bază de cereale destinate sugarilor și copiilor de vârstă mica. </w:t>
            </w:r>
          </w:p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Proiectul are ca scop:</w:t>
            </w:r>
          </w:p>
          <w:p w:rsidR="00CF0AD2" w:rsidRPr="009B2301" w:rsidRDefault="00CF0AD2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A05E93" w:rsidRPr="009B2301">
              <w:rPr>
                <w:rFonts w:ascii="Times New Roman" w:hAnsi="Times New Roman"/>
                <w:sz w:val="27"/>
                <w:szCs w:val="27"/>
              </w:rPr>
              <w:t xml:space="preserve">unificarea 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 xml:space="preserve">LMA a conținutului de nitrați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>în produsele</w:t>
            </w:r>
            <w:r w:rsidR="00A05E93" w:rsidRPr="009B2301">
              <w:rPr>
                <w:rFonts w:ascii="Times New Roman" w:hAnsi="Times New Roman"/>
                <w:sz w:val="27"/>
                <w:szCs w:val="27"/>
              </w:rPr>
              <w:t xml:space="preserve"> alimentare de origine vegetală cu cele stabilite în statele UE;</w:t>
            </w:r>
          </w:p>
          <w:p w:rsidR="00BF7CF7" w:rsidRPr="009B2301" w:rsidRDefault="00A05E93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F7CF7" w:rsidRPr="009B2301">
              <w:rPr>
                <w:rFonts w:ascii="Times New Roman" w:hAnsi="Times New Roman"/>
                <w:sz w:val="27"/>
                <w:szCs w:val="27"/>
              </w:rPr>
              <w:t xml:space="preserve">protejarea consumatorului de riscul consumului de produse </w:t>
            </w:r>
            <w:r w:rsidR="009D279F" w:rsidRPr="009B2301">
              <w:rPr>
                <w:rFonts w:ascii="Times New Roman" w:hAnsi="Times New Roman"/>
                <w:sz w:val="27"/>
                <w:szCs w:val="27"/>
              </w:rPr>
              <w:t>al</w:t>
            </w:r>
            <w:r w:rsidR="005F7E1A" w:rsidRPr="009B2301">
              <w:rPr>
                <w:rFonts w:ascii="Times New Roman" w:hAnsi="Times New Roman"/>
                <w:sz w:val="27"/>
                <w:szCs w:val="27"/>
              </w:rPr>
              <w:t>imentare de origine vegetală cu</w:t>
            </w:r>
            <w:r w:rsidR="008C6B48"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D279F" w:rsidRPr="009B2301">
              <w:rPr>
                <w:rFonts w:ascii="Times New Roman" w:hAnsi="Times New Roman"/>
                <w:sz w:val="27"/>
                <w:szCs w:val="27"/>
              </w:rPr>
              <w:t>conț</w:t>
            </w:r>
            <w:r w:rsidR="00E07F0F" w:rsidRPr="009B2301">
              <w:rPr>
                <w:rFonts w:ascii="Times New Roman" w:hAnsi="Times New Roman"/>
                <w:sz w:val="27"/>
                <w:szCs w:val="27"/>
              </w:rPr>
              <w:t>inutul de nitrați peste limita admisibilă</w:t>
            </w:r>
            <w:r w:rsidR="00BF7CF7" w:rsidRPr="009B230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EB15D5" w:rsidRPr="009B2301" w:rsidRDefault="00FB0E72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EB15D5" w:rsidRPr="009B2301">
              <w:rPr>
                <w:rFonts w:ascii="Times New Roman" w:hAnsi="Times New Roman"/>
                <w:sz w:val="27"/>
                <w:szCs w:val="27"/>
              </w:rPr>
              <w:t xml:space="preserve">prevenirea </w:t>
            </w:r>
            <w:r w:rsidR="0095598D" w:rsidRPr="009B2301">
              <w:rPr>
                <w:rFonts w:ascii="Times New Roman" w:hAnsi="Times New Roman"/>
                <w:sz w:val="27"/>
                <w:szCs w:val="27"/>
              </w:rPr>
              <w:t>plasării pe piață a</w:t>
            </w:r>
            <w:r w:rsidR="00303CE4"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5567CA" w:rsidRPr="009B2301">
              <w:rPr>
                <w:rFonts w:ascii="Times New Roman" w:hAnsi="Times New Roman"/>
                <w:sz w:val="27"/>
                <w:szCs w:val="27"/>
              </w:rPr>
              <w:t xml:space="preserve">produselor vegetale </w:t>
            </w:r>
            <w:r w:rsidR="007027D0" w:rsidRPr="009B2301">
              <w:rPr>
                <w:rFonts w:ascii="Times New Roman" w:hAnsi="Times New Roman"/>
                <w:sz w:val="27"/>
                <w:szCs w:val="27"/>
              </w:rPr>
              <w:t xml:space="preserve">cu </w:t>
            </w:r>
            <w:r w:rsidR="00EB15D5" w:rsidRPr="009B2301">
              <w:rPr>
                <w:rFonts w:ascii="Times New Roman" w:hAnsi="Times New Roman"/>
                <w:sz w:val="27"/>
                <w:szCs w:val="27"/>
              </w:rPr>
              <w:t>risc major de intoxicare</w:t>
            </w:r>
            <w:r w:rsidR="009B2301" w:rsidRPr="009B2301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5.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ab/>
              <w:t>Fundamentarea economico-financiară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8D" w:rsidRPr="009B2301" w:rsidRDefault="00BF7CF7" w:rsidP="0008657A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Implementarea proiectului dat va implica mijloace financiare</w:t>
            </w:r>
            <w:r w:rsidR="0056374A" w:rsidRPr="009B2301">
              <w:rPr>
                <w:rFonts w:ascii="Times New Roman" w:hAnsi="Times New Roman"/>
                <w:sz w:val="27"/>
                <w:szCs w:val="27"/>
              </w:rPr>
              <w:t>,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EB15D5" w:rsidRPr="009B2301">
              <w:rPr>
                <w:rFonts w:ascii="Times New Roman" w:hAnsi="Times New Roman"/>
                <w:sz w:val="27"/>
                <w:szCs w:val="27"/>
              </w:rPr>
              <w:t>planifica</w:t>
            </w:r>
            <w:r w:rsidR="00D34C8D" w:rsidRPr="009B2301">
              <w:rPr>
                <w:rFonts w:ascii="Times New Roman" w:hAnsi="Times New Roman"/>
                <w:sz w:val="27"/>
                <w:szCs w:val="27"/>
              </w:rPr>
              <w:t xml:space="preserve">te anual de </w:t>
            </w:r>
            <w:r w:rsidR="00E03AAF" w:rsidRPr="009B2301">
              <w:rPr>
                <w:rFonts w:ascii="Times New Roman" w:hAnsi="Times New Roman"/>
                <w:sz w:val="27"/>
                <w:szCs w:val="27"/>
              </w:rPr>
              <w:t xml:space="preserve">către </w:t>
            </w:r>
            <w:r w:rsidR="00D34C8D" w:rsidRPr="009B2301">
              <w:rPr>
                <w:rFonts w:ascii="Times New Roman" w:hAnsi="Times New Roman"/>
                <w:sz w:val="27"/>
                <w:szCs w:val="27"/>
              </w:rPr>
              <w:t>Agenţia Naţională pentru Siguranţa Alimentelor</w:t>
            </w:r>
            <w:r w:rsidR="0008657A">
              <w:rPr>
                <w:rFonts w:ascii="Times New Roman" w:hAnsi="Times New Roman"/>
                <w:sz w:val="27"/>
                <w:szCs w:val="27"/>
              </w:rPr>
              <w:t xml:space="preserve"> pentru implementarea Planului anuale de control oficial, privind siguranța alimentelor. 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6.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ab/>
              <w:t>Modul de încorporare a actului în cadrul normativ în vigoare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Aprobarea proiectului de hotărâre a Guvernului nu implică modificarea altor acte normative.</w:t>
            </w:r>
          </w:p>
        </w:tc>
      </w:tr>
      <w:tr w:rsidR="009B2301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0F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>7.</w:t>
            </w:r>
            <w:r w:rsidRPr="009B2301">
              <w:rPr>
                <w:rFonts w:ascii="Times New Roman" w:hAnsi="Times New Roman"/>
                <w:b/>
                <w:sz w:val="27"/>
                <w:szCs w:val="27"/>
              </w:rPr>
              <w:tab/>
              <w:t>Avizarea şi consultarea publică a proiectului</w:t>
            </w:r>
          </w:p>
        </w:tc>
      </w:tr>
      <w:tr w:rsidR="00BF7CF7" w:rsidRPr="009B2301" w:rsidTr="00631C4E">
        <w:trPr>
          <w:trHeight w:val="333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Anun</w:t>
            </w:r>
            <w:r w:rsidR="00303CE4" w:rsidRPr="009B2301">
              <w:rPr>
                <w:rFonts w:ascii="Times New Roman" w:hAnsi="Times New Roman"/>
                <w:sz w:val="27"/>
                <w:szCs w:val="27"/>
              </w:rPr>
              <w:t>ț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>ul privind inițierea elaborării proiectului, Nota informativă</w:t>
            </w:r>
            <w:r w:rsidR="00F45321" w:rsidRPr="009B2301">
              <w:rPr>
                <w:rFonts w:ascii="Times New Roman" w:hAnsi="Times New Roman"/>
                <w:sz w:val="27"/>
                <w:szCs w:val="27"/>
              </w:rPr>
              <w:t>,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 proiectul de hotărâre a Guvernului </w:t>
            </w:r>
            <w:r w:rsidR="00F45321" w:rsidRPr="009B2301">
              <w:rPr>
                <w:rFonts w:ascii="Times New Roman" w:hAnsi="Times New Roman"/>
                <w:sz w:val="27"/>
                <w:szCs w:val="27"/>
              </w:rPr>
              <w:t xml:space="preserve">și Analiza Impactului de Reglementare (AIR) vor fi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plasate pe pagina web oficială a Ministerului Agriculturii, Dezvoltării Regionale şi Mediului, la adresa </w:t>
            </w:r>
            <w:proofErr w:type="spellStart"/>
            <w:r w:rsidRPr="009B2301">
              <w:rPr>
                <w:rFonts w:ascii="Times New Roman" w:hAnsi="Times New Roman"/>
                <w:sz w:val="27"/>
                <w:szCs w:val="27"/>
              </w:rPr>
              <w:t>www.mad</w:t>
            </w:r>
            <w:r w:rsidR="0001432A" w:rsidRPr="009B2301">
              <w:rPr>
                <w:rFonts w:ascii="Times New Roman" w:hAnsi="Times New Roman"/>
                <w:sz w:val="27"/>
                <w:szCs w:val="27"/>
              </w:rPr>
              <w:t>rm.gov.md</w:t>
            </w:r>
            <w:proofErr w:type="spellEnd"/>
            <w:r w:rsidR="0001432A" w:rsidRPr="009B2301">
              <w:rPr>
                <w:rFonts w:ascii="Times New Roman" w:hAnsi="Times New Roman"/>
                <w:sz w:val="27"/>
                <w:szCs w:val="27"/>
              </w:rPr>
              <w:t xml:space="preserve"> la rubrica Transparenț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>ă decizională -„Proiecte de documente” și portalul guvernamental - particip.gov.md.</w:t>
            </w:r>
          </w:p>
          <w:p w:rsidR="00BF7CF7" w:rsidRPr="009B2301" w:rsidRDefault="00BF7CF7" w:rsidP="009B2301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B2301">
              <w:rPr>
                <w:rFonts w:ascii="Times New Roman" w:hAnsi="Times New Roman"/>
                <w:sz w:val="27"/>
                <w:szCs w:val="27"/>
              </w:rPr>
              <w:t>Pentru consultarea publică proiectul va fi</w:t>
            </w:r>
            <w:r w:rsidRPr="009B2301">
              <w:rPr>
                <w:sz w:val="27"/>
                <w:szCs w:val="27"/>
              </w:rPr>
              <w:t xml:space="preserve"> </w:t>
            </w:r>
            <w:r w:rsidRPr="009B2301">
              <w:rPr>
                <w:rFonts w:ascii="Times New Roman" w:hAnsi="Times New Roman"/>
                <w:sz w:val="27"/>
                <w:szCs w:val="27"/>
              </w:rPr>
              <w:t xml:space="preserve">avizat de </w:t>
            </w:r>
            <w:r w:rsidR="009B2301" w:rsidRPr="009B2301">
              <w:rPr>
                <w:rFonts w:ascii="Times New Roman" w:hAnsi="Times New Roman"/>
                <w:sz w:val="27"/>
                <w:szCs w:val="27"/>
              </w:rPr>
              <w:t xml:space="preserve">Ministerul Sănătăţii, Muncii şi Protecţiei Sociale, </w:t>
            </w:r>
            <w:r w:rsidR="007B009C" w:rsidRPr="009B2301">
              <w:rPr>
                <w:rFonts w:ascii="Times New Roman" w:hAnsi="Times New Roman"/>
                <w:sz w:val="27"/>
                <w:szCs w:val="27"/>
              </w:rPr>
              <w:t xml:space="preserve">Ministerul Finanţelor, Ministerul Economiei și Infrastructurii, Ministerul Justiției, Consiliul Concurenței, Agenţia Naţională pentru Siguranţa Alimentelor, Centrul Național Anticorupție, Federația Națională a Fermierilor din Moldova, Asociația Republicana a Producătorilor Agricoli </w:t>
            </w:r>
            <w:proofErr w:type="spellStart"/>
            <w:r w:rsidR="007B009C" w:rsidRPr="009B2301">
              <w:rPr>
                <w:rFonts w:ascii="Times New Roman" w:hAnsi="Times New Roman"/>
                <w:sz w:val="27"/>
                <w:szCs w:val="27"/>
              </w:rPr>
              <w:t>UniAgroProtect</w:t>
            </w:r>
            <w:proofErr w:type="spellEnd"/>
            <w:r w:rsidR="007B009C" w:rsidRPr="009B2301">
              <w:rPr>
                <w:rFonts w:ascii="Times New Roman" w:hAnsi="Times New Roman"/>
                <w:sz w:val="27"/>
                <w:szCs w:val="27"/>
              </w:rPr>
              <w:t>, Asociația Producătorilor și Exportato</w:t>
            </w:r>
            <w:r w:rsidR="00F45321" w:rsidRPr="009B2301">
              <w:rPr>
                <w:rFonts w:ascii="Times New Roman" w:hAnsi="Times New Roman"/>
                <w:sz w:val="27"/>
                <w:szCs w:val="27"/>
              </w:rPr>
              <w:t>rilor de Fructe ”</w:t>
            </w:r>
            <w:proofErr w:type="spellStart"/>
            <w:r w:rsidR="00F45321" w:rsidRPr="009B2301">
              <w:rPr>
                <w:rFonts w:ascii="Times New Roman" w:hAnsi="Times New Roman"/>
                <w:sz w:val="27"/>
                <w:szCs w:val="27"/>
              </w:rPr>
              <w:t>Moldova-Fruct</w:t>
            </w:r>
            <w:proofErr w:type="spellEnd"/>
            <w:r w:rsidR="00F45321" w:rsidRPr="009B2301">
              <w:rPr>
                <w:rFonts w:ascii="Times New Roman" w:hAnsi="Times New Roman"/>
                <w:sz w:val="27"/>
                <w:szCs w:val="27"/>
              </w:rPr>
              <w:t>”, alte ONG.</w:t>
            </w:r>
          </w:p>
        </w:tc>
      </w:tr>
    </w:tbl>
    <w:p w:rsidR="00BF7CF7" w:rsidRPr="009B2301" w:rsidRDefault="00BF7CF7" w:rsidP="009B230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182C95" w:rsidRPr="009B2301" w:rsidRDefault="00182C95" w:rsidP="009B2301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F7CF7" w:rsidRPr="009B2301" w:rsidRDefault="00F45321" w:rsidP="009B2301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Ministru </w:t>
      </w: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9B23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  <w:t>Ion Perju</w:t>
      </w:r>
    </w:p>
    <w:p w:rsidR="009B2301" w:rsidRDefault="009B2301" w:rsidP="009B2301">
      <w:pPr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p w:rsidR="007B009C" w:rsidRPr="009B2301" w:rsidRDefault="009315A8" w:rsidP="009B2301">
      <w:pPr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  <w:r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 xml:space="preserve">Ex. </w:t>
      </w:r>
      <w:r w:rsidR="007B009C"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 xml:space="preserve"> Veronica </w:t>
      </w:r>
      <w:proofErr w:type="spellStart"/>
      <w:r w:rsidR="007B009C"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>Tertea</w:t>
      </w:r>
      <w:proofErr w:type="spellEnd"/>
      <w:r w:rsidR="007B009C"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 xml:space="preserve"> </w:t>
      </w:r>
    </w:p>
    <w:p w:rsidR="009315A8" w:rsidRPr="009B2301" w:rsidRDefault="007B009C" w:rsidP="009B2301">
      <w:pPr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  <w:r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 xml:space="preserve">       </w:t>
      </w:r>
      <w:r w:rsidR="009315A8"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 xml:space="preserve">Olga </w:t>
      </w:r>
      <w:proofErr w:type="spellStart"/>
      <w:r w:rsidR="009315A8"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>Savencov</w:t>
      </w:r>
      <w:proofErr w:type="spellEnd"/>
    </w:p>
    <w:p w:rsidR="009315A8" w:rsidRPr="009B2301" w:rsidRDefault="007B009C" w:rsidP="009B2301">
      <w:pPr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  <w:r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 xml:space="preserve">        </w:t>
      </w:r>
      <w:r w:rsidR="009315A8" w:rsidRPr="009B2301"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  <w:t>022 204 545</w:t>
      </w:r>
    </w:p>
    <w:sectPr w:rsidR="009315A8" w:rsidRPr="009B2301" w:rsidSect="009B2301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7B7C"/>
    <w:multiLevelType w:val="multilevel"/>
    <w:tmpl w:val="153CF7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F6248E0"/>
    <w:multiLevelType w:val="hybridMultilevel"/>
    <w:tmpl w:val="B498CCAE"/>
    <w:lvl w:ilvl="0" w:tplc="4434D3F4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5E"/>
    <w:rsid w:val="0001432A"/>
    <w:rsid w:val="0008657A"/>
    <w:rsid w:val="000B2E2A"/>
    <w:rsid w:val="001234B0"/>
    <w:rsid w:val="00127681"/>
    <w:rsid w:val="0014148D"/>
    <w:rsid w:val="0017381E"/>
    <w:rsid w:val="00182C95"/>
    <w:rsid w:val="001D28F4"/>
    <w:rsid w:val="001E1034"/>
    <w:rsid w:val="001E3ED1"/>
    <w:rsid w:val="0024234A"/>
    <w:rsid w:val="00243BCE"/>
    <w:rsid w:val="002521B5"/>
    <w:rsid w:val="00263864"/>
    <w:rsid w:val="0027052A"/>
    <w:rsid w:val="00295E4B"/>
    <w:rsid w:val="002A165E"/>
    <w:rsid w:val="002F3CA7"/>
    <w:rsid w:val="00303CE4"/>
    <w:rsid w:val="00362436"/>
    <w:rsid w:val="00373C0C"/>
    <w:rsid w:val="003B4157"/>
    <w:rsid w:val="00456DED"/>
    <w:rsid w:val="004A18B3"/>
    <w:rsid w:val="0052560B"/>
    <w:rsid w:val="005364BE"/>
    <w:rsid w:val="005567CA"/>
    <w:rsid w:val="0056374A"/>
    <w:rsid w:val="005755A4"/>
    <w:rsid w:val="00592CFA"/>
    <w:rsid w:val="005C23EE"/>
    <w:rsid w:val="005C644D"/>
    <w:rsid w:val="005D3E5E"/>
    <w:rsid w:val="005F7B3C"/>
    <w:rsid w:val="005F7E1A"/>
    <w:rsid w:val="00601B8F"/>
    <w:rsid w:val="00603330"/>
    <w:rsid w:val="00617895"/>
    <w:rsid w:val="006218CC"/>
    <w:rsid w:val="00630CFE"/>
    <w:rsid w:val="006F4248"/>
    <w:rsid w:val="007027D0"/>
    <w:rsid w:val="00707942"/>
    <w:rsid w:val="007143A2"/>
    <w:rsid w:val="00721F4C"/>
    <w:rsid w:val="007712C2"/>
    <w:rsid w:val="00781A93"/>
    <w:rsid w:val="00793974"/>
    <w:rsid w:val="007A1E41"/>
    <w:rsid w:val="007B009C"/>
    <w:rsid w:val="007B712A"/>
    <w:rsid w:val="007B7BAF"/>
    <w:rsid w:val="007C06F3"/>
    <w:rsid w:val="007F3BA7"/>
    <w:rsid w:val="00802243"/>
    <w:rsid w:val="00847725"/>
    <w:rsid w:val="00851594"/>
    <w:rsid w:val="00866049"/>
    <w:rsid w:val="00890603"/>
    <w:rsid w:val="00894006"/>
    <w:rsid w:val="008C6B48"/>
    <w:rsid w:val="008D2CF6"/>
    <w:rsid w:val="008F39D9"/>
    <w:rsid w:val="009315A8"/>
    <w:rsid w:val="0095598D"/>
    <w:rsid w:val="0096657A"/>
    <w:rsid w:val="00980578"/>
    <w:rsid w:val="009B2301"/>
    <w:rsid w:val="009D279F"/>
    <w:rsid w:val="009D426B"/>
    <w:rsid w:val="009F49E5"/>
    <w:rsid w:val="00A059D5"/>
    <w:rsid w:val="00A05E93"/>
    <w:rsid w:val="00A05F79"/>
    <w:rsid w:val="00A33D2E"/>
    <w:rsid w:val="00A84C3C"/>
    <w:rsid w:val="00AB5FFF"/>
    <w:rsid w:val="00AC7F0A"/>
    <w:rsid w:val="00AF4050"/>
    <w:rsid w:val="00B406D7"/>
    <w:rsid w:val="00B43F4C"/>
    <w:rsid w:val="00BA3476"/>
    <w:rsid w:val="00BA531F"/>
    <w:rsid w:val="00BD0459"/>
    <w:rsid w:val="00BF7CF7"/>
    <w:rsid w:val="00C144C1"/>
    <w:rsid w:val="00C21E4E"/>
    <w:rsid w:val="00C46046"/>
    <w:rsid w:val="00C61788"/>
    <w:rsid w:val="00CA0823"/>
    <w:rsid w:val="00CB5CDD"/>
    <w:rsid w:val="00CC0CB0"/>
    <w:rsid w:val="00CD667E"/>
    <w:rsid w:val="00CF0AD2"/>
    <w:rsid w:val="00D22CAD"/>
    <w:rsid w:val="00D34C8D"/>
    <w:rsid w:val="00D442B8"/>
    <w:rsid w:val="00D572B6"/>
    <w:rsid w:val="00D81D43"/>
    <w:rsid w:val="00DD0B6B"/>
    <w:rsid w:val="00E03AAF"/>
    <w:rsid w:val="00E07F0F"/>
    <w:rsid w:val="00E17099"/>
    <w:rsid w:val="00E23BC5"/>
    <w:rsid w:val="00E37D3B"/>
    <w:rsid w:val="00E9307B"/>
    <w:rsid w:val="00E966E8"/>
    <w:rsid w:val="00EB15D4"/>
    <w:rsid w:val="00EB15D5"/>
    <w:rsid w:val="00ED7DC5"/>
    <w:rsid w:val="00F01836"/>
    <w:rsid w:val="00F01B0C"/>
    <w:rsid w:val="00F45321"/>
    <w:rsid w:val="00F72D7F"/>
    <w:rsid w:val="00FA7943"/>
    <w:rsid w:val="00FB0E72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CE"/>
    <w:pPr>
      <w:spacing w:after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4C1"/>
    <w:pPr>
      <w:ind w:left="720"/>
      <w:contextualSpacing/>
    </w:pPr>
  </w:style>
  <w:style w:type="character" w:styleId="a5">
    <w:name w:val="Strong"/>
    <w:basedOn w:val="a0"/>
    <w:uiPriority w:val="22"/>
    <w:qFormat/>
    <w:rsid w:val="00AF40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2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436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CE"/>
    <w:pPr>
      <w:spacing w:after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4C1"/>
    <w:pPr>
      <w:ind w:left="720"/>
      <w:contextualSpacing/>
    </w:pPr>
  </w:style>
  <w:style w:type="character" w:styleId="a5">
    <w:name w:val="Strong"/>
    <w:basedOn w:val="a0"/>
    <w:uiPriority w:val="22"/>
    <w:qFormat/>
    <w:rsid w:val="00AF40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2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43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28CC-082E-468E-A739-1719F8E6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Tertea</dc:creator>
  <cp:lastModifiedBy>Veronica Tertea</cp:lastModifiedBy>
  <cp:revision>21</cp:revision>
  <cp:lastPrinted>2019-10-03T07:44:00Z</cp:lastPrinted>
  <dcterms:created xsi:type="dcterms:W3CDTF">2019-10-02T11:44:00Z</dcterms:created>
  <dcterms:modified xsi:type="dcterms:W3CDTF">2020-05-12T10:17:00Z</dcterms:modified>
</cp:coreProperties>
</file>