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C70" w:rsidRDefault="00341C70" w:rsidP="00341C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tbl>
      <w:tblPr>
        <w:tblW w:w="538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0"/>
      </w:tblGrid>
      <w:tr w:rsidR="00341C70" w:rsidRPr="00875D8A" w:rsidTr="00606304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Nota informativă</w:t>
            </w:r>
          </w:p>
          <w:p w:rsidR="00341C70" w:rsidRPr="00875D8A" w:rsidRDefault="00341C70" w:rsidP="00606304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la proiectul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hotărîrii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de Guvern pentru </w:t>
            </w:r>
            <w:r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abrogarea </w:t>
            </w:r>
            <w:proofErr w:type="spellStart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>Hotărîrii</w:t>
            </w:r>
            <w:proofErr w:type="spellEnd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 xml:space="preserve"> Guvernului nr. 31/2009 </w:t>
            </w:r>
          </w:p>
          <w:p w:rsidR="00341C70" w:rsidRPr="00875D8A" w:rsidRDefault="00341C70" w:rsidP="00606304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</w:pPr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 xml:space="preserve">cu privire la aprobarea domeniilor reglementate, </w:t>
            </w:r>
            <w:proofErr w:type="spellStart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>autorităţilor</w:t>
            </w:r>
            <w:proofErr w:type="spellEnd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 xml:space="preserve"> de</w:t>
            </w:r>
          </w:p>
          <w:p w:rsidR="00341C70" w:rsidRPr="00875D8A" w:rsidRDefault="00341C70" w:rsidP="00606304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</w:pPr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 xml:space="preserve">reglementare </w:t>
            </w:r>
            <w:proofErr w:type="spellStart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 xml:space="preserve"> organelor cu </w:t>
            </w:r>
            <w:proofErr w:type="spellStart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>funcţii</w:t>
            </w:r>
            <w:proofErr w:type="spellEnd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 xml:space="preserve"> de supraveghere a </w:t>
            </w:r>
            <w:proofErr w:type="spellStart"/>
            <w:r w:rsidRPr="00875D8A">
              <w:rPr>
                <w:rFonts w:ascii="Times New Roman" w:eastAsia="Times New Roman" w:hAnsi="Times New Roman"/>
                <w:b/>
                <w:sz w:val="26"/>
                <w:szCs w:val="26"/>
                <w:lang w:val="ro-MD"/>
              </w:rPr>
              <w:t>pieţei</w:t>
            </w:r>
            <w:proofErr w:type="spellEnd"/>
          </w:p>
          <w:p w:rsidR="00341C70" w:rsidRPr="00875D8A" w:rsidRDefault="00341C70" w:rsidP="00606304">
            <w:pPr>
              <w:tabs>
                <w:tab w:val="left" w:pos="9498"/>
              </w:tabs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 </w:t>
            </w: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tabs>
                <w:tab w:val="left" w:pos="9498"/>
              </w:tabs>
              <w:spacing w:after="0" w:line="240" w:lineRule="auto"/>
              <w:ind w:left="135" w:right="284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1.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Denumirea autorului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, după caz, a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participanţilor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la elaborarea proiectului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Prezentul proiect de 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hotărîre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este elaborat de către Ministerul Economiei și Infrastructurii, în calitate de autoritatea responsabilă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infrastructura calității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, precum și coordonarea 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activităţilor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supraveghere a 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pieţei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  <w:p w:rsidR="00341C70" w:rsidRPr="00875D8A" w:rsidRDefault="00341C70" w:rsidP="00606304">
            <w:pPr>
              <w:spacing w:after="0" w:line="240" w:lineRule="auto"/>
              <w:ind w:left="135" w:right="45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2.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Condiţiile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ce au impus elaborarea proiectului de act normativ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finalităţile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urmărite </w:t>
            </w: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637309" w:rsidRDefault="00341C70" w:rsidP="00606304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Proiectul 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hotărîrii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Guvern vizează abrogarea </w:t>
            </w:r>
            <w:proofErr w:type="spellStart"/>
            <w:r w:rsidRPr="00637309">
              <w:rPr>
                <w:rFonts w:ascii="Times New Roman" w:hAnsi="Times New Roman"/>
                <w:sz w:val="26"/>
                <w:szCs w:val="26"/>
                <w:lang w:val="ro-MD"/>
              </w:rPr>
              <w:t>Hotărîrii</w:t>
            </w:r>
            <w:proofErr w:type="spellEnd"/>
            <w:r w:rsidRPr="00637309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Guvernului nr. 31/2009 cu privire la aprobarea domeniilor reglementate, </w:t>
            </w:r>
            <w:proofErr w:type="spellStart"/>
            <w:r w:rsidRPr="00637309">
              <w:rPr>
                <w:rFonts w:ascii="Times New Roman" w:hAnsi="Times New Roman"/>
                <w:sz w:val="26"/>
                <w:szCs w:val="26"/>
                <w:lang w:val="ro-MD"/>
              </w:rPr>
              <w:t>autorităţilor</w:t>
            </w:r>
            <w:proofErr w:type="spellEnd"/>
            <w:r w:rsidRPr="00637309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reglementare </w:t>
            </w:r>
            <w:proofErr w:type="spellStart"/>
            <w:r w:rsidRPr="00637309">
              <w:rPr>
                <w:rFonts w:ascii="Times New Roman" w:hAnsi="Times New Roman"/>
                <w:sz w:val="26"/>
                <w:szCs w:val="26"/>
                <w:lang w:val="ro-MD"/>
              </w:rPr>
              <w:t>şi</w:t>
            </w:r>
            <w:proofErr w:type="spellEnd"/>
            <w:r w:rsidRPr="00637309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organelor cu </w:t>
            </w:r>
            <w:proofErr w:type="spellStart"/>
            <w:r w:rsidRPr="00637309">
              <w:rPr>
                <w:rFonts w:ascii="Times New Roman" w:hAnsi="Times New Roman"/>
                <w:sz w:val="26"/>
                <w:szCs w:val="26"/>
                <w:lang w:val="ro-MD"/>
              </w:rPr>
              <w:t>funcţii</w:t>
            </w:r>
            <w:proofErr w:type="spellEnd"/>
            <w:r w:rsidRPr="00637309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supraveghere a </w:t>
            </w:r>
            <w:proofErr w:type="spellStart"/>
            <w:r w:rsidRPr="00637309">
              <w:rPr>
                <w:rFonts w:ascii="Times New Roman" w:hAnsi="Times New Roman"/>
                <w:sz w:val="26"/>
                <w:szCs w:val="26"/>
                <w:lang w:val="ro-MD"/>
              </w:rPr>
              <w:t>pieţei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. </w:t>
            </w:r>
          </w:p>
          <w:p w:rsidR="00341C70" w:rsidRPr="00875D8A" w:rsidRDefault="00341C70" w:rsidP="00606304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10"/>
                <w:szCs w:val="10"/>
                <w:lang w:val="ro-MD"/>
              </w:rPr>
            </w:pPr>
          </w:p>
          <w:p w:rsidR="00341C70" w:rsidRPr="00875D8A" w:rsidRDefault="00341C70" w:rsidP="00606304">
            <w:pPr>
              <w:pStyle w:val="NoSpacing"/>
              <w:ind w:left="135" w:right="45"/>
              <w:jc w:val="both"/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</w:pPr>
            <w:proofErr w:type="spellStart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Hotărîrea</w:t>
            </w:r>
            <w:proofErr w:type="spellEnd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Guvernului nr. 31/2009 </w:t>
            </w:r>
            <w:r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a </w:t>
            </w:r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fost elaborată și aprobată în scopul executării prevederilor inițiale din art. 4, alin. (6) al Legii nr. 420/2006 privind activitatea de reglementare tehnică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, care stipula că ”</w:t>
            </w:r>
            <w:r w:rsidRPr="00875D8A">
              <w:rPr>
                <w:rFonts w:ascii="Times New Roman" w:hAnsi="Times New Roman"/>
                <w:i/>
                <w:sz w:val="26"/>
                <w:szCs w:val="26"/>
                <w:lang w:val="ro-MD"/>
              </w:rPr>
              <w:t xml:space="preserve">Lista domeniilor reglementate este aprobată </w:t>
            </w:r>
            <w:proofErr w:type="spellStart"/>
            <w:r w:rsidRPr="00875D8A">
              <w:rPr>
                <w:rFonts w:ascii="Times New Roman" w:hAnsi="Times New Roman"/>
                <w:i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hAnsi="Times New Roman"/>
                <w:i/>
                <w:sz w:val="26"/>
                <w:szCs w:val="26"/>
                <w:lang w:val="ro-MD"/>
              </w:rPr>
              <w:t>, în caz de necesitate, actualizată de Guvern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”.</w:t>
            </w:r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</w:t>
            </w:r>
          </w:p>
          <w:p w:rsidR="00341C70" w:rsidRPr="00875D8A" w:rsidRDefault="00341C70" w:rsidP="00606304">
            <w:pPr>
              <w:pStyle w:val="NormalWeb"/>
              <w:ind w:left="135" w:right="45" w:firstLine="0"/>
              <w:rPr>
                <w:b/>
                <w:sz w:val="10"/>
                <w:szCs w:val="10"/>
                <w:lang w:val="ro-MD"/>
              </w:rPr>
            </w:pPr>
          </w:p>
          <w:p w:rsidR="00341C70" w:rsidRPr="00875D8A" w:rsidRDefault="00341C70" w:rsidP="00606304">
            <w:pPr>
              <w:pStyle w:val="NormalWeb"/>
              <w:ind w:left="135" w:right="45" w:firstLine="0"/>
              <w:rPr>
                <w:sz w:val="26"/>
                <w:szCs w:val="26"/>
                <w:lang w:val="ro-MD"/>
              </w:rPr>
            </w:pPr>
            <w:r w:rsidRPr="00875D8A">
              <w:rPr>
                <w:sz w:val="26"/>
                <w:szCs w:val="26"/>
                <w:lang w:val="ro-MD"/>
              </w:rPr>
              <w:t xml:space="preserve">Referința la articolul </w:t>
            </w:r>
            <w:r>
              <w:rPr>
                <w:sz w:val="26"/>
                <w:szCs w:val="26"/>
                <w:lang w:val="ro-MD"/>
              </w:rPr>
              <w:t>enunțat supra</w:t>
            </w:r>
            <w:r w:rsidRPr="00875D8A">
              <w:rPr>
                <w:sz w:val="26"/>
                <w:szCs w:val="26"/>
                <w:lang w:val="ro-MD"/>
              </w:rPr>
              <w:t xml:space="preserve"> a fost prevăzută la art. 18 din Legea nr. 235/2011 privind activitățile de acreditare și de evaluare a conformității, în care a fost stabilit că ”</w:t>
            </w:r>
            <w:r w:rsidRPr="00875D8A">
              <w:rPr>
                <w:i/>
                <w:sz w:val="26"/>
                <w:szCs w:val="26"/>
                <w:lang w:val="ro-MD"/>
              </w:rPr>
              <w:t xml:space="preserve">Evaluarea </w:t>
            </w:r>
            <w:proofErr w:type="spellStart"/>
            <w:r w:rsidRPr="00875D8A">
              <w:rPr>
                <w:i/>
                <w:sz w:val="26"/>
                <w:szCs w:val="26"/>
                <w:lang w:val="ro-MD"/>
              </w:rPr>
              <w:t>conformităţii</w:t>
            </w:r>
            <w:proofErr w:type="spellEnd"/>
            <w:r w:rsidRPr="00875D8A">
              <w:rPr>
                <w:i/>
                <w:sz w:val="26"/>
                <w:szCs w:val="26"/>
                <w:lang w:val="ro-MD"/>
              </w:rPr>
              <w:t xml:space="preserve"> cu titlu obligatoriu se realizează pentru produsele din domeniile prevăzute la anexa nr.3, care este parte integrantă din prezenta lege, precum </w:t>
            </w:r>
            <w:proofErr w:type="spellStart"/>
            <w:r w:rsidRPr="00875D8A">
              <w:rPr>
                <w:i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i/>
                <w:sz w:val="26"/>
                <w:szCs w:val="26"/>
                <w:lang w:val="ro-MD"/>
              </w:rPr>
              <w:t xml:space="preserve"> pentru produsele neincluse în domeniile din această anexă, pentru care există </w:t>
            </w:r>
            <w:proofErr w:type="spellStart"/>
            <w:r w:rsidRPr="00875D8A">
              <w:rPr>
                <w:i/>
                <w:sz w:val="26"/>
                <w:szCs w:val="26"/>
                <w:lang w:val="ro-MD"/>
              </w:rPr>
              <w:t>cerinţe</w:t>
            </w:r>
            <w:proofErr w:type="spellEnd"/>
            <w:r w:rsidRPr="00875D8A">
              <w:rPr>
                <w:i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875D8A">
              <w:rPr>
                <w:i/>
                <w:sz w:val="26"/>
                <w:szCs w:val="26"/>
                <w:lang w:val="ro-MD"/>
              </w:rPr>
              <w:t>esenţiale</w:t>
            </w:r>
            <w:proofErr w:type="spellEnd"/>
            <w:r w:rsidRPr="00875D8A">
              <w:rPr>
                <w:i/>
                <w:sz w:val="26"/>
                <w:szCs w:val="26"/>
                <w:lang w:val="ro-MD"/>
              </w:rPr>
              <w:t xml:space="preserve"> prevăzute în reglementările tehnice respective, în conformitate cu art.4 alin.(6) din </w:t>
            </w:r>
            <w:hyperlink r:id="rId4" w:history="1">
              <w:r w:rsidRPr="00875D8A">
                <w:rPr>
                  <w:i/>
                  <w:sz w:val="26"/>
                  <w:szCs w:val="26"/>
                  <w:lang w:val="ro-MD"/>
                </w:rPr>
                <w:t>Legea nr.420-XVI din 22 decembrie 2006</w:t>
              </w:r>
            </w:hyperlink>
            <w:r w:rsidRPr="00875D8A">
              <w:rPr>
                <w:i/>
                <w:sz w:val="26"/>
                <w:szCs w:val="26"/>
                <w:lang w:val="ro-MD"/>
              </w:rPr>
              <w:t xml:space="preserve"> privind activitatea de reglementare tehnică.</w:t>
            </w:r>
            <w:r w:rsidRPr="00875D8A">
              <w:rPr>
                <w:sz w:val="26"/>
                <w:szCs w:val="26"/>
                <w:lang w:val="ro-MD"/>
              </w:rPr>
              <w:t>”</w:t>
            </w:r>
          </w:p>
          <w:p w:rsidR="00341C70" w:rsidRPr="00875D8A" w:rsidRDefault="00341C70" w:rsidP="00606304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10"/>
                <w:szCs w:val="10"/>
                <w:lang w:val="ro-MD"/>
              </w:rPr>
            </w:pPr>
          </w:p>
          <w:p w:rsidR="00341C70" w:rsidRDefault="00341C70" w:rsidP="00606304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Concomitent, Legea nr. 420/2006 și Legea nr. 235/2011 au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suportat 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mai mult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>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modificări, </w:t>
            </w:r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 w:eastAsia="en-US"/>
              </w:rPr>
              <w:t>optimizări și îmbunătățiri</w:t>
            </w:r>
            <w:r>
              <w:rPr>
                <w:rFonts w:ascii="Times New Roman" w:eastAsia="Times New Roman" w:hAnsi="Times New Roman"/>
                <w:sz w:val="26"/>
                <w:szCs w:val="26"/>
                <w:lang w:val="ro-MD" w:eastAsia="en-US"/>
              </w:rPr>
              <w:t>, ca urmare a preluării</w:t>
            </w:r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 w:eastAsia="en-US"/>
              </w:rPr>
              <w:t xml:space="preserve"> experienței statelor europene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în domeniul infrastructurii calității,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>fiind astfel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excluse prevederile care impun aprobarea de către Guvern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a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domeniilor reglementate, </w:t>
            </w:r>
            <w:proofErr w:type="spellStart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autorităţilor</w:t>
            </w:r>
            <w:proofErr w:type="spellEnd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de reglementare </w:t>
            </w:r>
            <w:proofErr w:type="spellStart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organelor cu </w:t>
            </w:r>
            <w:proofErr w:type="spellStart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funcţii</w:t>
            </w:r>
            <w:proofErr w:type="spellEnd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de supraveghere a </w:t>
            </w:r>
            <w:proofErr w:type="spellStart"/>
            <w:r w:rsidRPr="00875D8A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pieţei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  <w:p w:rsidR="00341C70" w:rsidRPr="00875D8A" w:rsidRDefault="00341C70" w:rsidP="00606304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10"/>
                <w:szCs w:val="10"/>
                <w:lang w:val="ro-MD"/>
              </w:rPr>
            </w:pPr>
          </w:p>
          <w:p w:rsidR="00341C70" w:rsidRPr="00875D8A" w:rsidRDefault="00341C70" w:rsidP="00606304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Actualmente, prin art. 7 din Legea nr. </w:t>
            </w:r>
            <w:r w:rsidRPr="00875D8A">
              <w:rPr>
                <w:rStyle w:val="docheader"/>
                <w:rFonts w:eastAsia="SimSun"/>
                <w:bCs/>
                <w:sz w:val="26"/>
                <w:szCs w:val="26"/>
                <w:lang w:val="ro-MD"/>
              </w:rPr>
              <w:t>7/2016 privind supravegherea pieței în ceea ce privește comercializarea produselor nealimentare este adoptată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lista 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autorităţilor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responsabile de supravegherea 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pieţei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pe domenii reglementate,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fiind 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prezentată în anexa la legea în cauză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informația, inclusiv, privind domeniile reglementate și lista autorităților de reglementare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  <w:r w:rsidRPr="00875D8A">
              <w:rPr>
                <w:rStyle w:val="docheader"/>
                <w:rFonts w:eastAsia="SimSun"/>
                <w:bCs/>
                <w:sz w:val="26"/>
                <w:szCs w:val="26"/>
                <w:lang w:val="ro-MD"/>
              </w:rPr>
              <w:t xml:space="preserve"> </w:t>
            </w:r>
          </w:p>
          <w:p w:rsidR="00341C70" w:rsidRPr="00875D8A" w:rsidRDefault="00341C70" w:rsidP="00606304">
            <w:pPr>
              <w:pStyle w:val="NoSpacing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3.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Descrierea gradului de compatibilitate pentru proiectele care au ca scop armonizarea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legislaţiei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naţionale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cu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legislaţia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Uniunii Europene </w:t>
            </w: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pStyle w:val="NormalWeb"/>
              <w:ind w:left="135" w:right="45" w:firstLine="0"/>
              <w:rPr>
                <w:sz w:val="26"/>
                <w:szCs w:val="26"/>
                <w:lang w:val="ro-MD"/>
              </w:rPr>
            </w:pPr>
            <w:r w:rsidRPr="00875D8A">
              <w:rPr>
                <w:sz w:val="26"/>
                <w:szCs w:val="26"/>
                <w:lang w:val="ro-MD"/>
              </w:rPr>
              <w:t xml:space="preserve">Proiectul nu conține norme privind armonizarea directă/nemijlocită a legislației naționale cu acte juridice ale Uniunii Europene. </w:t>
            </w:r>
          </w:p>
          <w:p w:rsidR="00341C70" w:rsidRPr="00875D8A" w:rsidRDefault="00341C70" w:rsidP="00606304">
            <w:pPr>
              <w:pStyle w:val="NormalWeb"/>
              <w:ind w:left="135" w:right="45" w:firstLine="0"/>
              <w:rPr>
                <w:strike/>
                <w:sz w:val="26"/>
                <w:szCs w:val="26"/>
                <w:lang w:val="ro-MD"/>
              </w:rPr>
            </w:pPr>
            <w:r w:rsidRPr="00875D8A">
              <w:rPr>
                <w:sz w:val="26"/>
                <w:szCs w:val="26"/>
                <w:lang w:val="ro-MD"/>
              </w:rPr>
              <w:t>Totodată, conform angajamentelor asumate prin art. 172 din Acordul de Asociere/ Acordul DCFTA</w:t>
            </w:r>
            <w:r>
              <w:rPr>
                <w:sz w:val="26"/>
                <w:szCs w:val="26"/>
                <w:lang w:val="ro-MD"/>
              </w:rPr>
              <w:t>:</w:t>
            </w:r>
            <w:r w:rsidRPr="00875D8A">
              <w:rPr>
                <w:sz w:val="26"/>
                <w:szCs w:val="26"/>
                <w:lang w:val="ro-MD"/>
              </w:rPr>
              <w:t xml:space="preserve"> ”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Părţile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îşi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 consolidează cooperarea în domeniul standardelor, al reglementărilor tehnice, al metrologiei, </w:t>
            </w:r>
            <w:r w:rsidRPr="00875D8A">
              <w:rPr>
                <w:b/>
                <w:sz w:val="26"/>
                <w:szCs w:val="26"/>
                <w:lang w:val="ro-MD"/>
              </w:rPr>
              <w:t xml:space="preserve">al supravegherii </w:t>
            </w:r>
            <w:proofErr w:type="spellStart"/>
            <w:r w:rsidRPr="00875D8A">
              <w:rPr>
                <w:b/>
                <w:sz w:val="26"/>
                <w:szCs w:val="26"/>
                <w:lang w:val="ro-MD"/>
              </w:rPr>
              <w:t>pieţelor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, al acreditării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 al procedurilor de evaluare a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lastRenderedPageBreak/>
              <w:t>conformităţii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, în vederea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îmbunătăţirii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înţelegerii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 reciproce a sistemelor lor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 pentru facilitarea accesului pe propriile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pieţe</w:t>
            </w:r>
            <w:proofErr w:type="spellEnd"/>
            <w:r>
              <w:rPr>
                <w:sz w:val="26"/>
                <w:szCs w:val="26"/>
                <w:lang w:val="ro-MD"/>
              </w:rPr>
              <w:t>”.</w:t>
            </w:r>
          </w:p>
          <w:p w:rsidR="00341C70" w:rsidRPr="00875D8A" w:rsidRDefault="00341C70" w:rsidP="00606304">
            <w:pPr>
              <w:pStyle w:val="NormalWeb"/>
              <w:ind w:left="135" w:right="45" w:firstLine="0"/>
              <w:rPr>
                <w:strike/>
                <w:sz w:val="10"/>
                <w:szCs w:val="10"/>
                <w:lang w:val="ro-MD"/>
              </w:rPr>
            </w:pPr>
          </w:p>
          <w:p w:rsidR="00341C70" w:rsidRPr="00875D8A" w:rsidRDefault="00341C70" w:rsidP="00606304">
            <w:pPr>
              <w:pStyle w:val="NormalWeb"/>
              <w:ind w:left="135" w:right="45" w:firstLine="0"/>
              <w:rPr>
                <w:sz w:val="26"/>
                <w:szCs w:val="26"/>
                <w:lang w:val="ro-MD"/>
              </w:rPr>
            </w:pPr>
            <w:r w:rsidRPr="00875D8A">
              <w:rPr>
                <w:sz w:val="26"/>
                <w:szCs w:val="26"/>
                <w:lang w:val="ro-MD"/>
              </w:rPr>
              <w:t xml:space="preserve">În context, în cadrul cooperării tehnice părțile urmăresc să promoveze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iniţiative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 de facilitare a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comerţului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, care pot include consolidarea, promovarea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 încurajarea cooperării între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organizaţiile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 lor respective, publice sau private, cu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responsabilităţi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 în domeniul metrologiei, al standardizării, al supravegherii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pieţelor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, al evaluării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conformităţii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875D8A">
              <w:rPr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sz w:val="26"/>
                <w:szCs w:val="26"/>
                <w:lang w:val="ro-MD"/>
              </w:rPr>
              <w:t xml:space="preserve"> al acreditării.</w:t>
            </w:r>
          </w:p>
          <w:p w:rsidR="00341C70" w:rsidRPr="00D42904" w:rsidRDefault="00341C70" w:rsidP="00606304">
            <w:pPr>
              <w:pStyle w:val="NormalWeb"/>
              <w:ind w:left="135" w:right="45" w:firstLine="0"/>
              <w:rPr>
                <w:sz w:val="26"/>
                <w:szCs w:val="26"/>
                <w:lang w:val="en-GB"/>
              </w:rPr>
            </w:pP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lastRenderedPageBreak/>
              <w:t>4.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Principalele prevederi ale proiectului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evidențierea elementelor noi </w:t>
            </w: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Proiectul are drept scop </w:t>
            </w:r>
            <w:r w:rsidRPr="00875D8A">
              <w:rPr>
                <w:rFonts w:ascii="Times New Roman" w:eastAsia="Times New Roman" w:hAnsi="Times New Roman"/>
                <w:sz w:val="26"/>
                <w:szCs w:val="26"/>
                <w:lang w:val="ro-RO" w:eastAsia="ro-RO"/>
              </w:rPr>
              <w:t>eliminarea normelor care nu se integrează în prevederi ale actelor normative în vigoare și, respectiv,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excluderea divergenților/contradicției între acte normative superioare și secundare în vigoare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5.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Fundamentarea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economico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-financiară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pStyle w:val="NormalWeb"/>
              <w:ind w:left="135" w:right="45" w:firstLine="0"/>
              <w:rPr>
                <w:sz w:val="26"/>
                <w:szCs w:val="26"/>
                <w:lang w:val="ro-MD"/>
              </w:rPr>
            </w:pPr>
            <w:r w:rsidRPr="00875D8A">
              <w:rPr>
                <w:sz w:val="26"/>
                <w:szCs w:val="26"/>
                <w:lang w:val="ro-MD"/>
              </w:rPr>
              <w:t>Prezentul proiect nu are impact negativ nici asupra mediului de afaceri, nici asupra bugetului de stat.</w:t>
            </w:r>
          </w:p>
          <w:p w:rsidR="00341C70" w:rsidRPr="00875D8A" w:rsidRDefault="00341C70" w:rsidP="00606304">
            <w:pPr>
              <w:pStyle w:val="NormalWeb"/>
              <w:ind w:left="135" w:right="45" w:firstLine="0"/>
              <w:rPr>
                <w:sz w:val="26"/>
                <w:szCs w:val="26"/>
                <w:lang w:val="ro-MD"/>
              </w:rPr>
            </w:pP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6.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Modul de încorporare a actului în cadrul normativ în vigoare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Default="00341C70" w:rsidP="00606304">
            <w:pPr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Proiectul în cauză presupune concordanța cu prevederile actelor normative în vigoare din domeniul de supraveghere a pieței și activități de reglementare tehnică.</w:t>
            </w:r>
          </w:p>
          <w:p w:rsidR="00341C70" w:rsidRPr="00875D8A" w:rsidRDefault="00341C70" w:rsidP="00606304">
            <w:pPr>
              <w:ind w:left="135" w:right="45"/>
              <w:jc w:val="both"/>
              <w:rPr>
                <w:rFonts w:ascii="Times New Roman" w:hAnsi="Times New Roman"/>
                <w:strike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În același timp, sunt în vigoare legi și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o-MD"/>
              </w:rPr>
              <w:t>hotărîri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de Guvern, aplicabile pentru diferite produse și domenii, care stabilesc funcțiile și atribuțiile concrete ale autorităților de reglementare și autorităților abilitate cu funcții de supraveghere sau de control de stat.</w:t>
            </w: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7.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Avizarea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şi</w:t>
            </w:r>
            <w:proofErr w:type="spellEnd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consultarea publică a proiectului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În scopul respectării prevederilor Legii nr. 239-XVI din 13 noiembrie 2008 privind 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transparenţa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în procesul decizional, proiectul a fost plasat pe pagina web a Ministerului Economiei și Infrastructurii (</w:t>
            </w:r>
            <w:hyperlink r:id="rId5" w:history="1">
              <w:r w:rsidRPr="00875D8A">
                <w:rPr>
                  <w:rStyle w:val="Hyperlink"/>
                  <w:rFonts w:ascii="Times New Roman" w:hAnsi="Times New Roman"/>
                  <w:sz w:val="26"/>
                  <w:szCs w:val="26"/>
                  <w:lang w:val="ro-MD"/>
                </w:rPr>
                <w:t>www.mei.gov.md</w:t>
              </w:r>
            </w:hyperlink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), la compartimentul „</w:t>
            </w:r>
            <w:proofErr w:type="spellStart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Anunţuri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privind consultările publice”.</w:t>
            </w:r>
          </w:p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8.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Constatările expertizei </w:t>
            </w:r>
            <w:proofErr w:type="spellStart"/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anticorupţie</w:t>
            </w:r>
            <w:proofErr w:type="spellEnd"/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bookmarkStart w:id="0" w:name="_GoBack"/>
            <w:bookmarkEnd w:id="0"/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9.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Constatările expertizei de compatibilitate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Prezentul proiect nu conține norme privind armonizarea legislației naționale cu actele juridice Uniunii Europene, respectiv perfectarea tabelului de concordanță nu este aplicabilă.</w:t>
            </w: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10.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Constatările expertizei juridice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11.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875D8A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Constatările altor expertize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</w:tc>
      </w:tr>
      <w:tr w:rsidR="00341C70" w:rsidRPr="00875D8A" w:rsidTr="0060630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Nu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este </w:t>
            </w:r>
            <w:r w:rsidRPr="00875D8A">
              <w:rPr>
                <w:rFonts w:ascii="Times New Roman" w:hAnsi="Times New Roman"/>
                <w:sz w:val="26"/>
                <w:szCs w:val="26"/>
                <w:lang w:val="ro-MD"/>
              </w:rPr>
              <w:t>aplicabil</w:t>
            </w:r>
          </w:p>
          <w:p w:rsidR="00341C70" w:rsidRPr="00875D8A" w:rsidRDefault="00341C70" w:rsidP="00606304">
            <w:pPr>
              <w:spacing w:after="0" w:line="240" w:lineRule="auto"/>
              <w:ind w:left="135" w:right="45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</w:tr>
    </w:tbl>
    <w:p w:rsidR="00341C70" w:rsidRDefault="00341C70" w:rsidP="00341C70">
      <w:pPr>
        <w:tabs>
          <w:tab w:val="left" w:pos="9498"/>
        </w:tabs>
        <w:ind w:right="191" w:firstLine="720"/>
        <w:rPr>
          <w:rFonts w:ascii="Times New Roman" w:hAnsi="Times New Roman"/>
          <w:b/>
          <w:sz w:val="26"/>
          <w:szCs w:val="26"/>
          <w:lang w:val="ro-MD"/>
        </w:rPr>
      </w:pPr>
    </w:p>
    <w:p w:rsidR="00341C70" w:rsidRPr="009D4C4E" w:rsidRDefault="00341C70" w:rsidP="00341C70">
      <w:pPr>
        <w:tabs>
          <w:tab w:val="left" w:pos="9498"/>
        </w:tabs>
        <w:ind w:right="191" w:firstLine="720"/>
        <w:rPr>
          <w:rFonts w:ascii="Times New Roman" w:hAnsi="Times New Roman"/>
          <w:b/>
          <w:sz w:val="26"/>
          <w:szCs w:val="26"/>
          <w:lang w:val="ro-MD"/>
        </w:rPr>
      </w:pPr>
      <w:r w:rsidRPr="00875D8A">
        <w:rPr>
          <w:rFonts w:ascii="Times New Roman" w:hAnsi="Times New Roman"/>
          <w:b/>
          <w:sz w:val="26"/>
          <w:szCs w:val="26"/>
          <w:lang w:val="ro-MD"/>
        </w:rPr>
        <w:t xml:space="preserve">Ministru                                          </w:t>
      </w:r>
      <w:r>
        <w:rPr>
          <w:rFonts w:ascii="Times New Roman" w:hAnsi="Times New Roman"/>
          <w:b/>
          <w:sz w:val="26"/>
          <w:szCs w:val="26"/>
          <w:lang w:val="ro-MD"/>
        </w:rPr>
        <w:t>Serghei RAILEAN</w:t>
      </w:r>
    </w:p>
    <w:p w:rsidR="00341C70" w:rsidRDefault="00341C70" w:rsidP="00341C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9B1746" w:rsidRDefault="009B1746"/>
    <w:sectPr w:rsidR="009B1746" w:rsidSect="00A94857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1F"/>
    <w:rsid w:val="00341C70"/>
    <w:rsid w:val="0042601F"/>
    <w:rsid w:val="009B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82155-EF02-4760-8380-4BD05F78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70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Знак Char"/>
    <w:link w:val="NormalWeb"/>
    <w:uiPriority w:val="99"/>
    <w:locked/>
    <w:rsid w:val="00341C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Знак"/>
    <w:basedOn w:val="Normal"/>
    <w:link w:val="NormalWebChar"/>
    <w:uiPriority w:val="99"/>
    <w:unhideWhenUsed/>
    <w:rsid w:val="00341C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docheader">
    <w:name w:val="doc_header"/>
    <w:rsid w:val="00341C70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341C70"/>
    <w:pPr>
      <w:spacing w:after="0" w:line="240" w:lineRule="auto"/>
    </w:pPr>
    <w:rPr>
      <w:rFonts w:eastAsiaTheme="minorEastAsia" w:cs="Times New Roman"/>
      <w:lang w:eastAsia="en-GB"/>
    </w:rPr>
  </w:style>
  <w:style w:type="character" w:styleId="Hyperlink">
    <w:name w:val="Hyperlink"/>
    <w:uiPriority w:val="99"/>
    <w:rsid w:val="00341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i.gov.md" TargetMode="External"/><Relationship Id="rId4" Type="http://schemas.openxmlformats.org/officeDocument/2006/relationships/hyperlink" Target="lex:LPLP20061222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2</cp:revision>
  <dcterms:created xsi:type="dcterms:W3CDTF">2020-06-04T09:59:00Z</dcterms:created>
  <dcterms:modified xsi:type="dcterms:W3CDTF">2020-06-04T09:59:00Z</dcterms:modified>
</cp:coreProperties>
</file>