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692" w:rsidRDefault="00E45692" w:rsidP="00E45692">
      <w:pPr>
        <w:jc w:val="center"/>
        <w:rPr>
          <w:b/>
          <w:sz w:val="28"/>
          <w:szCs w:val="28"/>
          <w:lang w:val="ro-RO"/>
        </w:rPr>
      </w:pPr>
      <w:r w:rsidRPr="00CE56B6">
        <w:rPr>
          <w:b/>
          <w:sz w:val="28"/>
          <w:szCs w:val="28"/>
          <w:lang w:val="ro-RO"/>
        </w:rPr>
        <w:t>Notă informativă</w:t>
      </w:r>
    </w:p>
    <w:p w:rsidR="000C2F55" w:rsidRPr="00CE56B6" w:rsidRDefault="000C2F55" w:rsidP="00E45692">
      <w:pPr>
        <w:jc w:val="center"/>
        <w:rPr>
          <w:b/>
          <w:sz w:val="28"/>
          <w:szCs w:val="28"/>
          <w:lang w:val="ro-RO"/>
        </w:rPr>
      </w:pPr>
    </w:p>
    <w:p w:rsidR="00E45692" w:rsidRPr="00CE56B6" w:rsidRDefault="00E45692" w:rsidP="00CC4315">
      <w:pPr>
        <w:ind w:left="284"/>
        <w:jc w:val="both"/>
        <w:rPr>
          <w:sz w:val="28"/>
          <w:szCs w:val="28"/>
          <w:lang w:val="ro-RO"/>
        </w:rPr>
      </w:pPr>
      <w:r w:rsidRPr="00CE56B6">
        <w:rPr>
          <w:sz w:val="28"/>
          <w:szCs w:val="28"/>
          <w:lang w:val="ro-RO"/>
        </w:rPr>
        <w:t>la proiectul de Decizie „</w:t>
      </w:r>
      <w:r w:rsidR="00CC4315" w:rsidRPr="00CE56B6">
        <w:rPr>
          <w:sz w:val="28"/>
          <w:szCs w:val="28"/>
          <w:lang w:val="ro-RO"/>
        </w:rPr>
        <w:t xml:space="preserve">Cu privire la aprobarea, în redacție nouă, a Regulamentului </w:t>
      </w:r>
      <w:r w:rsidR="00CC4315" w:rsidRPr="00CE56B6">
        <w:rPr>
          <w:bCs/>
          <w:sz w:val="28"/>
          <w:szCs w:val="28"/>
          <w:lang w:val="ro-RO"/>
        </w:rPr>
        <w:t xml:space="preserve">privind organizarea și funcționarea Centrului social regional „Renașterea”, </w:t>
      </w:r>
      <w:r w:rsidR="00CC4315" w:rsidRPr="00CE56B6">
        <w:rPr>
          <w:sz w:val="28"/>
          <w:szCs w:val="28"/>
          <w:lang w:val="ro-RO"/>
        </w:rPr>
        <w:t>a statului de personal și a structurii acestuia</w:t>
      </w:r>
      <w:r w:rsidRPr="00CE56B6">
        <w:rPr>
          <w:sz w:val="28"/>
          <w:szCs w:val="28"/>
          <w:lang w:val="ro-RO"/>
        </w:rPr>
        <w:t>”</w:t>
      </w:r>
    </w:p>
    <w:p w:rsidR="00E45692" w:rsidRPr="00CE56B6" w:rsidRDefault="00E45692" w:rsidP="00E45692">
      <w:pPr>
        <w:jc w:val="center"/>
        <w:rPr>
          <w:sz w:val="28"/>
          <w:szCs w:val="28"/>
          <w:lang w:val="ro-RO"/>
        </w:rPr>
      </w:pPr>
    </w:p>
    <w:tbl>
      <w:tblPr>
        <w:tblStyle w:val="GrilTabel"/>
        <w:tblW w:w="0" w:type="auto"/>
        <w:tblLook w:val="01E0" w:firstRow="1" w:lastRow="1" w:firstColumn="1" w:lastColumn="1" w:noHBand="0" w:noVBand="0"/>
      </w:tblPr>
      <w:tblGrid>
        <w:gridCol w:w="10836"/>
      </w:tblGrid>
      <w:tr w:rsidR="00E45692" w:rsidRPr="00CE56B6" w:rsidTr="00420A7F">
        <w:tc>
          <w:tcPr>
            <w:tcW w:w="10836" w:type="dxa"/>
            <w:shd w:val="clear" w:color="auto" w:fill="D9D9D9"/>
          </w:tcPr>
          <w:p w:rsidR="00E45692" w:rsidRPr="00CE56B6" w:rsidRDefault="00E45692" w:rsidP="00420A7F">
            <w:pPr>
              <w:jc w:val="center"/>
              <w:rPr>
                <w:b/>
                <w:sz w:val="28"/>
                <w:szCs w:val="28"/>
                <w:lang w:val="ro-RO"/>
              </w:rPr>
            </w:pPr>
            <w:r w:rsidRPr="00CE56B6">
              <w:rPr>
                <w:b/>
                <w:sz w:val="28"/>
                <w:szCs w:val="28"/>
                <w:lang w:val="ro-RO"/>
              </w:rPr>
              <w:t>Denumirea autorului şi după caz, a participanţilor la elaborarea proiectului</w:t>
            </w:r>
          </w:p>
        </w:tc>
      </w:tr>
      <w:tr w:rsidR="00E45692" w:rsidRPr="00CE56B6" w:rsidTr="00420A7F">
        <w:tc>
          <w:tcPr>
            <w:tcW w:w="10836" w:type="dxa"/>
          </w:tcPr>
          <w:p w:rsidR="00E45692" w:rsidRPr="00CE56B6" w:rsidRDefault="00E45692" w:rsidP="00CC4315">
            <w:pPr>
              <w:jc w:val="both"/>
              <w:rPr>
                <w:sz w:val="28"/>
                <w:szCs w:val="28"/>
                <w:lang w:val="ro-RO"/>
              </w:rPr>
            </w:pPr>
            <w:r w:rsidRPr="00CE56B6">
              <w:rPr>
                <w:sz w:val="28"/>
                <w:szCs w:val="28"/>
                <w:lang w:val="ro-RO"/>
              </w:rPr>
              <w:t>Proiectul de Decizie „</w:t>
            </w:r>
            <w:r w:rsidR="00CC4315" w:rsidRPr="00CE56B6">
              <w:rPr>
                <w:sz w:val="28"/>
                <w:szCs w:val="28"/>
                <w:lang w:val="ro-RO"/>
              </w:rPr>
              <w:t xml:space="preserve">Cu privire la aprobarea, în redacție nouă, a Regulamentului </w:t>
            </w:r>
            <w:r w:rsidR="00CC4315" w:rsidRPr="00CE56B6">
              <w:rPr>
                <w:bCs/>
                <w:sz w:val="28"/>
                <w:szCs w:val="28"/>
                <w:lang w:val="ro-RO"/>
              </w:rPr>
              <w:t xml:space="preserve">privind organizarea și funcționarea Centrului social regional „Renașterea”, </w:t>
            </w:r>
            <w:r w:rsidR="00CC4315" w:rsidRPr="00CE56B6">
              <w:rPr>
                <w:sz w:val="28"/>
                <w:szCs w:val="28"/>
                <w:lang w:val="ro-RO"/>
              </w:rPr>
              <w:t xml:space="preserve">a statului de personal și a structurii acestuia” </w:t>
            </w:r>
            <w:r w:rsidRPr="00CE56B6">
              <w:rPr>
                <w:sz w:val="28"/>
                <w:szCs w:val="28"/>
                <w:lang w:val="ro-RO"/>
              </w:rPr>
              <w:t xml:space="preserve"> a fost elaborat de către </w:t>
            </w:r>
            <w:r w:rsidR="00DF5CD7">
              <w:rPr>
                <w:sz w:val="28"/>
                <w:szCs w:val="28"/>
                <w:lang w:val="ro-RO"/>
              </w:rPr>
              <w:t xml:space="preserve">Direcția </w:t>
            </w:r>
            <w:r w:rsidR="0077389A">
              <w:rPr>
                <w:sz w:val="28"/>
                <w:szCs w:val="28"/>
                <w:lang w:val="ro-RO"/>
              </w:rPr>
              <w:t>municipală pentru p</w:t>
            </w:r>
            <w:r w:rsidR="00DF5CD7">
              <w:rPr>
                <w:sz w:val="28"/>
                <w:szCs w:val="28"/>
                <w:lang w:val="ro-RO"/>
              </w:rPr>
              <w:t xml:space="preserve">rotecția </w:t>
            </w:r>
            <w:r w:rsidR="0077389A">
              <w:rPr>
                <w:sz w:val="28"/>
                <w:szCs w:val="28"/>
                <w:lang w:val="ro-RO"/>
              </w:rPr>
              <w:t>d</w:t>
            </w:r>
            <w:r w:rsidR="00DF5CD7">
              <w:rPr>
                <w:sz w:val="28"/>
                <w:szCs w:val="28"/>
                <w:lang w:val="ro-RO"/>
              </w:rPr>
              <w:t xml:space="preserve">repturilor </w:t>
            </w:r>
            <w:r w:rsidR="0077389A">
              <w:rPr>
                <w:sz w:val="28"/>
                <w:szCs w:val="28"/>
                <w:lang w:val="ro-RO"/>
              </w:rPr>
              <w:t>c</w:t>
            </w:r>
            <w:r w:rsidR="00DF5CD7">
              <w:rPr>
                <w:sz w:val="28"/>
                <w:szCs w:val="28"/>
                <w:lang w:val="ro-RO"/>
              </w:rPr>
              <w:t xml:space="preserve">opilului </w:t>
            </w:r>
            <w:r w:rsidR="00CE56B6">
              <w:rPr>
                <w:bCs/>
                <w:sz w:val="28"/>
                <w:szCs w:val="28"/>
                <w:lang w:val="ro-RO"/>
              </w:rPr>
              <w:t>în baza  Regulamentului-cadru  (anexa nr. 1 la Hotărîrea Guvernului nr. 1010 din 26.08.2016)</w:t>
            </w:r>
            <w:r w:rsidR="001D3AA8">
              <w:rPr>
                <w:bCs/>
                <w:sz w:val="28"/>
                <w:szCs w:val="28"/>
                <w:lang w:val="ro-RO"/>
              </w:rPr>
              <w:t>.</w:t>
            </w:r>
          </w:p>
          <w:p w:rsidR="00E45692" w:rsidRPr="00CE56B6" w:rsidRDefault="00E45692" w:rsidP="00420A7F">
            <w:pPr>
              <w:jc w:val="both"/>
              <w:rPr>
                <w:sz w:val="28"/>
                <w:szCs w:val="28"/>
                <w:lang w:val="ro-RO"/>
              </w:rPr>
            </w:pPr>
          </w:p>
        </w:tc>
      </w:tr>
      <w:tr w:rsidR="00E45692" w:rsidRPr="000C2F55" w:rsidTr="00420A7F">
        <w:tc>
          <w:tcPr>
            <w:tcW w:w="10836" w:type="dxa"/>
            <w:shd w:val="clear" w:color="auto" w:fill="D9D9D9"/>
          </w:tcPr>
          <w:p w:rsidR="00E45692" w:rsidRPr="00CE56B6" w:rsidRDefault="00E45692" w:rsidP="00420A7F">
            <w:pPr>
              <w:jc w:val="center"/>
              <w:rPr>
                <w:b/>
                <w:sz w:val="28"/>
                <w:szCs w:val="28"/>
                <w:lang w:val="ro-RO"/>
              </w:rPr>
            </w:pPr>
            <w:r w:rsidRPr="00CE56B6">
              <w:rPr>
                <w:b/>
                <w:sz w:val="28"/>
                <w:szCs w:val="28"/>
                <w:lang w:val="ro-RO"/>
              </w:rPr>
              <w:t>Condiţiile ce au impus elaborarea proiectului de act normativ şi finalităţile urmărite</w:t>
            </w:r>
          </w:p>
        </w:tc>
      </w:tr>
      <w:tr w:rsidR="00E45692" w:rsidRPr="000C2F55" w:rsidTr="00420A7F">
        <w:tc>
          <w:tcPr>
            <w:tcW w:w="10836" w:type="dxa"/>
            <w:tcBorders>
              <w:bottom w:val="single" w:sz="4" w:space="0" w:color="auto"/>
            </w:tcBorders>
          </w:tcPr>
          <w:p w:rsidR="00E45692" w:rsidRDefault="00A614C2" w:rsidP="00DF5CD7">
            <w:pPr>
              <w:jc w:val="both"/>
              <w:rPr>
                <w:bCs/>
                <w:sz w:val="28"/>
                <w:szCs w:val="28"/>
                <w:lang w:val="ro-RO"/>
              </w:rPr>
            </w:pPr>
            <w:r>
              <w:rPr>
                <w:sz w:val="28"/>
                <w:szCs w:val="28"/>
                <w:lang w:val="ro-RO"/>
              </w:rPr>
              <w:t>Î</w:t>
            </w:r>
            <w:r w:rsidRPr="00A614C2">
              <w:rPr>
                <w:sz w:val="28"/>
                <w:szCs w:val="28"/>
                <w:lang w:val="ro-RO"/>
              </w:rPr>
              <w:t>n scopul asigurării durabilității serviciului creat</w:t>
            </w:r>
            <w:r w:rsidR="006D164D">
              <w:rPr>
                <w:sz w:val="28"/>
                <w:szCs w:val="28"/>
                <w:lang w:val="ro-RO"/>
              </w:rPr>
              <w:t xml:space="preserve"> (la moment nu po</w:t>
            </w:r>
            <w:r w:rsidR="0077389A">
              <w:rPr>
                <w:sz w:val="28"/>
                <w:szCs w:val="28"/>
                <w:lang w:val="ro-RO"/>
              </w:rPr>
              <w:t>a</w:t>
            </w:r>
            <w:r w:rsidR="006D164D">
              <w:rPr>
                <w:sz w:val="28"/>
                <w:szCs w:val="28"/>
                <w:lang w:val="ro-RO"/>
              </w:rPr>
              <w:t>t</w:t>
            </w:r>
            <w:r w:rsidR="0077389A">
              <w:rPr>
                <w:sz w:val="28"/>
                <w:szCs w:val="28"/>
                <w:lang w:val="ro-RO"/>
              </w:rPr>
              <w:t xml:space="preserve">e </w:t>
            </w:r>
            <w:r w:rsidR="006D164D">
              <w:rPr>
                <w:sz w:val="28"/>
                <w:szCs w:val="28"/>
                <w:lang w:val="ro-RO"/>
              </w:rPr>
              <w:t xml:space="preserve"> fi angaja</w:t>
            </w:r>
            <w:r w:rsidR="00DF5CD7">
              <w:rPr>
                <w:sz w:val="28"/>
                <w:szCs w:val="28"/>
                <w:lang w:val="ro-RO"/>
              </w:rPr>
              <w:t>t</w:t>
            </w:r>
            <w:r w:rsidR="006D164D">
              <w:rPr>
                <w:sz w:val="28"/>
                <w:szCs w:val="28"/>
                <w:lang w:val="ro-RO"/>
              </w:rPr>
              <w:t xml:space="preserve"> personalul de specialitate: psiholog, jurisconsult, pedagog social, asistent social, kinetoterapeut)</w:t>
            </w:r>
            <w:r w:rsidRPr="00A614C2">
              <w:rPr>
                <w:sz w:val="28"/>
                <w:szCs w:val="28"/>
                <w:lang w:val="ro-RO"/>
              </w:rPr>
              <w:t xml:space="preserve"> și racordării acest</w:t>
            </w:r>
            <w:r w:rsidR="00DF5CD7">
              <w:rPr>
                <w:sz w:val="28"/>
                <w:szCs w:val="28"/>
                <w:lang w:val="ro-RO"/>
              </w:rPr>
              <w:t>uia</w:t>
            </w:r>
            <w:r w:rsidRPr="00A614C2">
              <w:rPr>
                <w:sz w:val="28"/>
                <w:szCs w:val="28"/>
                <w:lang w:val="ro-RO"/>
              </w:rPr>
              <w:t xml:space="preserve"> la rigorile legislației pentru ulterioara acreditare, în conformitate cu prevederile Hotărârii Guvernului nr. 1010 din 26.08.2016 </w:t>
            </w:r>
            <w:r w:rsidRPr="00A614C2">
              <w:rPr>
                <w:bCs/>
                <w:sz w:val="28"/>
                <w:szCs w:val="28"/>
                <w:lang w:val="ro-RO"/>
              </w:rPr>
              <w:t>pentru aprobarea Regulamentului-cadru privind organizarea şi funcţionarea Centrului social regional pentru asistenţa persoanelor infectate HIV/SIDA, și a membrilor familiilor acestora și a standardelor minime de calitate,</w:t>
            </w:r>
            <w:r w:rsidR="001D3AA8">
              <w:rPr>
                <w:bCs/>
                <w:sz w:val="28"/>
                <w:szCs w:val="28"/>
                <w:lang w:val="ro-RO"/>
              </w:rPr>
              <w:t xml:space="preserve"> </w:t>
            </w:r>
          </w:p>
          <w:p w:rsidR="00F22755" w:rsidRPr="000C2F55" w:rsidRDefault="00F22755" w:rsidP="00DF5CD7">
            <w:pPr>
              <w:jc w:val="both"/>
              <w:rPr>
                <w:sz w:val="28"/>
                <w:szCs w:val="28"/>
                <w:lang w:val="fr-FR"/>
              </w:rPr>
            </w:pPr>
          </w:p>
        </w:tc>
      </w:tr>
      <w:tr w:rsidR="00E45692" w:rsidRPr="00CE56B6" w:rsidTr="00420A7F">
        <w:tc>
          <w:tcPr>
            <w:tcW w:w="10836" w:type="dxa"/>
            <w:shd w:val="clear" w:color="auto" w:fill="D9D9D9"/>
          </w:tcPr>
          <w:p w:rsidR="00E45692" w:rsidRPr="00CE56B6" w:rsidRDefault="00E45692" w:rsidP="00420A7F">
            <w:pPr>
              <w:jc w:val="center"/>
              <w:rPr>
                <w:b/>
                <w:sz w:val="28"/>
                <w:szCs w:val="28"/>
                <w:lang w:val="ro-RO"/>
              </w:rPr>
            </w:pPr>
            <w:r w:rsidRPr="00CE56B6">
              <w:rPr>
                <w:b/>
                <w:sz w:val="28"/>
                <w:szCs w:val="28"/>
                <w:lang w:val="ro-RO"/>
              </w:rPr>
              <w:t>Principalele prevederi ale proiectului şi evidenţierea elementelor noi</w:t>
            </w:r>
          </w:p>
        </w:tc>
      </w:tr>
      <w:tr w:rsidR="00E45692" w:rsidRPr="000C2F55" w:rsidTr="00420A7F">
        <w:tc>
          <w:tcPr>
            <w:tcW w:w="10836" w:type="dxa"/>
          </w:tcPr>
          <w:p w:rsidR="006E31FF" w:rsidRPr="006E31FF" w:rsidRDefault="006E31FF" w:rsidP="006E31FF">
            <w:pPr>
              <w:pStyle w:val="1"/>
              <w:numPr>
                <w:ilvl w:val="0"/>
                <w:numId w:val="2"/>
              </w:numPr>
              <w:spacing w:after="0" w:line="240" w:lineRule="auto"/>
              <w:ind w:left="0" w:hanging="357"/>
              <w:jc w:val="both"/>
              <w:rPr>
                <w:rFonts w:ascii="Times New Roman" w:hAnsi="Times New Roman"/>
                <w:sz w:val="28"/>
                <w:szCs w:val="28"/>
                <w:lang w:val="ro-RO"/>
              </w:rPr>
            </w:pPr>
            <w:r w:rsidRPr="006E31FF">
              <w:rPr>
                <w:rFonts w:ascii="Times New Roman" w:hAnsi="Times New Roman"/>
                <w:sz w:val="28"/>
                <w:szCs w:val="28"/>
                <w:lang w:val="ro-RO"/>
              </w:rPr>
              <w:t xml:space="preserve">Serviciile Centrului </w:t>
            </w:r>
            <w:r>
              <w:rPr>
                <w:rFonts w:ascii="Times New Roman" w:hAnsi="Times New Roman"/>
                <w:sz w:val="28"/>
                <w:szCs w:val="28"/>
                <w:lang w:val="ro-RO"/>
              </w:rPr>
              <w:t>sunt</w:t>
            </w:r>
            <w:r w:rsidRPr="006E31FF">
              <w:rPr>
                <w:rFonts w:ascii="Times New Roman" w:hAnsi="Times New Roman"/>
                <w:sz w:val="28"/>
                <w:szCs w:val="28"/>
                <w:lang w:val="ro-RO"/>
              </w:rPr>
              <w:t xml:space="preserve"> prestate 5 zile pe săptămână de la 9:00 până la 18:00, capacitatea fiind de 35  persoane zilnic. </w:t>
            </w:r>
          </w:p>
          <w:p w:rsidR="00307538" w:rsidRPr="006E31FF" w:rsidRDefault="00307538" w:rsidP="00307538">
            <w:pPr>
              <w:pStyle w:val="1"/>
              <w:spacing w:after="0" w:line="240" w:lineRule="auto"/>
              <w:ind w:left="0"/>
              <w:jc w:val="both"/>
              <w:rPr>
                <w:rFonts w:ascii="Times New Roman" w:hAnsi="Times New Roman"/>
                <w:sz w:val="28"/>
                <w:szCs w:val="28"/>
                <w:lang w:val="ro-RO"/>
              </w:rPr>
            </w:pPr>
            <w:r w:rsidRPr="006E31FF">
              <w:rPr>
                <w:rFonts w:ascii="Times New Roman" w:hAnsi="Times New Roman"/>
                <w:sz w:val="28"/>
                <w:szCs w:val="28"/>
                <w:lang w:val="ro-RO"/>
              </w:rPr>
              <w:t>Tipurile de servicii prestate gratuit, în regim de zi, în cadrul Centrului sunt următoarele:</w:t>
            </w:r>
          </w:p>
          <w:p w:rsidR="00307538" w:rsidRPr="006E31FF" w:rsidRDefault="00307538" w:rsidP="00307538">
            <w:pPr>
              <w:pStyle w:val="1"/>
              <w:numPr>
                <w:ilvl w:val="1"/>
                <w:numId w:val="2"/>
              </w:numPr>
              <w:spacing w:after="0" w:line="240" w:lineRule="auto"/>
              <w:jc w:val="both"/>
              <w:rPr>
                <w:rFonts w:ascii="Times New Roman" w:hAnsi="Times New Roman"/>
                <w:sz w:val="28"/>
                <w:szCs w:val="28"/>
                <w:lang w:val="ro-RO"/>
              </w:rPr>
            </w:pPr>
            <w:r w:rsidRPr="006E31FF">
              <w:rPr>
                <w:rFonts w:ascii="Times New Roman" w:hAnsi="Times New Roman"/>
                <w:sz w:val="28"/>
                <w:szCs w:val="28"/>
                <w:lang w:val="ro-RO"/>
              </w:rPr>
              <w:t>de informare;</w:t>
            </w:r>
          </w:p>
          <w:p w:rsidR="00307538" w:rsidRPr="006E31FF" w:rsidRDefault="00307538" w:rsidP="00307538">
            <w:pPr>
              <w:pStyle w:val="1"/>
              <w:numPr>
                <w:ilvl w:val="1"/>
                <w:numId w:val="2"/>
              </w:numPr>
              <w:spacing w:after="0" w:line="240" w:lineRule="auto"/>
              <w:jc w:val="both"/>
              <w:rPr>
                <w:rFonts w:ascii="Times New Roman" w:hAnsi="Times New Roman"/>
                <w:sz w:val="28"/>
                <w:szCs w:val="28"/>
                <w:lang w:val="ro-RO"/>
              </w:rPr>
            </w:pPr>
            <w:r w:rsidRPr="006E31FF">
              <w:rPr>
                <w:rFonts w:ascii="Times New Roman" w:hAnsi="Times New Roman"/>
                <w:sz w:val="28"/>
                <w:szCs w:val="28"/>
                <w:lang w:val="ro-RO"/>
              </w:rPr>
              <w:t>de consiliere psihologică;</w:t>
            </w:r>
          </w:p>
          <w:p w:rsidR="00307538" w:rsidRPr="006E31FF" w:rsidRDefault="00307538" w:rsidP="00307538">
            <w:pPr>
              <w:pStyle w:val="1"/>
              <w:numPr>
                <w:ilvl w:val="1"/>
                <w:numId w:val="2"/>
              </w:numPr>
              <w:spacing w:after="0" w:line="240" w:lineRule="auto"/>
              <w:jc w:val="both"/>
              <w:rPr>
                <w:rFonts w:ascii="Times New Roman" w:hAnsi="Times New Roman"/>
                <w:sz w:val="28"/>
                <w:szCs w:val="28"/>
                <w:lang w:val="ro-RO"/>
              </w:rPr>
            </w:pPr>
            <w:r w:rsidRPr="006E31FF">
              <w:rPr>
                <w:rFonts w:ascii="Times New Roman" w:hAnsi="Times New Roman"/>
                <w:sz w:val="28"/>
                <w:szCs w:val="28"/>
                <w:lang w:val="ro-RO"/>
              </w:rPr>
              <w:t>de consiliere juridică;</w:t>
            </w:r>
          </w:p>
          <w:p w:rsidR="00307538" w:rsidRPr="006E31FF" w:rsidRDefault="00307538" w:rsidP="00307538">
            <w:pPr>
              <w:pStyle w:val="1"/>
              <w:numPr>
                <w:ilvl w:val="1"/>
                <w:numId w:val="2"/>
              </w:numPr>
              <w:spacing w:after="0" w:line="240" w:lineRule="auto"/>
              <w:jc w:val="both"/>
              <w:rPr>
                <w:rFonts w:ascii="Times New Roman" w:hAnsi="Times New Roman"/>
                <w:sz w:val="28"/>
                <w:szCs w:val="28"/>
                <w:lang w:val="ro-RO"/>
              </w:rPr>
            </w:pPr>
            <w:r w:rsidRPr="006E31FF">
              <w:rPr>
                <w:rFonts w:ascii="Times New Roman" w:hAnsi="Times New Roman"/>
                <w:sz w:val="28"/>
                <w:szCs w:val="28"/>
                <w:lang w:val="ro-RO"/>
              </w:rPr>
              <w:t>de asistenţă medicală;</w:t>
            </w:r>
          </w:p>
          <w:p w:rsidR="00307538" w:rsidRPr="006E31FF" w:rsidRDefault="00307538" w:rsidP="00307538">
            <w:pPr>
              <w:pStyle w:val="1"/>
              <w:numPr>
                <w:ilvl w:val="1"/>
                <w:numId w:val="2"/>
              </w:numPr>
              <w:spacing w:after="0" w:line="240" w:lineRule="auto"/>
              <w:jc w:val="both"/>
              <w:rPr>
                <w:rFonts w:ascii="Times New Roman" w:hAnsi="Times New Roman"/>
                <w:sz w:val="28"/>
                <w:szCs w:val="28"/>
                <w:lang w:val="ro-RO"/>
              </w:rPr>
            </w:pPr>
            <w:r w:rsidRPr="006E31FF">
              <w:rPr>
                <w:rFonts w:ascii="Times New Roman" w:hAnsi="Times New Roman"/>
                <w:sz w:val="28"/>
                <w:szCs w:val="28"/>
                <w:lang w:val="ro-RO"/>
              </w:rPr>
              <w:t>de recuperare fizică;</w:t>
            </w:r>
          </w:p>
          <w:p w:rsidR="00307538" w:rsidRPr="006E31FF" w:rsidRDefault="00307538" w:rsidP="00307538">
            <w:pPr>
              <w:pStyle w:val="1"/>
              <w:numPr>
                <w:ilvl w:val="1"/>
                <w:numId w:val="2"/>
              </w:numPr>
              <w:spacing w:after="0" w:line="240" w:lineRule="auto"/>
              <w:jc w:val="both"/>
              <w:rPr>
                <w:rFonts w:ascii="Times New Roman" w:hAnsi="Times New Roman"/>
                <w:sz w:val="28"/>
                <w:szCs w:val="28"/>
                <w:lang w:val="ro-RO"/>
              </w:rPr>
            </w:pPr>
            <w:r w:rsidRPr="006E31FF">
              <w:rPr>
                <w:rFonts w:ascii="Times New Roman" w:hAnsi="Times New Roman"/>
                <w:sz w:val="28"/>
                <w:szCs w:val="28"/>
                <w:lang w:val="ro-RO"/>
              </w:rPr>
              <w:t>de (re)integrare în familie şi/sau în comunitate;</w:t>
            </w:r>
          </w:p>
          <w:p w:rsidR="00307538" w:rsidRPr="006E31FF" w:rsidRDefault="00307538" w:rsidP="00307538">
            <w:pPr>
              <w:pStyle w:val="1"/>
              <w:numPr>
                <w:ilvl w:val="1"/>
                <w:numId w:val="2"/>
              </w:numPr>
              <w:spacing w:after="0" w:line="240" w:lineRule="auto"/>
              <w:jc w:val="both"/>
              <w:rPr>
                <w:rFonts w:ascii="Times New Roman" w:hAnsi="Times New Roman"/>
                <w:sz w:val="28"/>
                <w:szCs w:val="28"/>
                <w:lang w:val="ro-RO"/>
              </w:rPr>
            </w:pPr>
            <w:r w:rsidRPr="006E31FF">
              <w:rPr>
                <w:rFonts w:ascii="Times New Roman" w:hAnsi="Times New Roman"/>
                <w:sz w:val="28"/>
                <w:szCs w:val="28"/>
                <w:lang w:val="ro-RO"/>
              </w:rPr>
              <w:t>de agrement pentru copii;</w:t>
            </w:r>
          </w:p>
          <w:p w:rsidR="00307538" w:rsidRPr="006E31FF" w:rsidRDefault="00307538" w:rsidP="00307538">
            <w:pPr>
              <w:pStyle w:val="1"/>
              <w:numPr>
                <w:ilvl w:val="1"/>
                <w:numId w:val="2"/>
              </w:numPr>
              <w:spacing w:after="0" w:line="240" w:lineRule="auto"/>
              <w:jc w:val="both"/>
              <w:rPr>
                <w:rFonts w:ascii="Times New Roman" w:hAnsi="Times New Roman"/>
                <w:sz w:val="28"/>
                <w:szCs w:val="28"/>
                <w:lang w:val="ro-RO"/>
              </w:rPr>
            </w:pPr>
            <w:r w:rsidRPr="006E31FF">
              <w:rPr>
                <w:rFonts w:ascii="Times New Roman" w:hAnsi="Times New Roman"/>
                <w:sz w:val="28"/>
                <w:szCs w:val="28"/>
                <w:lang w:val="ro-RO"/>
              </w:rPr>
              <w:t>de igienă personală (baie, spălarea rufelor).</w:t>
            </w:r>
          </w:p>
          <w:p w:rsidR="00F22755" w:rsidRPr="00F22755" w:rsidRDefault="00F22755" w:rsidP="00F22755">
            <w:pPr>
              <w:pStyle w:val="1"/>
              <w:autoSpaceDE w:val="0"/>
              <w:autoSpaceDN w:val="0"/>
              <w:adjustRightInd w:val="0"/>
              <w:spacing w:after="0" w:line="240" w:lineRule="auto"/>
              <w:ind w:left="0"/>
              <w:jc w:val="both"/>
              <w:rPr>
                <w:rFonts w:ascii="Times New Roman" w:hAnsi="Times New Roman"/>
                <w:sz w:val="28"/>
                <w:szCs w:val="28"/>
                <w:lang w:val="ro-RO"/>
              </w:rPr>
            </w:pPr>
            <w:r w:rsidRPr="00F22755">
              <w:rPr>
                <w:rFonts w:ascii="Times New Roman" w:hAnsi="Times New Roman"/>
                <w:sz w:val="28"/>
                <w:szCs w:val="28"/>
                <w:lang w:val="ro-RO"/>
              </w:rPr>
              <w:t>Direcţiile prioritare de acordare a serviciilor:</w:t>
            </w:r>
          </w:p>
          <w:p w:rsidR="00F22755" w:rsidRPr="00F22755" w:rsidRDefault="00F22755" w:rsidP="00F22755">
            <w:pPr>
              <w:pStyle w:val="1"/>
              <w:numPr>
                <w:ilvl w:val="0"/>
                <w:numId w:val="3"/>
              </w:numPr>
              <w:autoSpaceDE w:val="0"/>
              <w:autoSpaceDN w:val="0"/>
              <w:adjustRightInd w:val="0"/>
              <w:spacing w:after="0" w:line="240" w:lineRule="auto"/>
              <w:jc w:val="both"/>
              <w:rPr>
                <w:rFonts w:ascii="Times New Roman" w:hAnsi="Times New Roman"/>
                <w:sz w:val="28"/>
                <w:szCs w:val="28"/>
                <w:lang w:val="ro-RO"/>
              </w:rPr>
            </w:pPr>
            <w:r w:rsidRPr="00F22755">
              <w:rPr>
                <w:rFonts w:ascii="Times New Roman" w:hAnsi="Times New Roman"/>
                <w:sz w:val="28"/>
                <w:szCs w:val="28"/>
                <w:lang w:val="ro-RO"/>
              </w:rPr>
              <w:t>serviciul de zi - asistenţă consultativă psihosocială şi de aderare la tratamentul ARV, servicii consiliere de la egal la egal, asistenţă în perfectarea sau restabilirea actelor, servicii juridice, crearea grupurilor de ajutor reciproc, consiliere psihologică pentru obţinerea unui loc de muncă, cursuri de instruire continuă, traininguri pentru persoane HIV pozitive;</w:t>
            </w:r>
          </w:p>
          <w:p w:rsidR="00F22755" w:rsidRDefault="00F22755" w:rsidP="00F22755">
            <w:pPr>
              <w:pStyle w:val="1"/>
              <w:numPr>
                <w:ilvl w:val="0"/>
                <w:numId w:val="3"/>
              </w:numPr>
              <w:autoSpaceDE w:val="0"/>
              <w:autoSpaceDN w:val="0"/>
              <w:adjustRightInd w:val="0"/>
              <w:spacing w:after="0" w:line="240" w:lineRule="auto"/>
              <w:jc w:val="both"/>
              <w:rPr>
                <w:rFonts w:ascii="Times New Roman" w:hAnsi="Times New Roman"/>
                <w:sz w:val="28"/>
                <w:szCs w:val="28"/>
                <w:lang w:val="ro-RO"/>
              </w:rPr>
            </w:pPr>
            <w:r w:rsidRPr="00F22755">
              <w:rPr>
                <w:rFonts w:ascii="Times New Roman" w:hAnsi="Times New Roman"/>
                <w:sz w:val="28"/>
                <w:szCs w:val="28"/>
                <w:lang w:val="ro-RO"/>
              </w:rPr>
              <w:t>serviciul de îngrijire psihosocială la domiciliu - îngrijiri oferite prin planuri individuale de servicii sociale, asistenţă consultativă psihosocială şi de aderare la tratamentul ARV, servicii consiliere de la egal la egal.</w:t>
            </w:r>
          </w:p>
          <w:p w:rsidR="00F22755" w:rsidRPr="00F22755" w:rsidRDefault="00F22755" w:rsidP="00F22755">
            <w:pPr>
              <w:pStyle w:val="1"/>
              <w:autoSpaceDE w:val="0"/>
              <w:autoSpaceDN w:val="0"/>
              <w:adjustRightInd w:val="0"/>
              <w:spacing w:after="0" w:line="240" w:lineRule="auto"/>
              <w:jc w:val="both"/>
              <w:rPr>
                <w:rFonts w:ascii="Times New Roman" w:hAnsi="Times New Roman"/>
                <w:sz w:val="28"/>
                <w:szCs w:val="28"/>
                <w:lang w:val="ro-RO"/>
              </w:rPr>
            </w:pPr>
          </w:p>
          <w:p w:rsidR="00307538" w:rsidRPr="00CE56B6" w:rsidRDefault="00307538" w:rsidP="00307538">
            <w:pPr>
              <w:tabs>
                <w:tab w:val="left" w:pos="-1440"/>
                <w:tab w:val="left" w:pos="360"/>
                <w:tab w:val="left" w:pos="540"/>
              </w:tabs>
              <w:jc w:val="both"/>
              <w:rPr>
                <w:sz w:val="28"/>
                <w:szCs w:val="28"/>
                <w:lang w:val="it-IT"/>
              </w:rPr>
            </w:pPr>
          </w:p>
        </w:tc>
      </w:tr>
      <w:tr w:rsidR="00E45692" w:rsidRPr="00CE56B6" w:rsidTr="00420A7F">
        <w:tc>
          <w:tcPr>
            <w:tcW w:w="10836" w:type="dxa"/>
            <w:shd w:val="clear" w:color="auto" w:fill="D9D9D9"/>
          </w:tcPr>
          <w:p w:rsidR="00E45692" w:rsidRPr="00CE56B6" w:rsidRDefault="00E45692" w:rsidP="00420A7F">
            <w:pPr>
              <w:jc w:val="center"/>
              <w:rPr>
                <w:b/>
                <w:sz w:val="28"/>
                <w:szCs w:val="28"/>
                <w:lang w:val="ro-RO"/>
              </w:rPr>
            </w:pPr>
            <w:r w:rsidRPr="00CE56B6">
              <w:rPr>
                <w:b/>
                <w:sz w:val="28"/>
                <w:szCs w:val="28"/>
                <w:lang w:val="ro-RO"/>
              </w:rPr>
              <w:lastRenderedPageBreak/>
              <w:t>Fundamentarea economico-financiară</w:t>
            </w:r>
          </w:p>
        </w:tc>
      </w:tr>
      <w:tr w:rsidR="00E45692" w:rsidRPr="000C2F55" w:rsidTr="00420A7F">
        <w:tc>
          <w:tcPr>
            <w:tcW w:w="10836" w:type="dxa"/>
            <w:tcBorders>
              <w:bottom w:val="single" w:sz="4" w:space="0" w:color="auto"/>
            </w:tcBorders>
          </w:tcPr>
          <w:p w:rsidR="00E45692" w:rsidRDefault="0077389A" w:rsidP="001E501B">
            <w:pPr>
              <w:jc w:val="both"/>
              <w:rPr>
                <w:sz w:val="28"/>
                <w:szCs w:val="28"/>
                <w:lang w:val="ro-MO"/>
              </w:rPr>
            </w:pPr>
            <w:r w:rsidRPr="0077389A">
              <w:rPr>
                <w:sz w:val="28"/>
                <w:szCs w:val="28"/>
                <w:lang w:val="ro-MO"/>
              </w:rPr>
              <w:t xml:space="preserve">Conform acordului stabilit între Guvernul Republicii Moldova și Fondul Global în perioada anilor 2012 – 2014 mentenanța Centrului și salarizarea personalului a fost realizată din contul mijloacelor Fondului Global prin intermediul Centrului de Analize Politice în Sănătate.  Din anul 2015 </w:t>
            </w:r>
            <w:r w:rsidRPr="0077389A">
              <w:rPr>
                <w:color w:val="000000"/>
                <w:sz w:val="28"/>
                <w:szCs w:val="28"/>
                <w:lang w:val="ro-MO"/>
              </w:rPr>
              <w:t xml:space="preserve"> în Bugetul de Stat au fost planificate etapizat resurse financiare, astfel începănd cu anul 2015 au fost transferate resurse financiare destinate întreținerii încăperilor, iar din 2016 au fost bugetate și cheltuielile pentru salarizarea personalului. Începând din anul 2017 </w:t>
            </w:r>
            <w:r w:rsidRPr="0077389A">
              <w:rPr>
                <w:sz w:val="28"/>
                <w:szCs w:val="28"/>
                <w:lang w:val="ro-MO"/>
              </w:rPr>
              <w:t xml:space="preserve">Centrul este finanţat din contul transferurilor cu destinație specială de la bugetul de stat la bugetul municipal pentru ramura protecție socială, după cum urmează: </w:t>
            </w:r>
            <w:r w:rsidRPr="0077389A">
              <w:rPr>
                <w:sz w:val="28"/>
                <w:szCs w:val="28"/>
                <w:lang w:val="ro-MO"/>
              </w:rPr>
              <w:tab/>
              <w:t xml:space="preserve">- 2017 </w:t>
            </w:r>
            <w:r w:rsidR="000C2F55">
              <w:rPr>
                <w:sz w:val="28"/>
                <w:szCs w:val="28"/>
                <w:lang w:val="ro-MO"/>
              </w:rPr>
              <w:t xml:space="preserve">-  </w:t>
            </w:r>
            <w:bookmarkStart w:id="0" w:name="_GoBack"/>
            <w:bookmarkEnd w:id="0"/>
            <w:r w:rsidR="001E501B">
              <w:rPr>
                <w:sz w:val="28"/>
                <w:szCs w:val="28"/>
                <w:lang w:val="ro-MO"/>
              </w:rPr>
              <w:t>999.5 mii lei;</w:t>
            </w:r>
          </w:p>
          <w:p w:rsidR="001E501B" w:rsidRDefault="001E501B" w:rsidP="001E501B">
            <w:pPr>
              <w:jc w:val="both"/>
              <w:rPr>
                <w:b/>
                <w:sz w:val="28"/>
                <w:szCs w:val="28"/>
                <w:lang w:val="ro-MO"/>
              </w:rPr>
            </w:pPr>
            <w:r>
              <w:rPr>
                <w:b/>
                <w:sz w:val="28"/>
                <w:szCs w:val="28"/>
                <w:lang w:val="ro-MO"/>
              </w:rPr>
              <w:t xml:space="preserve">                                                                                                -</w:t>
            </w:r>
            <w:r w:rsidRPr="001E501B">
              <w:rPr>
                <w:sz w:val="28"/>
                <w:szCs w:val="28"/>
                <w:lang w:val="ro-MO"/>
              </w:rPr>
              <w:t xml:space="preserve"> 2018</w:t>
            </w:r>
            <w:r>
              <w:rPr>
                <w:sz w:val="28"/>
                <w:szCs w:val="28"/>
                <w:lang w:val="ro-MO"/>
              </w:rPr>
              <w:t xml:space="preserve"> </w:t>
            </w:r>
            <w:r w:rsidR="00A40A11">
              <w:rPr>
                <w:sz w:val="28"/>
                <w:szCs w:val="28"/>
                <w:lang w:val="ro-MO"/>
              </w:rPr>
              <w:t>-</w:t>
            </w:r>
            <w:r>
              <w:rPr>
                <w:sz w:val="28"/>
                <w:szCs w:val="28"/>
                <w:lang w:val="ro-MO"/>
              </w:rPr>
              <w:t xml:space="preserve"> 1376.3 mii lei;</w:t>
            </w:r>
          </w:p>
          <w:p w:rsidR="001E501B" w:rsidRDefault="001E501B" w:rsidP="001E501B">
            <w:pPr>
              <w:jc w:val="both"/>
              <w:rPr>
                <w:sz w:val="28"/>
                <w:szCs w:val="28"/>
                <w:lang w:val="ro-MO"/>
              </w:rPr>
            </w:pPr>
            <w:r>
              <w:rPr>
                <w:b/>
                <w:sz w:val="28"/>
                <w:szCs w:val="28"/>
                <w:lang w:val="ro-MO"/>
              </w:rPr>
              <w:t xml:space="preserve">                                                                                                -</w:t>
            </w:r>
            <w:r w:rsidRPr="001E501B">
              <w:rPr>
                <w:sz w:val="28"/>
                <w:szCs w:val="28"/>
                <w:lang w:val="ro-MO"/>
              </w:rPr>
              <w:t xml:space="preserve"> 2019</w:t>
            </w:r>
            <w:r w:rsidR="00A40A11">
              <w:rPr>
                <w:sz w:val="28"/>
                <w:szCs w:val="28"/>
                <w:lang w:val="ro-MO"/>
              </w:rPr>
              <w:t xml:space="preserve"> - 1454.4 mii lei;</w:t>
            </w:r>
          </w:p>
          <w:p w:rsidR="00A40A11" w:rsidRDefault="00A40A11" w:rsidP="001E501B">
            <w:pPr>
              <w:jc w:val="both"/>
              <w:rPr>
                <w:sz w:val="28"/>
                <w:szCs w:val="28"/>
                <w:lang w:val="ro-MO"/>
              </w:rPr>
            </w:pPr>
            <w:r>
              <w:rPr>
                <w:sz w:val="28"/>
                <w:szCs w:val="28"/>
                <w:lang w:val="ro-MO"/>
              </w:rPr>
              <w:t xml:space="preserve">                                                                                                - 2020 - 1267.1 mii lei;</w:t>
            </w:r>
          </w:p>
          <w:p w:rsidR="00A40A11" w:rsidRDefault="00A40A11" w:rsidP="001E501B">
            <w:pPr>
              <w:jc w:val="both"/>
              <w:rPr>
                <w:sz w:val="28"/>
                <w:szCs w:val="28"/>
                <w:lang w:val="ro-MO"/>
              </w:rPr>
            </w:pPr>
            <w:r>
              <w:rPr>
                <w:sz w:val="28"/>
                <w:szCs w:val="28"/>
                <w:lang w:val="ro-MO"/>
              </w:rPr>
              <w:t xml:space="preserve">                                                                                                - 2021 - 1346.3 mii lei;</w:t>
            </w:r>
          </w:p>
          <w:p w:rsidR="00A40A11" w:rsidRPr="0077389A" w:rsidRDefault="00A40A11" w:rsidP="001E501B">
            <w:pPr>
              <w:jc w:val="both"/>
              <w:rPr>
                <w:b/>
                <w:sz w:val="28"/>
                <w:szCs w:val="28"/>
                <w:lang w:val="ro-MO"/>
              </w:rPr>
            </w:pPr>
            <w:r>
              <w:rPr>
                <w:b/>
                <w:sz w:val="28"/>
                <w:szCs w:val="28"/>
                <w:lang w:val="ro-MO"/>
              </w:rPr>
              <w:t xml:space="preserve">                                                                                                - </w:t>
            </w:r>
            <w:r w:rsidRPr="00A40A11">
              <w:rPr>
                <w:sz w:val="28"/>
                <w:szCs w:val="28"/>
                <w:lang w:val="ro-MO"/>
              </w:rPr>
              <w:t xml:space="preserve">2022 </w:t>
            </w:r>
            <w:r>
              <w:rPr>
                <w:sz w:val="28"/>
                <w:szCs w:val="28"/>
                <w:lang w:val="ro-MO"/>
              </w:rPr>
              <w:t>- 1424.6 mii lei</w:t>
            </w:r>
          </w:p>
        </w:tc>
      </w:tr>
      <w:tr w:rsidR="00E45692" w:rsidRPr="00CE56B6" w:rsidTr="00420A7F">
        <w:tc>
          <w:tcPr>
            <w:tcW w:w="10836" w:type="dxa"/>
            <w:shd w:val="clear" w:color="auto" w:fill="D9D9D9"/>
          </w:tcPr>
          <w:p w:rsidR="00E45692" w:rsidRPr="00CE56B6" w:rsidRDefault="00E45692" w:rsidP="00420A7F">
            <w:pPr>
              <w:jc w:val="center"/>
              <w:rPr>
                <w:b/>
                <w:sz w:val="28"/>
                <w:szCs w:val="28"/>
                <w:lang w:val="ro-RO"/>
              </w:rPr>
            </w:pPr>
            <w:r w:rsidRPr="00CE56B6">
              <w:rPr>
                <w:b/>
                <w:sz w:val="28"/>
                <w:szCs w:val="28"/>
                <w:lang w:val="ro-RO"/>
              </w:rPr>
              <w:t>Avizarea şi consultarea publică a proiectului</w:t>
            </w:r>
          </w:p>
        </w:tc>
      </w:tr>
      <w:tr w:rsidR="00E45692" w:rsidRPr="00CE56B6" w:rsidTr="00420A7F">
        <w:tc>
          <w:tcPr>
            <w:tcW w:w="10836" w:type="dxa"/>
          </w:tcPr>
          <w:p w:rsidR="00E45692" w:rsidRPr="00CE56B6" w:rsidRDefault="00E45692" w:rsidP="00620249">
            <w:pPr>
              <w:jc w:val="both"/>
              <w:rPr>
                <w:sz w:val="28"/>
                <w:szCs w:val="28"/>
                <w:lang w:val="ro-RO"/>
              </w:rPr>
            </w:pPr>
            <w:r w:rsidRPr="00CE56B6">
              <w:rPr>
                <w:sz w:val="28"/>
                <w:szCs w:val="28"/>
                <w:lang w:val="ro-RO"/>
              </w:rPr>
              <w:t xml:space="preserve">In scopul respectării prevederilor Legii nr. 239 din 13.11.2008 “Privind transparenţa în procesul decizional”, </w:t>
            </w:r>
            <w:r w:rsidR="00CB5181">
              <w:rPr>
                <w:sz w:val="28"/>
                <w:szCs w:val="28"/>
                <w:lang w:val="ro-RO"/>
              </w:rPr>
              <w:t xml:space="preserve"> </w:t>
            </w:r>
            <w:r w:rsidRPr="00CE56B6">
              <w:rPr>
                <w:sz w:val="28"/>
                <w:szCs w:val="28"/>
                <w:lang w:val="ro-RO"/>
              </w:rPr>
              <w:t>Direcţia</w:t>
            </w:r>
            <w:r w:rsidR="00620249">
              <w:rPr>
                <w:sz w:val="28"/>
                <w:szCs w:val="28"/>
                <w:lang w:val="ro-RO"/>
              </w:rPr>
              <w:t xml:space="preserve"> relații publice și buget civil</w:t>
            </w:r>
            <w:r w:rsidRPr="00CE56B6">
              <w:rPr>
                <w:sz w:val="28"/>
                <w:szCs w:val="28"/>
                <w:lang w:val="ro-RO"/>
              </w:rPr>
              <w:t xml:space="preserve">,  la data de </w:t>
            </w:r>
            <w:r w:rsidR="00CB5181">
              <w:rPr>
                <w:sz w:val="28"/>
                <w:szCs w:val="28"/>
                <w:lang w:val="ro-RO"/>
              </w:rPr>
              <w:t>15</w:t>
            </w:r>
            <w:r w:rsidRPr="00CE56B6">
              <w:rPr>
                <w:sz w:val="28"/>
                <w:szCs w:val="28"/>
                <w:lang w:val="ro-RO"/>
              </w:rPr>
              <w:t>.06.2020, a plasat anunţul pentru consultare publică pe pagina web a Primăriei municipiului Chişinău.</w:t>
            </w:r>
          </w:p>
        </w:tc>
      </w:tr>
    </w:tbl>
    <w:p w:rsidR="00E45692" w:rsidRPr="00CE56B6" w:rsidRDefault="00E45692" w:rsidP="00E45692">
      <w:pPr>
        <w:jc w:val="center"/>
        <w:rPr>
          <w:sz w:val="28"/>
          <w:szCs w:val="28"/>
          <w:lang w:val="ro-RO"/>
        </w:rPr>
      </w:pPr>
    </w:p>
    <w:p w:rsidR="00703673" w:rsidRPr="00CE56B6" w:rsidRDefault="00703673">
      <w:pPr>
        <w:rPr>
          <w:sz w:val="28"/>
          <w:szCs w:val="28"/>
          <w:lang w:val="ro-RO"/>
        </w:rPr>
      </w:pPr>
    </w:p>
    <w:sectPr w:rsidR="00703673" w:rsidRPr="00CE56B6" w:rsidSect="001016C0">
      <w:pgSz w:w="12240" w:h="15840"/>
      <w:pgMar w:top="719" w:right="54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C4C3D"/>
    <w:multiLevelType w:val="hybridMultilevel"/>
    <w:tmpl w:val="80AE3782"/>
    <w:lvl w:ilvl="0" w:tplc="762E3E92">
      <w:start w:val="1"/>
      <w:numFmt w:val="decimal"/>
      <w:lvlText w:val="%1."/>
      <w:lvlJc w:val="left"/>
      <w:pPr>
        <w:ind w:left="502" w:hanging="360"/>
      </w:pPr>
      <w:rPr>
        <w:rFonts w:cs="Times New Roman" w:hint="default"/>
        <w:b/>
      </w:rPr>
    </w:lvl>
    <w:lvl w:ilvl="1" w:tplc="04190011">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45297154"/>
    <w:multiLevelType w:val="hybridMultilevel"/>
    <w:tmpl w:val="3C6ED22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57C6855"/>
    <w:multiLevelType w:val="hybridMultilevel"/>
    <w:tmpl w:val="6F34A72A"/>
    <w:lvl w:ilvl="0" w:tplc="825C9EC0">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692"/>
    <w:rsid w:val="000C2F55"/>
    <w:rsid w:val="001252E2"/>
    <w:rsid w:val="001D3AA8"/>
    <w:rsid w:val="001E501B"/>
    <w:rsid w:val="001F3C23"/>
    <w:rsid w:val="00307538"/>
    <w:rsid w:val="00620249"/>
    <w:rsid w:val="00697ECA"/>
    <w:rsid w:val="006D164D"/>
    <w:rsid w:val="006E31FF"/>
    <w:rsid w:val="00703673"/>
    <w:rsid w:val="0077389A"/>
    <w:rsid w:val="008B6F3B"/>
    <w:rsid w:val="008F53BC"/>
    <w:rsid w:val="009177BA"/>
    <w:rsid w:val="00924158"/>
    <w:rsid w:val="00A03E28"/>
    <w:rsid w:val="00A40A11"/>
    <w:rsid w:val="00A614C2"/>
    <w:rsid w:val="00A8371D"/>
    <w:rsid w:val="00CB5181"/>
    <w:rsid w:val="00CC4315"/>
    <w:rsid w:val="00CE56B6"/>
    <w:rsid w:val="00DF5CD7"/>
    <w:rsid w:val="00E45692"/>
    <w:rsid w:val="00F22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692"/>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E456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
    <w:name w:val="Char Char Знак Знак Char Char Char Char Знак Знак Знак Знак"/>
    <w:basedOn w:val="Normal"/>
    <w:rsid w:val="00E45692"/>
    <w:rPr>
      <w:lang w:val="pl-PL" w:eastAsia="pl-PL"/>
    </w:rPr>
  </w:style>
  <w:style w:type="paragraph" w:styleId="Listparagraf">
    <w:name w:val="List Paragraph"/>
    <w:basedOn w:val="Normal"/>
    <w:uiPriority w:val="34"/>
    <w:qFormat/>
    <w:rsid w:val="001E501B"/>
    <w:pPr>
      <w:ind w:left="720"/>
      <w:contextualSpacing/>
    </w:pPr>
  </w:style>
  <w:style w:type="paragraph" w:customStyle="1" w:styleId="1">
    <w:name w:val="Абзац списка1"/>
    <w:basedOn w:val="Normal"/>
    <w:uiPriority w:val="99"/>
    <w:qFormat/>
    <w:rsid w:val="00307538"/>
    <w:pPr>
      <w:spacing w:after="200" w:line="276" w:lineRule="auto"/>
      <w:ind w:left="720"/>
      <w:contextualSpacing/>
    </w:pPr>
    <w:rPr>
      <w:rFonts w:ascii="Calibri" w:eastAsia="Calibri" w:hAnsi="Calibri"/>
      <w:sz w:val="22"/>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692"/>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E456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
    <w:name w:val="Char Char Знак Знак Char Char Char Char Знак Знак Знак Знак"/>
    <w:basedOn w:val="Normal"/>
    <w:rsid w:val="00E45692"/>
    <w:rPr>
      <w:lang w:val="pl-PL" w:eastAsia="pl-PL"/>
    </w:rPr>
  </w:style>
  <w:style w:type="paragraph" w:styleId="Listparagraf">
    <w:name w:val="List Paragraph"/>
    <w:basedOn w:val="Normal"/>
    <w:uiPriority w:val="34"/>
    <w:qFormat/>
    <w:rsid w:val="001E501B"/>
    <w:pPr>
      <w:ind w:left="720"/>
      <w:contextualSpacing/>
    </w:pPr>
  </w:style>
  <w:style w:type="paragraph" w:customStyle="1" w:styleId="1">
    <w:name w:val="Абзац списка1"/>
    <w:basedOn w:val="Normal"/>
    <w:uiPriority w:val="99"/>
    <w:qFormat/>
    <w:rsid w:val="00307538"/>
    <w:pPr>
      <w:spacing w:after="200" w:line="276" w:lineRule="auto"/>
      <w:ind w:left="720"/>
      <w:contextualSpacing/>
    </w:pPr>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621</Words>
  <Characters>3608</Characters>
  <Application>Microsoft Office Word</Application>
  <DocSecurity>0</DocSecurity>
  <Lines>30</Lines>
  <Paragraphs>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dc:creator>
  <cp:lastModifiedBy>Procopciuc Alina</cp:lastModifiedBy>
  <cp:revision>2</cp:revision>
  <cp:lastPrinted>2020-06-11T12:24:00Z</cp:lastPrinted>
  <dcterms:created xsi:type="dcterms:W3CDTF">2020-06-15T12:27:00Z</dcterms:created>
  <dcterms:modified xsi:type="dcterms:W3CDTF">2020-06-15T12:27:00Z</dcterms:modified>
</cp:coreProperties>
</file>