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3F" w:rsidRPr="00021C37" w:rsidRDefault="0014283F" w:rsidP="0014283F">
      <w:pPr>
        <w:spacing w:after="0" w:line="240" w:lineRule="auto"/>
        <w:jc w:val="center"/>
        <w:rPr>
          <w:rFonts w:ascii="Times New Roman" w:hAnsi="Times New Roman"/>
          <w:b/>
          <w:sz w:val="26"/>
          <w:szCs w:val="26"/>
          <w:lang w:val="it-IT"/>
        </w:rPr>
      </w:pPr>
      <w:r w:rsidRPr="00021C37">
        <w:rPr>
          <w:rFonts w:ascii="Times New Roman" w:hAnsi="Times New Roman"/>
          <w:b/>
          <w:sz w:val="26"/>
          <w:szCs w:val="26"/>
          <w:lang w:val="it-IT"/>
        </w:rPr>
        <w:t>NOTĂ INFORMATIVĂ</w:t>
      </w:r>
    </w:p>
    <w:p w:rsidR="0014283F" w:rsidRPr="00021C37" w:rsidRDefault="0014283F" w:rsidP="0014283F">
      <w:pPr>
        <w:spacing w:after="0" w:line="240" w:lineRule="auto"/>
        <w:jc w:val="center"/>
        <w:rPr>
          <w:rFonts w:ascii="Times New Roman" w:hAnsi="Times New Roman"/>
          <w:b/>
          <w:sz w:val="26"/>
          <w:szCs w:val="26"/>
          <w:lang w:val="it-IT"/>
        </w:rPr>
      </w:pPr>
      <w:r w:rsidRPr="00021C37">
        <w:rPr>
          <w:rFonts w:ascii="Times New Roman" w:hAnsi="Times New Roman"/>
          <w:b/>
          <w:sz w:val="26"/>
          <w:szCs w:val="26"/>
          <w:lang w:val="it-IT"/>
        </w:rPr>
        <w:t xml:space="preserve">la proiectul de </w:t>
      </w:r>
      <w:r w:rsidRPr="00021C37">
        <w:rPr>
          <w:rFonts w:ascii="Times New Roman" w:hAnsi="Times New Roman" w:cs="Times New Roman"/>
          <w:b/>
          <w:sz w:val="26"/>
          <w:szCs w:val="26"/>
          <w:lang w:val="ro-RO"/>
        </w:rPr>
        <w:t xml:space="preserve">hotărîre a Guvernului </w:t>
      </w:r>
      <w:r w:rsidRPr="00021C37">
        <w:rPr>
          <w:rFonts w:ascii="Times New Roman" w:hAnsi="Times New Roman" w:cs="Times New Roman"/>
          <w:b/>
          <w:sz w:val="26"/>
          <w:szCs w:val="26"/>
        </w:rPr>
        <w:t>c</w:t>
      </w:r>
      <w:r w:rsidRPr="00021C37">
        <w:rPr>
          <w:rFonts w:ascii="Times New Roman" w:hAnsi="Times New Roman" w:cs="Times New Roman"/>
          <w:b/>
          <w:sz w:val="26"/>
          <w:szCs w:val="26"/>
          <w:lang w:val="ro-MO"/>
        </w:rPr>
        <w:t xml:space="preserve">u privire la modificarea </w:t>
      </w:r>
      <w:r w:rsidR="00070A2A" w:rsidRPr="00021C37">
        <w:rPr>
          <w:rFonts w:ascii="Times New Roman" w:hAnsi="Times New Roman" w:cs="Times New Roman"/>
          <w:b/>
          <w:sz w:val="26"/>
          <w:szCs w:val="26"/>
          <w:lang w:val="ro-MO"/>
        </w:rPr>
        <w:t>și abrogarea unor hotărîri ale Guvernului</w:t>
      </w:r>
    </w:p>
    <w:p w:rsidR="0014283F" w:rsidRDefault="0014283F" w:rsidP="0014283F">
      <w:pPr>
        <w:spacing w:after="0" w:line="240" w:lineRule="auto"/>
        <w:ind w:left="-709" w:firstLine="720"/>
        <w:jc w:val="both"/>
        <w:rPr>
          <w:rFonts w:ascii="Times New Roman" w:hAnsi="Times New Roman" w:cs="Times New Roman"/>
          <w:sz w:val="28"/>
          <w:szCs w:val="28"/>
          <w:lang w:val="it-IT"/>
        </w:rPr>
      </w:pPr>
    </w:p>
    <w:tbl>
      <w:tblPr>
        <w:tblStyle w:val="a3"/>
        <w:tblW w:w="10315" w:type="dxa"/>
        <w:tblInd w:w="-709" w:type="dxa"/>
        <w:tblLook w:val="04A0" w:firstRow="1" w:lastRow="0" w:firstColumn="1" w:lastColumn="0" w:noHBand="0" w:noVBand="1"/>
      </w:tblPr>
      <w:tblGrid>
        <w:gridCol w:w="10315"/>
      </w:tblGrid>
      <w:tr w:rsidR="0014283F" w:rsidRPr="00070A2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Denumirea autorului și, după caz, a participanților la elaborarea proiectului</w:t>
            </w:r>
          </w:p>
          <w:p w:rsidR="0014283F" w:rsidRPr="00021C37" w:rsidRDefault="0014283F" w:rsidP="0014283F">
            <w:pPr>
              <w:ind w:firstLine="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 xml:space="preserve">Proiectul </w:t>
            </w:r>
            <w:r w:rsidRPr="00021C37">
              <w:rPr>
                <w:rFonts w:ascii="Times New Roman" w:hAnsi="Times New Roman" w:cs="Times New Roman"/>
                <w:sz w:val="26"/>
                <w:szCs w:val="26"/>
                <w:lang w:val="ro-RO"/>
              </w:rPr>
              <w:t xml:space="preserve"> de hotărîre a Guvernului </w:t>
            </w:r>
            <w:r w:rsidRPr="00021C37">
              <w:rPr>
                <w:rFonts w:ascii="Times New Roman" w:hAnsi="Times New Roman" w:cs="Times New Roman"/>
                <w:sz w:val="26"/>
                <w:szCs w:val="26"/>
                <w:lang w:val="it-IT"/>
              </w:rPr>
              <w:t xml:space="preserve"> c</w:t>
            </w:r>
            <w:r w:rsidRPr="00021C37">
              <w:rPr>
                <w:rFonts w:ascii="Times New Roman" w:hAnsi="Times New Roman" w:cs="Times New Roman"/>
                <w:sz w:val="26"/>
                <w:szCs w:val="26"/>
                <w:lang w:val="ro-MO"/>
              </w:rPr>
              <w:t xml:space="preserve">u privire la modificarea </w:t>
            </w:r>
            <w:r w:rsidR="00070A2A" w:rsidRPr="00021C37">
              <w:rPr>
                <w:rFonts w:ascii="Times New Roman" w:hAnsi="Times New Roman" w:cs="Times New Roman"/>
                <w:sz w:val="26"/>
                <w:szCs w:val="26"/>
                <w:lang w:val="ro-MO"/>
              </w:rPr>
              <w:t>și abrogarea unor hotărîri ale Guvernului</w:t>
            </w:r>
            <w:r w:rsidRPr="00021C37">
              <w:rPr>
                <w:rFonts w:ascii="Times New Roman" w:hAnsi="Times New Roman" w:cs="Times New Roman"/>
                <w:sz w:val="26"/>
                <w:szCs w:val="26"/>
                <w:lang w:val="ro-MO"/>
              </w:rPr>
              <w:t xml:space="preserve">, </w:t>
            </w:r>
            <w:r w:rsidRPr="00021C37">
              <w:rPr>
                <w:rFonts w:ascii="Times New Roman" w:hAnsi="Times New Roman" w:cs="Times New Roman"/>
                <w:sz w:val="26"/>
                <w:szCs w:val="26"/>
                <w:lang w:val="it-IT"/>
              </w:rPr>
              <w:t>elaborat de către Ministerul Sănătății, Muncii și Protecției Sociale</w:t>
            </w:r>
          </w:p>
          <w:p w:rsidR="0014283F" w:rsidRPr="00021C37" w:rsidRDefault="0014283F" w:rsidP="0014283F">
            <w:pPr>
              <w:ind w:firstLine="425"/>
              <w:jc w:val="both"/>
              <w:rPr>
                <w:rFonts w:ascii="Times New Roman" w:hAnsi="Times New Roman" w:cs="Times New Roman"/>
                <w:b/>
                <w:sz w:val="26"/>
                <w:szCs w:val="26"/>
                <w:lang w:val="it-IT"/>
              </w:rPr>
            </w:pPr>
          </w:p>
        </w:tc>
      </w:tr>
      <w:tr w:rsidR="0014283F" w:rsidRPr="00021C37"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Condițiile ce au impus elaborarea proiectului actului normativ și finațitățile urmărite</w:t>
            </w:r>
          </w:p>
          <w:p w:rsidR="00891EC8" w:rsidRPr="00021C37" w:rsidRDefault="00DC05C0" w:rsidP="00891EC8">
            <w:pPr>
              <w:jc w:val="both"/>
              <w:rPr>
                <w:rFonts w:ascii="Times New Roman" w:hAnsi="Times New Roman" w:cs="Times New Roman"/>
                <w:sz w:val="26"/>
                <w:szCs w:val="26"/>
                <w:lang w:val="ro-MO"/>
              </w:rPr>
            </w:pPr>
            <w:r w:rsidRPr="00021C37">
              <w:rPr>
                <w:rFonts w:ascii="Times New Roman" w:hAnsi="Times New Roman" w:cs="Times New Roman"/>
                <w:sz w:val="26"/>
                <w:szCs w:val="26"/>
                <w:lang w:val="it-IT"/>
              </w:rPr>
              <w:t>Elaborarea p</w:t>
            </w:r>
            <w:r w:rsidR="009D6F6C" w:rsidRPr="00021C37">
              <w:rPr>
                <w:rFonts w:ascii="Times New Roman" w:hAnsi="Times New Roman" w:cs="Times New Roman"/>
                <w:sz w:val="26"/>
                <w:szCs w:val="26"/>
                <w:lang w:val="it-IT"/>
              </w:rPr>
              <w:t>roiectul</w:t>
            </w:r>
            <w:r w:rsidRPr="00021C37">
              <w:rPr>
                <w:rFonts w:ascii="Times New Roman" w:hAnsi="Times New Roman" w:cs="Times New Roman"/>
                <w:sz w:val="26"/>
                <w:szCs w:val="26"/>
                <w:lang w:val="it-IT"/>
              </w:rPr>
              <w:t>ui</w:t>
            </w:r>
            <w:r w:rsidR="009D6F6C" w:rsidRPr="00021C37">
              <w:rPr>
                <w:rFonts w:ascii="Times New Roman" w:hAnsi="Times New Roman" w:cs="Times New Roman"/>
                <w:sz w:val="26"/>
                <w:szCs w:val="26"/>
                <w:lang w:val="it-IT"/>
              </w:rPr>
              <w:t xml:space="preserve"> de hotărîre este </w:t>
            </w:r>
            <w:r w:rsidRPr="00021C37">
              <w:rPr>
                <w:rFonts w:ascii="Times New Roman" w:hAnsi="Times New Roman" w:cs="Times New Roman"/>
                <w:sz w:val="26"/>
                <w:szCs w:val="26"/>
                <w:lang w:val="it-IT"/>
              </w:rPr>
              <w:t>dictată de necesitatea de</w:t>
            </w:r>
            <w:r w:rsidR="009D6F6C" w:rsidRPr="00021C37">
              <w:rPr>
                <w:rFonts w:ascii="Times New Roman" w:hAnsi="Times New Roman" w:cs="Times New Roman"/>
                <w:sz w:val="26"/>
                <w:szCs w:val="26"/>
                <w:lang w:val="it-IT"/>
              </w:rPr>
              <w:t xml:space="preserve"> a aduce în concordanță noțiunile din Codul educației </w:t>
            </w:r>
            <w:r w:rsidR="00CD3205" w:rsidRPr="00021C37">
              <w:rPr>
                <w:rFonts w:ascii="Times New Roman" w:hAnsi="Times New Roman" w:cs="Times New Roman"/>
                <w:sz w:val="26"/>
                <w:szCs w:val="26"/>
                <w:lang w:val="it-IT"/>
              </w:rPr>
              <w:t xml:space="preserve">și Codul muncii </w:t>
            </w:r>
            <w:r w:rsidR="009D6F6C" w:rsidRPr="00021C37">
              <w:rPr>
                <w:rFonts w:ascii="Times New Roman" w:hAnsi="Times New Roman" w:cs="Times New Roman"/>
                <w:sz w:val="26"/>
                <w:szCs w:val="26"/>
                <w:lang w:val="it-IT"/>
              </w:rPr>
              <w:t xml:space="preserve">cu noțiunile din </w:t>
            </w:r>
            <w:r w:rsidR="009D6F6C" w:rsidRPr="00021C37">
              <w:rPr>
                <w:rFonts w:ascii="Times New Roman" w:hAnsi="Times New Roman" w:cs="Times New Roman"/>
                <w:sz w:val="26"/>
                <w:szCs w:val="26"/>
                <w:lang w:val="ro-MO"/>
              </w:rPr>
              <w:t>Regulamentul cu privire la acordarea unor garanții și compensații salariaților care îmbină munca cu studiile</w:t>
            </w:r>
            <w:r w:rsidR="005F46BD" w:rsidRPr="00021C37">
              <w:rPr>
                <w:rFonts w:ascii="Times New Roman" w:hAnsi="Times New Roman" w:cs="Times New Roman"/>
                <w:sz w:val="26"/>
                <w:szCs w:val="26"/>
                <w:lang w:val="ro-MO"/>
              </w:rPr>
              <w:t xml:space="preserve"> și</w:t>
            </w:r>
            <w:r w:rsidR="005F46BD" w:rsidRPr="00021C37">
              <w:rPr>
                <w:rFonts w:ascii="Times New Roman" w:hAnsi="Times New Roman" w:cs="Times New Roman"/>
                <w:sz w:val="26"/>
                <w:szCs w:val="26"/>
                <w:lang w:val="ro-RO"/>
              </w:rPr>
              <w:t xml:space="preserve"> întru aducerea în concordanță cu prevederile art. 17 alin. (7) din </w:t>
            </w:r>
            <w:r w:rsidR="005F46BD" w:rsidRPr="00021C37">
              <w:rPr>
                <w:rFonts w:ascii="Times New Roman" w:hAnsi="Times New Roman" w:cs="Times New Roman"/>
                <w:sz w:val="26"/>
                <w:szCs w:val="26"/>
                <w:lang w:val="ro-MO"/>
              </w:rPr>
              <w:t>Legea securităţii şi sănătăţii în muncă nr.186/2008.</w:t>
            </w:r>
          </w:p>
          <w:p w:rsidR="00891EC8" w:rsidRPr="00021C37" w:rsidRDefault="00891EC8" w:rsidP="00891EC8">
            <w:pPr>
              <w:jc w:val="both"/>
              <w:rPr>
                <w:rFonts w:ascii="Times New Roman" w:hAnsi="Times New Roman" w:cs="Times New Roman"/>
                <w:sz w:val="26"/>
                <w:szCs w:val="26"/>
                <w:lang w:val="ro-RO"/>
              </w:rPr>
            </w:pPr>
            <w:r w:rsidRPr="00021C37">
              <w:rPr>
                <w:rFonts w:ascii="Times New Roman" w:hAnsi="Times New Roman" w:cs="Times New Roman"/>
                <w:sz w:val="26"/>
                <w:szCs w:val="26"/>
                <w:lang w:val="ro-RO"/>
              </w:rPr>
              <w:t xml:space="preserve">Totodată, abrogarea Hotărîrii Guvernului </w:t>
            </w:r>
            <w:r w:rsidRPr="00021C37">
              <w:rPr>
                <w:rFonts w:ascii="Times New Roman" w:hAnsi="Times New Roman" w:cs="Times New Roman"/>
                <w:sz w:val="26"/>
                <w:szCs w:val="26"/>
                <w:lang w:val="ro-MO"/>
              </w:rPr>
              <w:t xml:space="preserve">nr. 624/1993 privind aprobarea Nomenclatorului industriilor, profesiilor și lucrărilor cu condiții de muncă grele și nocive, proscrise femeilor și Normelor de solicitare maximă, admise pentru femei la ridicarea și transportarea manuală a greutăților, este întru realizarea recomandărilor </w:t>
            </w:r>
            <w:r w:rsidRPr="00021C37">
              <w:rPr>
                <w:rFonts w:ascii="Times New Roman" w:hAnsi="Times New Roman" w:cs="Times New Roman"/>
                <w:sz w:val="26"/>
                <w:szCs w:val="26"/>
                <w:lang w:val="ro-RO"/>
              </w:rPr>
              <w:t>Comitetul în cel de-al șaselea raport periodic al Republicii Moldova (CEDAW/C/MDA/6) la cea de-a 1763-a și a 1764-a reuniune (a se vedea CEDAW/C/SR.1763 și 1764), care au avut loc la 20 februarie 2020.</w:t>
            </w:r>
          </w:p>
          <w:p w:rsidR="0014283F" w:rsidRPr="00021C37" w:rsidRDefault="00891EC8" w:rsidP="00891EC8">
            <w:pPr>
              <w:jc w:val="both"/>
              <w:rPr>
                <w:rFonts w:ascii="Times New Roman" w:hAnsi="Times New Roman" w:cs="Times New Roman"/>
                <w:sz w:val="26"/>
                <w:szCs w:val="26"/>
                <w:lang w:val="ro-RO"/>
              </w:rPr>
            </w:pPr>
            <w:r w:rsidRPr="00021C37">
              <w:rPr>
                <w:rFonts w:ascii="Times New Roman" w:hAnsi="Times New Roman" w:cs="Times New Roman"/>
                <w:sz w:val="26"/>
                <w:szCs w:val="26"/>
                <w:lang w:val="ro-RO"/>
              </w:rPr>
              <w:t>În urma recomandărilor înaintate, Guvernul Republicii Moldova urmează să adopte măsuri speciale pentru accelerarea accesului egal la funcții publice, educație și angajare în câmpul muncii pentru femei.</w:t>
            </w: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Descrierea gradului de compatibilitate pentru proiectele care au ca scop armonizarea legislației naționale cu legislația Uniunii Europene</w:t>
            </w:r>
          </w:p>
          <w:p w:rsidR="0014283F" w:rsidRPr="00021C37" w:rsidRDefault="0014283F" w:rsidP="00031167">
            <w:pPr>
              <w:pStyle w:val="a4"/>
              <w:jc w:val="both"/>
              <w:rPr>
                <w:rFonts w:ascii="Times New Roman" w:hAnsi="Times New Roman" w:cs="Times New Roman"/>
                <w:b/>
                <w:sz w:val="26"/>
                <w:szCs w:val="26"/>
                <w:lang w:val="it-IT"/>
              </w:rPr>
            </w:pPr>
          </w:p>
        </w:tc>
      </w:tr>
      <w:tr w:rsidR="0014283F" w:rsidRPr="00021C37"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Principalele prevederi ale proiectului și evidențierea elementelor noi</w:t>
            </w:r>
          </w:p>
          <w:p w:rsidR="00471B0F" w:rsidRPr="00021C37" w:rsidRDefault="00471B0F"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it-IT"/>
              </w:rPr>
              <w:t xml:space="preserve">Modificările </w:t>
            </w:r>
            <w:r w:rsidRPr="00021C37">
              <w:rPr>
                <w:rFonts w:ascii="Times New Roman" w:hAnsi="Times New Roman" w:cs="Times New Roman"/>
                <w:sz w:val="26"/>
                <w:szCs w:val="26"/>
                <w:lang w:val="ro-MO"/>
              </w:rPr>
              <w:t>Regulamentului cu privire la acordarea unor garanții și compensații salariaților care îmbină munca cu stu</w:t>
            </w:r>
            <w:r w:rsidR="00DC05C0" w:rsidRPr="00021C37">
              <w:rPr>
                <w:rFonts w:ascii="Times New Roman" w:hAnsi="Times New Roman" w:cs="Times New Roman"/>
                <w:sz w:val="26"/>
                <w:szCs w:val="26"/>
                <w:lang w:val="ro-MO"/>
              </w:rPr>
              <w:t>diile</w:t>
            </w:r>
            <w:r w:rsidRPr="00021C37">
              <w:rPr>
                <w:rFonts w:ascii="Times New Roman" w:hAnsi="Times New Roman" w:cs="Times New Roman"/>
                <w:sz w:val="26"/>
                <w:szCs w:val="26"/>
                <w:lang w:val="ro-MO"/>
              </w:rPr>
              <w:t xml:space="preserve"> sunt de ordin tehnic.</w:t>
            </w:r>
          </w:p>
          <w:p w:rsidR="006E5897" w:rsidRPr="00021C37" w:rsidRDefault="006E5897"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Aceste modificări țin de aducerea în concordanță a noțiunilor de bază din domeniul sistemului de învățămînt specificate în Codul educației cu noțiunile din regulament.</w:t>
            </w:r>
          </w:p>
          <w:p w:rsidR="006E5897" w:rsidRPr="00021C37" w:rsidRDefault="007B0CE1"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De exemplu</w:t>
            </w:r>
            <w:r w:rsidR="006E5897" w:rsidRPr="00021C37">
              <w:rPr>
                <w:rFonts w:ascii="Times New Roman" w:hAnsi="Times New Roman" w:cs="Times New Roman"/>
                <w:sz w:val="26"/>
                <w:szCs w:val="26"/>
                <w:lang w:val="ro-MO"/>
              </w:rPr>
              <w:t xml:space="preserve">, potrivit Codului educației, în sistemul de învățămînt nu există învățămînt mediu de specialitate. </w:t>
            </w:r>
          </w:p>
          <w:p w:rsidR="006E5897" w:rsidRPr="00021C37" w:rsidRDefault="007B0CE1"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C</w:t>
            </w:r>
            <w:r w:rsidR="006E5897" w:rsidRPr="00021C37">
              <w:rPr>
                <w:rFonts w:ascii="Times New Roman" w:hAnsi="Times New Roman" w:cs="Times New Roman"/>
                <w:sz w:val="26"/>
                <w:szCs w:val="26"/>
                <w:lang w:val="ro-MO"/>
              </w:rPr>
              <w:t>olegiile</w:t>
            </w:r>
            <w:r w:rsidR="00D85478" w:rsidRPr="00021C37">
              <w:rPr>
                <w:rFonts w:ascii="Times New Roman" w:hAnsi="Times New Roman" w:cs="Times New Roman"/>
                <w:sz w:val="26"/>
                <w:szCs w:val="26"/>
                <w:lang w:val="ro-MO"/>
              </w:rPr>
              <w:t xml:space="preserve"> care anterior făceau parte din învățămîntul mediu de specialitate</w:t>
            </w:r>
            <w:r w:rsidR="006E5897" w:rsidRPr="00021C37">
              <w:rPr>
                <w:rFonts w:ascii="Times New Roman" w:hAnsi="Times New Roman" w:cs="Times New Roman"/>
                <w:sz w:val="26"/>
                <w:szCs w:val="26"/>
                <w:lang w:val="ro-MO"/>
              </w:rPr>
              <w:t>,</w:t>
            </w:r>
            <w:r w:rsidR="00D85478" w:rsidRPr="00021C37">
              <w:rPr>
                <w:rFonts w:ascii="Times New Roman" w:hAnsi="Times New Roman" w:cs="Times New Roman"/>
                <w:sz w:val="26"/>
                <w:szCs w:val="26"/>
                <w:lang w:val="ro-MO"/>
              </w:rPr>
              <w:t xml:space="preserve"> actualmente</w:t>
            </w:r>
            <w:r w:rsidR="00CB52A3" w:rsidRPr="00021C37">
              <w:rPr>
                <w:rFonts w:ascii="Times New Roman" w:hAnsi="Times New Roman" w:cs="Times New Roman"/>
                <w:sz w:val="26"/>
                <w:szCs w:val="26"/>
                <w:lang w:val="ro-MO"/>
              </w:rPr>
              <w:t>,</w:t>
            </w:r>
            <w:r w:rsidR="00D85478" w:rsidRPr="00021C37">
              <w:rPr>
                <w:rFonts w:ascii="Times New Roman" w:hAnsi="Times New Roman" w:cs="Times New Roman"/>
                <w:sz w:val="26"/>
                <w:szCs w:val="26"/>
                <w:lang w:val="ro-MO"/>
              </w:rPr>
              <w:t xml:space="preserve"> de comun cu</w:t>
            </w:r>
            <w:r w:rsidR="006E5897" w:rsidRPr="00021C37">
              <w:rPr>
                <w:rFonts w:ascii="Times New Roman" w:hAnsi="Times New Roman" w:cs="Times New Roman"/>
                <w:sz w:val="26"/>
                <w:szCs w:val="26"/>
                <w:lang w:val="ro-MO"/>
              </w:rPr>
              <w:t xml:space="preserve"> școlile profesionale</w:t>
            </w:r>
            <w:r w:rsidR="00CB52A3" w:rsidRPr="00021C37">
              <w:rPr>
                <w:rFonts w:ascii="Times New Roman" w:hAnsi="Times New Roman" w:cs="Times New Roman"/>
                <w:sz w:val="26"/>
                <w:szCs w:val="26"/>
                <w:lang w:val="ro-MO"/>
              </w:rPr>
              <w:t>,</w:t>
            </w:r>
            <w:r w:rsidR="006E5897" w:rsidRPr="00021C37">
              <w:rPr>
                <w:rFonts w:ascii="Times New Roman" w:hAnsi="Times New Roman" w:cs="Times New Roman"/>
                <w:sz w:val="26"/>
                <w:szCs w:val="26"/>
                <w:lang w:val="ro-MO"/>
              </w:rPr>
              <w:t xml:space="preserve"> fac parte din învățămîntul profesional tehnic.</w:t>
            </w:r>
            <w:r w:rsidR="00D85478" w:rsidRPr="00021C37">
              <w:rPr>
                <w:rFonts w:ascii="Times New Roman" w:hAnsi="Times New Roman" w:cs="Times New Roman"/>
                <w:sz w:val="26"/>
                <w:szCs w:val="26"/>
                <w:lang w:val="ro-MO"/>
              </w:rPr>
              <w:t xml:space="preserve"> </w:t>
            </w:r>
          </w:p>
          <w:p w:rsidR="00CB52A3" w:rsidRPr="00021C37" w:rsidRDefault="00CB52A3"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De asemenea, potrivit Codului avem o nouă structură a învățămîntului superior.</w:t>
            </w:r>
          </w:p>
          <w:p w:rsidR="00D85478" w:rsidRPr="00021C37" w:rsidRDefault="00CB52A3"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 xml:space="preserve">Respectiv, </w:t>
            </w:r>
            <w:r w:rsidR="00D85478" w:rsidRPr="00021C37">
              <w:rPr>
                <w:rFonts w:ascii="Times New Roman" w:hAnsi="Times New Roman" w:cs="Times New Roman"/>
                <w:sz w:val="26"/>
                <w:szCs w:val="26"/>
                <w:lang w:val="ro-MO"/>
              </w:rPr>
              <w:t>în proiectul de hotărîre</w:t>
            </w:r>
            <w:r w:rsidRPr="00021C37">
              <w:rPr>
                <w:rFonts w:ascii="Times New Roman" w:hAnsi="Times New Roman" w:cs="Times New Roman"/>
                <w:sz w:val="26"/>
                <w:szCs w:val="26"/>
                <w:lang w:val="ro-MO"/>
              </w:rPr>
              <w:t xml:space="preserve"> se regăsesc toate aceste modificări.</w:t>
            </w:r>
          </w:p>
          <w:p w:rsidR="00420DA3" w:rsidRPr="00021C37" w:rsidRDefault="00420DA3"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 xml:space="preserve">Capitolul III, din redacția actuală a regulamentului se abrogă, deoarece se regăsește  la capitolul II. Potrivit Codului educației învîțămîntul superior </w:t>
            </w:r>
            <w:r w:rsidR="008E2C42" w:rsidRPr="00021C37">
              <w:rPr>
                <w:rFonts w:ascii="Times New Roman" w:hAnsi="Times New Roman" w:cs="Times New Roman"/>
                <w:sz w:val="26"/>
                <w:szCs w:val="26"/>
                <w:lang w:val="ro-MO"/>
              </w:rPr>
              <w:t>este structurat pe trei cicluri: ciclul I – studii superioare de ligență;</w:t>
            </w:r>
          </w:p>
          <w:p w:rsidR="008E2C42" w:rsidRPr="00021C37" w:rsidRDefault="008E2C42"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 xml:space="preserve">      ciclul II – studii superioare de master;</w:t>
            </w:r>
          </w:p>
          <w:p w:rsidR="008E2C42" w:rsidRPr="00021C37" w:rsidRDefault="008E2C42"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 xml:space="preserve">      ciclul III – studii superioare de doctorat.</w:t>
            </w:r>
          </w:p>
          <w:p w:rsidR="008E2C42" w:rsidRPr="00021C37" w:rsidRDefault="008E2C42"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 xml:space="preserve">Respectiv, la capitolul II se regăsesc garanțiile </w:t>
            </w:r>
            <w:r w:rsidR="00F83BDB" w:rsidRPr="00021C37">
              <w:rPr>
                <w:rFonts w:ascii="Times New Roman" w:hAnsi="Times New Roman" w:cs="Times New Roman"/>
                <w:sz w:val="26"/>
                <w:szCs w:val="26"/>
                <w:lang w:val="ro-MO"/>
              </w:rPr>
              <w:t>acordate salariaților care îmbină munca cu studiile în instituțiile de învățămînt superior.</w:t>
            </w:r>
          </w:p>
          <w:p w:rsidR="008E2C42" w:rsidRPr="00021C37" w:rsidRDefault="008E2C42" w:rsidP="00471B0F">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La capitolul V din regulament sunt reglementate garanțiile acordate salariaților care îmbină munca cu studiile în licee, deoarece art.31 din Codului educației stabilește că, învățămîntul liceal se organizează în licee ca învățămînt cu frecvență (clasele X-XII) sau cu frecvență redusă (clasele X-XIII).</w:t>
            </w:r>
          </w:p>
          <w:p w:rsidR="00B62947" w:rsidRPr="00021C37" w:rsidRDefault="00D85478" w:rsidP="00B62947">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Toate normele juridice ce țin de durata timpului de muncă, concediu suplimentar sau plata pentru zilele de concediu suplimentar</w:t>
            </w:r>
            <w:r w:rsidR="00CB52A3" w:rsidRPr="00021C37">
              <w:rPr>
                <w:rFonts w:ascii="Times New Roman" w:hAnsi="Times New Roman" w:cs="Times New Roman"/>
                <w:sz w:val="26"/>
                <w:szCs w:val="26"/>
                <w:lang w:val="ro-MO"/>
              </w:rPr>
              <w:t>, pentru persoanele care îmbină munca cu studiile,</w:t>
            </w:r>
            <w:r w:rsidRPr="00021C37">
              <w:rPr>
                <w:rFonts w:ascii="Times New Roman" w:hAnsi="Times New Roman" w:cs="Times New Roman"/>
                <w:sz w:val="26"/>
                <w:szCs w:val="26"/>
                <w:lang w:val="ro-MO"/>
              </w:rPr>
              <w:t xml:space="preserve"> rămîn neschimbate.</w:t>
            </w:r>
          </w:p>
          <w:p w:rsidR="00490D9C" w:rsidRPr="00021C37" w:rsidRDefault="00021C37" w:rsidP="00021C37">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lastRenderedPageBreak/>
              <w:t>Modificarea pct. 5 și c</w:t>
            </w:r>
            <w:r w:rsidR="00CD3205" w:rsidRPr="00021C37">
              <w:rPr>
                <w:rFonts w:ascii="Times New Roman" w:hAnsi="Times New Roman" w:cs="Times New Roman"/>
                <w:sz w:val="26"/>
                <w:szCs w:val="26"/>
                <w:lang w:val="ro-MO"/>
              </w:rPr>
              <w:t>ompletarea cu punctul 5</w:t>
            </w:r>
            <w:r w:rsidR="00CD3205" w:rsidRPr="00021C37">
              <w:rPr>
                <w:rFonts w:ascii="Times New Roman" w:hAnsi="Times New Roman" w:cs="Times New Roman"/>
                <w:sz w:val="26"/>
                <w:szCs w:val="26"/>
                <w:vertAlign w:val="superscript"/>
                <w:lang w:val="ro-MO"/>
              </w:rPr>
              <w:t xml:space="preserve">1 </w:t>
            </w:r>
            <w:r w:rsidR="00976239" w:rsidRPr="00021C37">
              <w:rPr>
                <w:rFonts w:ascii="Times New Roman" w:hAnsi="Times New Roman" w:cs="Times New Roman"/>
                <w:sz w:val="26"/>
                <w:szCs w:val="26"/>
                <w:lang w:val="ro-MO"/>
              </w:rPr>
              <w:t xml:space="preserve">din Regulament </w:t>
            </w:r>
            <w:r w:rsidR="00CD3205" w:rsidRPr="00021C37">
              <w:rPr>
                <w:rFonts w:ascii="Times New Roman" w:hAnsi="Times New Roman" w:cs="Times New Roman"/>
                <w:sz w:val="26"/>
                <w:szCs w:val="26"/>
                <w:lang w:val="ro-MO"/>
              </w:rPr>
              <w:t>este întru aducerea în concordanță cu prevederile art. 178 și art. 179 din Codul muncii, adică</w:t>
            </w:r>
            <w:r w:rsidR="00490D9C" w:rsidRPr="00021C37">
              <w:rPr>
                <w:rFonts w:ascii="Times New Roman" w:hAnsi="Times New Roman" w:cs="Times New Roman"/>
                <w:sz w:val="26"/>
                <w:szCs w:val="26"/>
                <w:lang w:val="ro-MO"/>
              </w:rPr>
              <w:t>,</w:t>
            </w:r>
            <w:r w:rsidR="00CD3205" w:rsidRPr="00021C37">
              <w:rPr>
                <w:rFonts w:ascii="Times New Roman" w:hAnsi="Times New Roman" w:cs="Times New Roman"/>
                <w:sz w:val="26"/>
                <w:szCs w:val="26"/>
                <w:lang w:val="ro-MO"/>
              </w:rPr>
              <w:t xml:space="preserve"> </w:t>
            </w:r>
            <w:proofErr w:type="spellStart"/>
            <w:r w:rsidRPr="00021C37">
              <w:rPr>
                <w:rFonts w:ascii="Times New Roman" w:hAnsi="Times New Roman" w:cs="Times New Roman"/>
                <w:sz w:val="26"/>
                <w:szCs w:val="26"/>
              </w:rPr>
              <w:t>concretizarea</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categoriilor</w:t>
            </w:r>
            <w:proofErr w:type="spellEnd"/>
            <w:r w:rsidRPr="00021C37">
              <w:rPr>
                <w:rFonts w:ascii="Times New Roman" w:hAnsi="Times New Roman" w:cs="Times New Roman"/>
                <w:sz w:val="26"/>
                <w:szCs w:val="26"/>
              </w:rPr>
              <w:t xml:space="preserve"> de </w:t>
            </w:r>
            <w:proofErr w:type="spellStart"/>
            <w:r w:rsidRPr="00021C37">
              <w:rPr>
                <w:rFonts w:ascii="Times New Roman" w:hAnsi="Times New Roman" w:cs="Times New Roman"/>
                <w:sz w:val="26"/>
                <w:szCs w:val="26"/>
              </w:rPr>
              <w:t>salariați</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și</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modul</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în</w:t>
            </w:r>
            <w:proofErr w:type="spellEnd"/>
            <w:r w:rsidRPr="00021C37">
              <w:rPr>
                <w:rFonts w:ascii="Times New Roman" w:hAnsi="Times New Roman" w:cs="Times New Roman"/>
                <w:sz w:val="26"/>
                <w:szCs w:val="26"/>
              </w:rPr>
              <w:t xml:space="preserve"> care se </w:t>
            </w:r>
            <w:proofErr w:type="spellStart"/>
            <w:r w:rsidRPr="00021C37">
              <w:rPr>
                <w:rFonts w:ascii="Times New Roman" w:hAnsi="Times New Roman" w:cs="Times New Roman"/>
                <w:sz w:val="26"/>
                <w:szCs w:val="26"/>
              </w:rPr>
              <w:t>aplică</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prevederile</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Regulamentului</w:t>
            </w:r>
            <w:proofErr w:type="spellEnd"/>
            <w:r w:rsidRPr="00021C37">
              <w:rPr>
                <w:rFonts w:ascii="Times New Roman" w:hAnsi="Times New Roman" w:cs="Times New Roman"/>
                <w:sz w:val="26"/>
                <w:szCs w:val="26"/>
              </w:rPr>
              <w:t xml:space="preserve">. </w:t>
            </w:r>
          </w:p>
          <w:p w:rsidR="00CD3205" w:rsidRPr="00021C37" w:rsidRDefault="00891EC8" w:rsidP="00CD3205">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MO"/>
              </w:rPr>
              <w:t>Modificările la pct</w:t>
            </w:r>
            <w:r w:rsidR="00B62947" w:rsidRPr="00021C37">
              <w:rPr>
                <w:rFonts w:ascii="Times New Roman" w:hAnsi="Times New Roman" w:cs="Times New Roman"/>
                <w:sz w:val="26"/>
                <w:szCs w:val="26"/>
                <w:lang w:val="ro-MO"/>
              </w:rPr>
              <w:t>.</w:t>
            </w:r>
            <w:r w:rsidRPr="00021C37">
              <w:rPr>
                <w:rFonts w:ascii="Times New Roman" w:hAnsi="Times New Roman" w:cs="Times New Roman"/>
                <w:sz w:val="26"/>
                <w:szCs w:val="26"/>
                <w:lang w:val="ro-MO"/>
              </w:rPr>
              <w:t xml:space="preserve"> 71 din </w:t>
            </w:r>
            <w:r w:rsidRPr="00021C37">
              <w:rPr>
                <w:rFonts w:ascii="Times New Roman" w:hAnsi="Times New Roman" w:cs="Times New Roman"/>
                <w:sz w:val="26"/>
                <w:szCs w:val="26"/>
                <w:lang w:val="ro-RO"/>
              </w:rPr>
              <w:t xml:space="preserve">Regulamentul </w:t>
            </w:r>
            <w:proofErr w:type="spellStart"/>
            <w:r w:rsidRPr="00021C37">
              <w:rPr>
                <w:rFonts w:ascii="Times New Roman" w:hAnsi="Times New Roman" w:cs="Times New Roman"/>
                <w:sz w:val="26"/>
                <w:szCs w:val="26"/>
              </w:rPr>
              <w:t>privind</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modul</w:t>
            </w:r>
            <w:proofErr w:type="spellEnd"/>
            <w:r w:rsidRPr="00021C37">
              <w:rPr>
                <w:rFonts w:ascii="Times New Roman" w:hAnsi="Times New Roman" w:cs="Times New Roman"/>
                <w:sz w:val="26"/>
                <w:szCs w:val="26"/>
              </w:rPr>
              <w:t xml:space="preserve"> de </w:t>
            </w:r>
            <w:proofErr w:type="spellStart"/>
            <w:r w:rsidRPr="00021C37">
              <w:rPr>
                <w:rFonts w:ascii="Times New Roman" w:hAnsi="Times New Roman" w:cs="Times New Roman"/>
                <w:sz w:val="26"/>
                <w:szCs w:val="26"/>
              </w:rPr>
              <w:t>organizare</w:t>
            </w:r>
            <w:proofErr w:type="spellEnd"/>
            <w:r w:rsidRPr="00021C37">
              <w:rPr>
                <w:rFonts w:ascii="Times New Roman" w:hAnsi="Times New Roman" w:cs="Times New Roman"/>
                <w:sz w:val="26"/>
                <w:szCs w:val="26"/>
              </w:rPr>
              <w:t xml:space="preserve"> a </w:t>
            </w:r>
            <w:proofErr w:type="spellStart"/>
            <w:r w:rsidRPr="00021C37">
              <w:rPr>
                <w:rFonts w:ascii="Times New Roman" w:hAnsi="Times New Roman" w:cs="Times New Roman"/>
                <w:sz w:val="26"/>
                <w:szCs w:val="26"/>
              </w:rPr>
              <w:t>activităţilor</w:t>
            </w:r>
            <w:proofErr w:type="spellEnd"/>
            <w:r w:rsidRPr="00021C37">
              <w:rPr>
                <w:rFonts w:ascii="Times New Roman" w:hAnsi="Times New Roman" w:cs="Times New Roman"/>
                <w:sz w:val="26"/>
                <w:szCs w:val="26"/>
              </w:rPr>
              <w:t xml:space="preserve"> de </w:t>
            </w:r>
            <w:proofErr w:type="spellStart"/>
            <w:r w:rsidRPr="00021C37">
              <w:rPr>
                <w:rFonts w:ascii="Times New Roman" w:hAnsi="Times New Roman" w:cs="Times New Roman"/>
                <w:sz w:val="26"/>
                <w:szCs w:val="26"/>
              </w:rPr>
              <w:t>protecţie</w:t>
            </w:r>
            <w:proofErr w:type="spellEnd"/>
            <w:r w:rsidRPr="00021C37">
              <w:rPr>
                <w:rFonts w:ascii="Times New Roman" w:hAnsi="Times New Roman" w:cs="Times New Roman"/>
                <w:sz w:val="26"/>
                <w:szCs w:val="26"/>
              </w:rPr>
              <w:t xml:space="preserve"> a </w:t>
            </w:r>
            <w:proofErr w:type="spellStart"/>
            <w:r w:rsidRPr="00021C37">
              <w:rPr>
                <w:rFonts w:ascii="Times New Roman" w:hAnsi="Times New Roman" w:cs="Times New Roman"/>
                <w:sz w:val="26"/>
                <w:szCs w:val="26"/>
              </w:rPr>
              <w:t>lucrătorilor</w:t>
            </w:r>
            <w:proofErr w:type="spellEnd"/>
            <w:r w:rsidRPr="00021C37">
              <w:rPr>
                <w:rFonts w:ascii="Times New Roman" w:hAnsi="Times New Roman" w:cs="Times New Roman"/>
                <w:sz w:val="26"/>
                <w:szCs w:val="26"/>
              </w:rPr>
              <w:t xml:space="preserve"> la </w:t>
            </w:r>
            <w:proofErr w:type="spellStart"/>
            <w:r w:rsidRPr="00021C37">
              <w:rPr>
                <w:rFonts w:ascii="Times New Roman" w:hAnsi="Times New Roman" w:cs="Times New Roman"/>
                <w:sz w:val="26"/>
                <w:szCs w:val="26"/>
              </w:rPr>
              <w:t>locul</w:t>
            </w:r>
            <w:proofErr w:type="spellEnd"/>
            <w:r w:rsidRPr="00021C37">
              <w:rPr>
                <w:rFonts w:ascii="Times New Roman" w:hAnsi="Times New Roman" w:cs="Times New Roman"/>
                <w:sz w:val="26"/>
                <w:szCs w:val="26"/>
              </w:rPr>
              <w:t xml:space="preserve"> de </w:t>
            </w:r>
            <w:proofErr w:type="spellStart"/>
            <w:r w:rsidRPr="00021C37">
              <w:rPr>
                <w:rFonts w:ascii="Times New Roman" w:hAnsi="Times New Roman" w:cs="Times New Roman"/>
                <w:sz w:val="26"/>
                <w:szCs w:val="26"/>
              </w:rPr>
              <w:t>muncă</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şi</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prevenire</w:t>
            </w:r>
            <w:proofErr w:type="spellEnd"/>
            <w:r w:rsidRPr="00021C37">
              <w:rPr>
                <w:rFonts w:ascii="Times New Roman" w:hAnsi="Times New Roman" w:cs="Times New Roman"/>
                <w:sz w:val="26"/>
                <w:szCs w:val="26"/>
              </w:rPr>
              <w:t xml:space="preserve"> a </w:t>
            </w:r>
            <w:proofErr w:type="spellStart"/>
            <w:r w:rsidRPr="00021C37">
              <w:rPr>
                <w:rFonts w:ascii="Times New Roman" w:hAnsi="Times New Roman" w:cs="Times New Roman"/>
                <w:sz w:val="26"/>
                <w:szCs w:val="26"/>
              </w:rPr>
              <w:t>riscurilor</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profesionale</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aprobat</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prin</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Hotărîrea</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Guvernului</w:t>
            </w:r>
            <w:proofErr w:type="spellEnd"/>
            <w:r w:rsidR="00021C37" w:rsidRPr="00021C37">
              <w:rPr>
                <w:rFonts w:ascii="Times New Roman" w:hAnsi="Times New Roman" w:cs="Times New Roman"/>
                <w:sz w:val="26"/>
                <w:szCs w:val="26"/>
              </w:rPr>
              <w:t xml:space="preserve"> nr. 95/2009</w:t>
            </w:r>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sunt</w:t>
            </w:r>
            <w:proofErr w:type="spellEnd"/>
            <w:r w:rsidRPr="00021C37">
              <w:rPr>
                <w:rFonts w:ascii="Times New Roman" w:hAnsi="Times New Roman" w:cs="Times New Roman"/>
                <w:sz w:val="26"/>
                <w:szCs w:val="26"/>
              </w:rPr>
              <w:t xml:space="preserve"> operate </w:t>
            </w:r>
            <w:proofErr w:type="spellStart"/>
            <w:r w:rsidRPr="00021C37">
              <w:rPr>
                <w:rFonts w:ascii="Times New Roman" w:hAnsi="Times New Roman" w:cs="Times New Roman"/>
                <w:sz w:val="26"/>
                <w:szCs w:val="26"/>
              </w:rPr>
              <w:t>întru</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aducerea</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în</w:t>
            </w:r>
            <w:proofErr w:type="spellEnd"/>
            <w:r w:rsidRPr="00021C37">
              <w:rPr>
                <w:rFonts w:ascii="Times New Roman" w:hAnsi="Times New Roman" w:cs="Times New Roman"/>
                <w:sz w:val="26"/>
                <w:szCs w:val="26"/>
              </w:rPr>
              <w:t xml:space="preserve"> </w:t>
            </w:r>
            <w:proofErr w:type="spellStart"/>
            <w:r w:rsidRPr="00021C37">
              <w:rPr>
                <w:rFonts w:ascii="Times New Roman" w:hAnsi="Times New Roman" w:cs="Times New Roman"/>
                <w:sz w:val="26"/>
                <w:szCs w:val="26"/>
              </w:rPr>
              <w:t>concordanță</w:t>
            </w:r>
            <w:proofErr w:type="spellEnd"/>
            <w:r w:rsidRPr="00021C37">
              <w:rPr>
                <w:rFonts w:ascii="Times New Roman" w:hAnsi="Times New Roman" w:cs="Times New Roman"/>
                <w:sz w:val="26"/>
                <w:szCs w:val="26"/>
              </w:rPr>
              <w:t xml:space="preserve"> cu </w:t>
            </w:r>
            <w:proofErr w:type="spellStart"/>
            <w:r w:rsidRPr="00021C37">
              <w:rPr>
                <w:rFonts w:ascii="Times New Roman" w:hAnsi="Times New Roman" w:cs="Times New Roman"/>
                <w:sz w:val="26"/>
                <w:szCs w:val="26"/>
              </w:rPr>
              <w:t>prevederile</w:t>
            </w:r>
            <w:proofErr w:type="spellEnd"/>
            <w:r w:rsidRPr="00021C37">
              <w:rPr>
                <w:rFonts w:ascii="Times New Roman" w:hAnsi="Times New Roman" w:cs="Times New Roman"/>
                <w:sz w:val="26"/>
                <w:szCs w:val="26"/>
              </w:rPr>
              <w:t xml:space="preserve"> </w:t>
            </w:r>
            <w:r w:rsidR="00B62947" w:rsidRPr="00021C37">
              <w:rPr>
                <w:rFonts w:ascii="Times New Roman" w:hAnsi="Times New Roman" w:cs="Times New Roman"/>
                <w:bCs/>
                <w:sz w:val="26"/>
                <w:szCs w:val="26"/>
                <w:lang w:val="ro-MO"/>
              </w:rPr>
              <w:t xml:space="preserve">art. 17 alin. (7) din </w:t>
            </w:r>
            <w:r w:rsidR="00B62947" w:rsidRPr="00021C37">
              <w:rPr>
                <w:rFonts w:ascii="Times New Roman" w:hAnsi="Times New Roman" w:cs="Times New Roman"/>
                <w:sz w:val="26"/>
                <w:szCs w:val="26"/>
                <w:lang w:val="ro-MO"/>
              </w:rPr>
              <w:t>Legea securităţii şi sănătăţii în muncă nr.186/2008.</w:t>
            </w:r>
          </w:p>
          <w:p w:rsidR="00CD3205" w:rsidRPr="00021C37" w:rsidRDefault="00CD3205" w:rsidP="00CD3205">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RO"/>
              </w:rPr>
              <w:t xml:space="preserve">Totodată, abrogarea Hotărîrii Guvernului </w:t>
            </w:r>
            <w:r w:rsidRPr="00021C37">
              <w:rPr>
                <w:rFonts w:ascii="Times New Roman" w:hAnsi="Times New Roman" w:cs="Times New Roman"/>
                <w:sz w:val="26"/>
                <w:szCs w:val="26"/>
                <w:lang w:val="ro-MO"/>
              </w:rPr>
              <w:t xml:space="preserve">nr. 624/1993 privind aprobarea Nomenclatorului industriilor, profesiilor și lucrărilor cu condiții de muncă grele și nocive, proscrise femeilor și Normelor de solicitare maximă, admise pentru femei la ridicarea și transportarea manuală a greutăților, este întru realizarea recomandărilor </w:t>
            </w:r>
            <w:r w:rsidRPr="00021C37">
              <w:rPr>
                <w:rFonts w:ascii="Times New Roman" w:hAnsi="Times New Roman" w:cs="Times New Roman"/>
                <w:sz w:val="26"/>
                <w:szCs w:val="26"/>
                <w:lang w:val="ro-RO"/>
              </w:rPr>
              <w:t>Comitetul în cel de-al șaselea raport periodic al Republicii Moldova (CEDAW/C/MDA/6) la cea de-a 1763-a și a 1764-a reuniune (a se vedea CEDAW/C/SR.1763 și 1764), care au avut loc la 20 februarie 2020.</w:t>
            </w:r>
          </w:p>
          <w:p w:rsidR="00B62947" w:rsidRPr="00021C37" w:rsidRDefault="00CD3205" w:rsidP="00CD3205">
            <w:pPr>
              <w:pStyle w:val="a4"/>
              <w:ind w:left="0" w:firstLine="425"/>
              <w:jc w:val="both"/>
              <w:rPr>
                <w:rFonts w:ascii="Times New Roman" w:hAnsi="Times New Roman" w:cs="Times New Roman"/>
                <w:sz w:val="26"/>
                <w:szCs w:val="26"/>
                <w:lang w:val="ro-MO"/>
              </w:rPr>
            </w:pPr>
            <w:r w:rsidRPr="00021C37">
              <w:rPr>
                <w:rFonts w:ascii="Times New Roman" w:hAnsi="Times New Roman" w:cs="Times New Roman"/>
                <w:sz w:val="26"/>
                <w:szCs w:val="26"/>
                <w:lang w:val="ro-RO"/>
              </w:rPr>
              <w:t>În urma recomandărilor înaintate, Guvernul Republicii Moldova urmează să adopte măsuri speciale pentru accelerarea accesului egal la funcții publice, educație și angajare în câmpul muncii pentru femei.</w:t>
            </w: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lastRenderedPageBreak/>
              <w:t>Fundamentarea economico-financiară</w:t>
            </w:r>
          </w:p>
          <w:p w:rsidR="0014283F" w:rsidRPr="00021C37" w:rsidRDefault="0014283F" w:rsidP="00031167">
            <w:pPr>
              <w:pStyle w:val="a4"/>
              <w:ind w:left="142" w:firstLine="283"/>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Implementarea prevederilor proiectului nu necesită mijloace financiare suplimentare</w:t>
            </w:r>
          </w:p>
          <w:p w:rsidR="0014283F" w:rsidRPr="00021C37" w:rsidRDefault="0014283F" w:rsidP="00031167">
            <w:pPr>
              <w:pStyle w:val="a4"/>
              <w:jc w:val="both"/>
              <w:rPr>
                <w:rFonts w:ascii="Times New Roman" w:hAnsi="Times New Roman" w:cs="Times New Roman"/>
                <w:b/>
                <w:sz w:val="26"/>
                <w:szCs w:val="26"/>
                <w:lang w:val="it-IT"/>
              </w:rPr>
            </w:pP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Modul de încorporare a actului în cadrul normativ în vigoare</w:t>
            </w:r>
          </w:p>
          <w:p w:rsidR="0014283F" w:rsidRPr="00021C37" w:rsidRDefault="0014283F" w:rsidP="00031167">
            <w:pPr>
              <w:pStyle w:val="a4"/>
              <w:ind w:left="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Implementarea prevederilor proiectului nu necesită elaborarea altor acte normative</w:t>
            </w:r>
          </w:p>
          <w:p w:rsidR="0014283F" w:rsidRPr="00021C37" w:rsidRDefault="0014283F" w:rsidP="00031167">
            <w:pPr>
              <w:pStyle w:val="a4"/>
              <w:ind w:left="425"/>
              <w:jc w:val="both"/>
              <w:rPr>
                <w:rFonts w:ascii="Times New Roman" w:hAnsi="Times New Roman" w:cs="Times New Roman"/>
                <w:b/>
                <w:sz w:val="26"/>
                <w:szCs w:val="26"/>
                <w:lang w:val="it-IT"/>
              </w:rPr>
            </w:pPr>
            <w:r w:rsidRPr="00021C37">
              <w:rPr>
                <w:rFonts w:ascii="Times New Roman" w:hAnsi="Times New Roman" w:cs="Times New Roman"/>
                <w:sz w:val="26"/>
                <w:szCs w:val="26"/>
                <w:lang w:val="it-IT"/>
              </w:rPr>
              <w:t xml:space="preserve"> </w:t>
            </w: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Avizarea și consultarea publică a proiectului</w:t>
            </w:r>
          </w:p>
          <w:p w:rsidR="00D33CC2" w:rsidRPr="00021C37" w:rsidRDefault="00D33CC2" w:rsidP="00EC2B6B">
            <w:pPr>
              <w:pStyle w:val="a4"/>
              <w:ind w:left="0" w:firstLine="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În conformitate cu prevederile articolelor 8 și 9 din Legea nr.239/2008 privind transparența în procesul decizional, publicul a fost informat despre inițierea elaborării prezentului proiect de hotărîre.</w:t>
            </w:r>
          </w:p>
          <w:p w:rsidR="0014283F" w:rsidRPr="00021C37" w:rsidRDefault="0014283F" w:rsidP="00031167">
            <w:pPr>
              <w:pStyle w:val="a4"/>
              <w:ind w:left="425"/>
              <w:jc w:val="both"/>
              <w:rPr>
                <w:rFonts w:ascii="Times New Roman" w:hAnsi="Times New Roman" w:cs="Times New Roman"/>
                <w:b/>
                <w:sz w:val="26"/>
                <w:szCs w:val="26"/>
                <w:lang w:val="it-IT"/>
              </w:rPr>
            </w:pP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Constatările expertizei anticorupție</w:t>
            </w:r>
          </w:p>
          <w:p w:rsidR="0014283F" w:rsidRPr="00021C37" w:rsidRDefault="0014283F" w:rsidP="00B10230">
            <w:pPr>
              <w:pStyle w:val="a4"/>
              <w:ind w:left="0" w:firstLine="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Informația privind rezultatele expertizei anticorupție va fi inclusă în sinteză după recepționarea raportului de expertiză anticorupție</w:t>
            </w:r>
          </w:p>
          <w:p w:rsidR="0014283F" w:rsidRPr="00021C37" w:rsidRDefault="0014283F" w:rsidP="00031167">
            <w:pPr>
              <w:pStyle w:val="a4"/>
              <w:ind w:left="425"/>
              <w:jc w:val="both"/>
              <w:rPr>
                <w:rFonts w:ascii="Times New Roman" w:hAnsi="Times New Roman" w:cs="Times New Roman"/>
                <w:sz w:val="26"/>
                <w:szCs w:val="26"/>
                <w:lang w:val="it-IT"/>
              </w:rPr>
            </w:pP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Constatările expertizei de compatibilitate</w:t>
            </w:r>
          </w:p>
          <w:p w:rsidR="0014283F" w:rsidRPr="00021C37" w:rsidRDefault="0014283F" w:rsidP="002244E9">
            <w:pPr>
              <w:pStyle w:val="a4"/>
              <w:ind w:left="0" w:firstLine="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 xml:space="preserve">Proiectul de </w:t>
            </w:r>
            <w:r w:rsidR="00B10230" w:rsidRPr="00021C37">
              <w:rPr>
                <w:rFonts w:ascii="Times New Roman" w:hAnsi="Times New Roman" w:cs="Times New Roman"/>
                <w:sz w:val="26"/>
                <w:szCs w:val="26"/>
                <w:lang w:val="it-IT"/>
              </w:rPr>
              <w:t xml:space="preserve">hotărîre </w:t>
            </w:r>
            <w:r w:rsidRPr="00021C37">
              <w:rPr>
                <w:rFonts w:ascii="Times New Roman" w:hAnsi="Times New Roman" w:cs="Times New Roman"/>
                <w:sz w:val="26"/>
                <w:szCs w:val="26"/>
                <w:lang w:val="it-IT"/>
              </w:rPr>
              <w:t>nu conține norme privind armonizarea legislației naționale cu legislația Uniunii Europene, precum și norme incompatibile cu prevederile legislației naționale și ale legislației Uniunii Europene.</w:t>
            </w:r>
          </w:p>
          <w:p w:rsidR="0014283F" w:rsidRPr="00021C37" w:rsidRDefault="0014283F" w:rsidP="00031167">
            <w:pPr>
              <w:pStyle w:val="a4"/>
              <w:ind w:left="425"/>
              <w:jc w:val="both"/>
              <w:rPr>
                <w:rFonts w:ascii="Times New Roman" w:hAnsi="Times New Roman" w:cs="Times New Roman"/>
                <w:sz w:val="26"/>
                <w:szCs w:val="26"/>
                <w:lang w:val="it-IT"/>
              </w:rPr>
            </w:pPr>
          </w:p>
        </w:tc>
      </w:tr>
      <w:tr w:rsidR="0014283F" w:rsidRPr="00EF356A"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 xml:space="preserve"> Constatările expertizei juridice</w:t>
            </w:r>
          </w:p>
          <w:p w:rsidR="0014283F" w:rsidRPr="00021C37" w:rsidRDefault="0014283F" w:rsidP="002244E9">
            <w:pPr>
              <w:pStyle w:val="a4"/>
              <w:ind w:left="0" w:firstLine="425"/>
              <w:jc w:val="both"/>
              <w:rPr>
                <w:rFonts w:ascii="Times New Roman" w:hAnsi="Times New Roman" w:cs="Times New Roman"/>
                <w:sz w:val="26"/>
                <w:szCs w:val="26"/>
                <w:lang w:val="it-IT"/>
              </w:rPr>
            </w:pPr>
            <w:r w:rsidRPr="00021C37">
              <w:rPr>
                <w:rFonts w:ascii="Times New Roman" w:hAnsi="Times New Roman" w:cs="Times New Roman"/>
                <w:sz w:val="26"/>
                <w:szCs w:val="26"/>
                <w:lang w:val="it-IT"/>
              </w:rPr>
              <w:t>Informația referitoare la concluziile expertizei juridice va fi inclusă în sinteză după recepționarea avizului respectiv din partea Ministerului Justiției</w:t>
            </w:r>
          </w:p>
          <w:p w:rsidR="0014283F" w:rsidRPr="00021C37" w:rsidRDefault="0014283F" w:rsidP="00031167">
            <w:pPr>
              <w:pStyle w:val="a4"/>
              <w:ind w:left="425"/>
              <w:jc w:val="both"/>
              <w:rPr>
                <w:rFonts w:ascii="Times New Roman" w:hAnsi="Times New Roman" w:cs="Times New Roman"/>
                <w:sz w:val="26"/>
                <w:szCs w:val="26"/>
                <w:lang w:val="it-IT"/>
              </w:rPr>
            </w:pPr>
          </w:p>
        </w:tc>
      </w:tr>
      <w:tr w:rsidR="0014283F" w:rsidTr="00031167">
        <w:tc>
          <w:tcPr>
            <w:tcW w:w="10315" w:type="dxa"/>
          </w:tcPr>
          <w:p w:rsidR="0014283F" w:rsidRPr="00021C37" w:rsidRDefault="0014283F" w:rsidP="00031167">
            <w:pPr>
              <w:pStyle w:val="a4"/>
              <w:numPr>
                <w:ilvl w:val="0"/>
                <w:numId w:val="1"/>
              </w:numPr>
              <w:jc w:val="both"/>
              <w:rPr>
                <w:rFonts w:ascii="Times New Roman" w:hAnsi="Times New Roman" w:cs="Times New Roman"/>
                <w:b/>
                <w:sz w:val="26"/>
                <w:szCs w:val="26"/>
                <w:lang w:val="it-IT"/>
              </w:rPr>
            </w:pPr>
            <w:r w:rsidRPr="00021C37">
              <w:rPr>
                <w:rFonts w:ascii="Times New Roman" w:hAnsi="Times New Roman" w:cs="Times New Roman"/>
                <w:b/>
                <w:sz w:val="26"/>
                <w:szCs w:val="26"/>
                <w:lang w:val="it-IT"/>
              </w:rPr>
              <w:t xml:space="preserve"> Constatările altor expertize</w:t>
            </w:r>
          </w:p>
          <w:p w:rsidR="0014283F" w:rsidRPr="00021C37" w:rsidRDefault="0014283F" w:rsidP="00031167">
            <w:pPr>
              <w:pStyle w:val="a4"/>
              <w:jc w:val="both"/>
              <w:rPr>
                <w:rFonts w:ascii="Times New Roman" w:hAnsi="Times New Roman" w:cs="Times New Roman"/>
                <w:b/>
                <w:sz w:val="26"/>
                <w:szCs w:val="26"/>
                <w:lang w:val="it-IT"/>
              </w:rPr>
            </w:pPr>
          </w:p>
        </w:tc>
      </w:tr>
    </w:tbl>
    <w:p w:rsidR="0014283F" w:rsidRDefault="0014283F" w:rsidP="0014283F">
      <w:pPr>
        <w:spacing w:after="0" w:line="240" w:lineRule="auto"/>
        <w:ind w:left="-709" w:firstLine="720"/>
        <w:jc w:val="both"/>
        <w:rPr>
          <w:rFonts w:ascii="Times New Roman" w:hAnsi="Times New Roman" w:cs="Times New Roman"/>
          <w:sz w:val="28"/>
          <w:szCs w:val="28"/>
          <w:lang w:val="it-IT"/>
        </w:rPr>
      </w:pPr>
    </w:p>
    <w:p w:rsidR="0014283F" w:rsidRDefault="0014283F" w:rsidP="0014283F">
      <w:pPr>
        <w:spacing w:after="0" w:line="240" w:lineRule="auto"/>
        <w:ind w:left="-709" w:firstLine="709"/>
        <w:jc w:val="both"/>
        <w:rPr>
          <w:rFonts w:ascii="Times New Roman" w:hAnsi="Times New Roman"/>
          <w:sz w:val="28"/>
          <w:szCs w:val="28"/>
          <w:lang w:val="ro-MO"/>
        </w:rPr>
      </w:pPr>
    </w:p>
    <w:p w:rsidR="0014283F" w:rsidRPr="003A2276" w:rsidRDefault="0014283F" w:rsidP="0014283F">
      <w:r>
        <w:rPr>
          <w:rFonts w:ascii="Times New Roman" w:hAnsi="Times New Roman"/>
          <w:b/>
          <w:sz w:val="28"/>
          <w:szCs w:val="28"/>
          <w:lang w:val="ro-MO"/>
        </w:rPr>
        <w:t xml:space="preserve">Ministru                                                 </w:t>
      </w:r>
      <w:r w:rsidR="00021C37">
        <w:rPr>
          <w:rFonts w:ascii="Times New Roman" w:hAnsi="Times New Roman"/>
          <w:b/>
          <w:sz w:val="28"/>
          <w:szCs w:val="28"/>
          <w:lang w:val="ro-MO"/>
        </w:rPr>
        <w:t xml:space="preserve">    </w:t>
      </w:r>
      <w:bookmarkStart w:id="0" w:name="_GoBack"/>
      <w:bookmarkEnd w:id="0"/>
      <w:r>
        <w:rPr>
          <w:rFonts w:ascii="Times New Roman" w:hAnsi="Times New Roman"/>
          <w:b/>
          <w:sz w:val="28"/>
          <w:szCs w:val="28"/>
          <w:lang w:val="ro-MO"/>
        </w:rPr>
        <w:t xml:space="preserve">                  Viorica DUMBRĂVEANU    </w:t>
      </w:r>
    </w:p>
    <w:p w:rsidR="00564B58" w:rsidRPr="008F1CF2" w:rsidRDefault="00021C37">
      <w:pPr>
        <w:rPr>
          <w:lang w:val="ro-RO"/>
        </w:rPr>
      </w:pPr>
    </w:p>
    <w:sectPr w:rsidR="00564B58" w:rsidRPr="008F1CF2" w:rsidSect="00021C37">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A1C68"/>
    <w:multiLevelType w:val="hybridMultilevel"/>
    <w:tmpl w:val="B45266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5B75143"/>
    <w:multiLevelType w:val="hybridMultilevel"/>
    <w:tmpl w:val="196CAAC6"/>
    <w:lvl w:ilvl="0" w:tplc="46629950">
      <w:start w:val="1"/>
      <w:numFmt w:val="decimal"/>
      <w:lvlText w:val="%1."/>
      <w:lvlJc w:val="left"/>
      <w:pPr>
        <w:ind w:left="1548" w:hanging="555"/>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2"/>
  </w:compat>
  <w:rsids>
    <w:rsidRoot w:val="0014283F"/>
    <w:rsid w:val="00021C37"/>
    <w:rsid w:val="00070A2A"/>
    <w:rsid w:val="000B283C"/>
    <w:rsid w:val="0014283F"/>
    <w:rsid w:val="002244E9"/>
    <w:rsid w:val="002D270C"/>
    <w:rsid w:val="00377A13"/>
    <w:rsid w:val="00420DA3"/>
    <w:rsid w:val="00471B0F"/>
    <w:rsid w:val="00490D9C"/>
    <w:rsid w:val="005F46BD"/>
    <w:rsid w:val="006E5897"/>
    <w:rsid w:val="007B0CE1"/>
    <w:rsid w:val="00805EFE"/>
    <w:rsid w:val="008815B9"/>
    <w:rsid w:val="00891EC8"/>
    <w:rsid w:val="008A0A89"/>
    <w:rsid w:val="008D1242"/>
    <w:rsid w:val="008E2C42"/>
    <w:rsid w:val="008F1CF2"/>
    <w:rsid w:val="00976239"/>
    <w:rsid w:val="00986DBA"/>
    <w:rsid w:val="009D6F6C"/>
    <w:rsid w:val="00AB5440"/>
    <w:rsid w:val="00AD228A"/>
    <w:rsid w:val="00AE054C"/>
    <w:rsid w:val="00B10230"/>
    <w:rsid w:val="00B62947"/>
    <w:rsid w:val="00B758FA"/>
    <w:rsid w:val="00BB3CE4"/>
    <w:rsid w:val="00C737FF"/>
    <w:rsid w:val="00CB52A3"/>
    <w:rsid w:val="00CD3205"/>
    <w:rsid w:val="00D33CC2"/>
    <w:rsid w:val="00D85478"/>
    <w:rsid w:val="00DC05C0"/>
    <w:rsid w:val="00EC2B6B"/>
    <w:rsid w:val="00F83B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83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8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4283F"/>
    <w:pPr>
      <w:ind w:left="720"/>
      <w:contextualSpacing/>
    </w:pPr>
  </w:style>
  <w:style w:type="paragraph" w:styleId="2">
    <w:name w:val="Body Text 2"/>
    <w:basedOn w:val="a"/>
    <w:link w:val="20"/>
    <w:unhideWhenUsed/>
    <w:rsid w:val="0014283F"/>
    <w:pPr>
      <w:spacing w:after="120" w:line="480" w:lineRule="auto"/>
    </w:pPr>
    <w:rPr>
      <w:rFonts w:ascii="Times New Roman" w:eastAsia="Times New Roman" w:hAnsi="Times New Roman" w:cs="Times New Roman"/>
      <w:sz w:val="24"/>
      <w:szCs w:val="20"/>
      <w:lang w:val="ro-RO" w:eastAsia="ro-RO"/>
    </w:rPr>
  </w:style>
  <w:style w:type="character" w:customStyle="1" w:styleId="20">
    <w:name w:val="Основной текст 2 Знак"/>
    <w:basedOn w:val="a0"/>
    <w:link w:val="2"/>
    <w:rsid w:val="0014283F"/>
    <w:rPr>
      <w:rFonts w:ascii="Times New Roman" w:eastAsia="Times New Roman" w:hAnsi="Times New Roman" w:cs="Times New Roman"/>
      <w:sz w:val="24"/>
      <w:szCs w:val="20"/>
      <w:lang w:eastAsia="ro-RO"/>
    </w:rPr>
  </w:style>
  <w:style w:type="character" w:customStyle="1" w:styleId="SingleTxtGChar">
    <w:name w:val="_ Single Txt_G Char"/>
    <w:link w:val="SingleTxtG"/>
    <w:locked/>
    <w:rsid w:val="008F1CF2"/>
    <w:rPr>
      <w:rFonts w:ascii="Times New Roman" w:hAnsi="Times New Roman" w:cs="Times New Roman"/>
      <w:sz w:val="20"/>
      <w:szCs w:val="20"/>
      <w:lang w:val="en-GB"/>
    </w:rPr>
  </w:style>
  <w:style w:type="paragraph" w:customStyle="1" w:styleId="SingleTxtG">
    <w:name w:val="_ Single Txt_G"/>
    <w:basedOn w:val="a"/>
    <w:link w:val="SingleTxtGChar"/>
    <w:qFormat/>
    <w:rsid w:val="008F1CF2"/>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en-GB"/>
    </w:rPr>
  </w:style>
  <w:style w:type="paragraph" w:styleId="a5">
    <w:name w:val="No Spacing"/>
    <w:uiPriority w:val="1"/>
    <w:qFormat/>
    <w:rsid w:val="00B62947"/>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23507">
      <w:bodyDiv w:val="1"/>
      <w:marLeft w:val="0"/>
      <w:marRight w:val="0"/>
      <w:marTop w:val="0"/>
      <w:marBottom w:val="0"/>
      <w:divBdr>
        <w:top w:val="none" w:sz="0" w:space="0" w:color="auto"/>
        <w:left w:val="none" w:sz="0" w:space="0" w:color="auto"/>
        <w:bottom w:val="none" w:sz="0" w:space="0" w:color="auto"/>
        <w:right w:val="none" w:sz="0" w:space="0" w:color="auto"/>
      </w:divBdr>
    </w:div>
    <w:div w:id="9665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915</Words>
  <Characters>5221</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26</cp:revision>
  <cp:lastPrinted>2020-06-18T12:05:00Z</cp:lastPrinted>
  <dcterms:created xsi:type="dcterms:W3CDTF">2020-06-01T11:26:00Z</dcterms:created>
  <dcterms:modified xsi:type="dcterms:W3CDTF">2020-06-18T12:07:00Z</dcterms:modified>
</cp:coreProperties>
</file>