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F6" w:rsidRPr="00020275" w:rsidRDefault="00134CF6" w:rsidP="00134CF6">
      <w:pPr>
        <w:spacing w:after="0" w:line="259" w:lineRule="auto"/>
        <w:ind w:left="0" w:right="0" w:firstLine="0"/>
        <w:jc w:val="center"/>
        <w:rPr>
          <w:b/>
          <w:sz w:val="26"/>
          <w:szCs w:val="26"/>
          <w:lang w:val="ro-RO"/>
        </w:rPr>
      </w:pPr>
      <w:r w:rsidRPr="00020275">
        <w:rPr>
          <w:b/>
          <w:sz w:val="26"/>
          <w:szCs w:val="26"/>
          <w:lang w:val="ro-RO"/>
        </w:rPr>
        <w:t>NOTĂ INFORMATIVĂ</w:t>
      </w:r>
    </w:p>
    <w:p w:rsidR="00134CF6" w:rsidRPr="00020275" w:rsidRDefault="00134CF6" w:rsidP="00134CF6">
      <w:pPr>
        <w:spacing w:after="0" w:line="259" w:lineRule="auto"/>
        <w:ind w:left="0" w:right="0" w:firstLine="0"/>
        <w:jc w:val="center"/>
        <w:rPr>
          <w:b/>
          <w:sz w:val="26"/>
          <w:szCs w:val="26"/>
          <w:lang w:val="ro-RO"/>
        </w:rPr>
      </w:pPr>
      <w:r w:rsidRPr="00020275">
        <w:rPr>
          <w:b/>
          <w:sz w:val="26"/>
          <w:szCs w:val="26"/>
          <w:lang w:val="ro-RO"/>
        </w:rPr>
        <w:t>la proiectul la proiectul Hotărârii Guvernului</w:t>
      </w:r>
    </w:p>
    <w:p w:rsidR="00134CF6" w:rsidRPr="00020275" w:rsidRDefault="00134CF6" w:rsidP="00134CF6">
      <w:pPr>
        <w:spacing w:after="0" w:line="259" w:lineRule="auto"/>
        <w:ind w:left="0" w:right="0" w:firstLine="0"/>
        <w:jc w:val="center"/>
        <w:rPr>
          <w:b/>
          <w:sz w:val="26"/>
          <w:szCs w:val="26"/>
          <w:lang w:val="ro-RO"/>
        </w:rPr>
      </w:pPr>
      <w:r w:rsidRPr="00020275">
        <w:rPr>
          <w:b/>
          <w:sz w:val="26"/>
          <w:szCs w:val="26"/>
          <w:lang w:val="ro-RO"/>
        </w:rPr>
        <w:t>privind modificarea Regulamentului privind acordarea/suspendarea statutului de persoană asigurată în sistemul asigurării obligatorii de asistență medicală</w:t>
      </w:r>
    </w:p>
    <w:p w:rsidR="00134CF6" w:rsidRPr="00020275" w:rsidRDefault="00134CF6" w:rsidP="00134CF6">
      <w:pPr>
        <w:spacing w:after="0" w:line="259" w:lineRule="auto"/>
        <w:ind w:left="0" w:right="0" w:firstLine="0"/>
        <w:jc w:val="left"/>
        <w:rPr>
          <w:sz w:val="26"/>
          <w:szCs w:val="2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7"/>
      </w:tblGrid>
      <w:tr w:rsidR="00134CF6" w:rsidRPr="00020275" w:rsidTr="00444183">
        <w:tc>
          <w:tcPr>
            <w:tcW w:w="5000" w:type="pct"/>
            <w:shd w:val="clear" w:color="auto" w:fill="D9D9D9"/>
          </w:tcPr>
          <w:p w:rsidR="00134CF6" w:rsidRPr="00020275" w:rsidRDefault="00134CF6" w:rsidP="00444183">
            <w:pPr>
              <w:spacing w:after="0" w:line="259" w:lineRule="auto"/>
              <w:ind w:left="0" w:right="0" w:firstLine="0"/>
              <w:rPr>
                <w:sz w:val="26"/>
                <w:szCs w:val="26"/>
                <w:lang w:val="ro-RO"/>
              </w:rPr>
            </w:pPr>
            <w:r w:rsidRPr="00020275">
              <w:rPr>
                <w:sz w:val="26"/>
                <w:szCs w:val="26"/>
                <w:lang w:val="ro-RO"/>
              </w:rPr>
              <w:t>1. Denumirea autorului și, după caz, a participanților la elaborarea proiectului</w:t>
            </w:r>
          </w:p>
        </w:tc>
      </w:tr>
      <w:tr w:rsidR="00134CF6" w:rsidRPr="00020275" w:rsidTr="00444183">
        <w:tc>
          <w:tcPr>
            <w:tcW w:w="5000" w:type="pct"/>
          </w:tcPr>
          <w:p w:rsidR="00134CF6" w:rsidRPr="00020275" w:rsidRDefault="00134CF6" w:rsidP="00444183">
            <w:pPr>
              <w:spacing w:after="0" w:line="259" w:lineRule="auto"/>
              <w:ind w:left="0" w:right="0" w:firstLine="0"/>
              <w:rPr>
                <w:sz w:val="26"/>
                <w:szCs w:val="26"/>
                <w:lang w:val="ro-RO"/>
              </w:rPr>
            </w:pPr>
            <w:r w:rsidRPr="00020275">
              <w:rPr>
                <w:sz w:val="26"/>
                <w:szCs w:val="26"/>
                <w:lang w:val="ro-RO"/>
              </w:rPr>
              <w:t>Proiectul hotărârii Guvernului privind modificarea Regulamentului privind acordarea/suspendarea statutului de persoană asigurată în sistemul asigurării obligatorii de asistență medicală” este elaborat de către Compania Națională de Asigurări în Medicină de comun cu Ministerul Sănătății, Muncii și Protecției Sociale.</w:t>
            </w:r>
          </w:p>
        </w:tc>
      </w:tr>
      <w:tr w:rsidR="00134CF6" w:rsidRPr="00020275" w:rsidTr="00444183">
        <w:tc>
          <w:tcPr>
            <w:tcW w:w="5000" w:type="pct"/>
            <w:shd w:val="clear" w:color="auto" w:fill="D9D9D9"/>
          </w:tcPr>
          <w:p w:rsidR="00134CF6" w:rsidRPr="00020275" w:rsidRDefault="00134CF6" w:rsidP="00444183">
            <w:pPr>
              <w:spacing w:after="0" w:line="259" w:lineRule="auto"/>
              <w:ind w:left="0" w:right="0" w:firstLine="0"/>
              <w:jc w:val="left"/>
              <w:rPr>
                <w:sz w:val="26"/>
                <w:szCs w:val="26"/>
                <w:lang w:val="ro-RO"/>
              </w:rPr>
            </w:pPr>
            <w:r w:rsidRPr="00020275">
              <w:rPr>
                <w:sz w:val="26"/>
                <w:szCs w:val="26"/>
                <w:lang w:val="ro-RO"/>
              </w:rPr>
              <w:t>2. Condițiile ce au impus elaborarea proiectului de act normativ şi finalitățile urmărite</w:t>
            </w:r>
          </w:p>
        </w:tc>
      </w:tr>
      <w:tr w:rsidR="00134CF6" w:rsidRPr="00020275" w:rsidTr="00444183">
        <w:tc>
          <w:tcPr>
            <w:tcW w:w="5000" w:type="pct"/>
          </w:tcPr>
          <w:p w:rsidR="00134CF6" w:rsidRPr="00020275" w:rsidRDefault="00134CF6" w:rsidP="00444183">
            <w:pPr>
              <w:spacing w:after="0" w:line="259" w:lineRule="auto"/>
              <w:ind w:left="0" w:right="0" w:firstLine="0"/>
              <w:rPr>
                <w:sz w:val="26"/>
                <w:szCs w:val="26"/>
                <w:lang w:val="ro-RO"/>
              </w:rPr>
            </w:pPr>
            <w:r w:rsidRPr="00020275">
              <w:rPr>
                <w:sz w:val="26"/>
                <w:szCs w:val="26"/>
                <w:lang w:val="ro-RO"/>
              </w:rPr>
              <w:t>Proiectul hotărârii Guvernului privind modificarea Regulamentului privind acordarea/suspendarea statutului de persoană asigurată în sistemul asigurării obligatorii de asistență medicală a fost elaborat în temeiul art.2 alin.(3) din Legea nr.36/2020 pentru modificarea articolului 4 din Legea nr.1585/1998 cu privire la asigurarea obligatorie de asistență medicală.</w:t>
            </w:r>
          </w:p>
          <w:p w:rsidR="00134CF6" w:rsidRPr="00020275" w:rsidRDefault="00134CF6" w:rsidP="00444183">
            <w:pPr>
              <w:spacing w:after="0" w:line="259" w:lineRule="auto"/>
              <w:ind w:left="0" w:right="0" w:firstLine="0"/>
              <w:rPr>
                <w:sz w:val="26"/>
                <w:szCs w:val="26"/>
                <w:lang w:val="ro-RO"/>
              </w:rPr>
            </w:pPr>
            <w:r w:rsidRPr="00020275">
              <w:rPr>
                <w:sz w:val="26"/>
                <w:szCs w:val="26"/>
                <w:lang w:val="ro-RO"/>
              </w:rPr>
              <w:t>Elaborarea proiectului hotărârii Guvernului are drept scop implementarea prevederilor Legii nr.36/2020 și, prin urmare, executarea Hotărârii Curții Constituționale nr.3 din 18 ianuarie 2019 pentru controlul constituționalității unor prevederi din Legea nr. 1585 din 27 februarie 1998 cu privire la asigu</w:t>
            </w:r>
            <w:bookmarkStart w:id="0" w:name="_GoBack"/>
            <w:bookmarkEnd w:id="0"/>
            <w:r w:rsidRPr="00020275">
              <w:rPr>
                <w:sz w:val="26"/>
                <w:szCs w:val="26"/>
                <w:lang w:val="ro-RO"/>
              </w:rPr>
              <w:t>rarea obligatorie de asistență medicală și din Regulamentul privind acordarea/suspendarea statutului de persoană asigurată  în sistemul asigurării obligatorii de asistență medicală (Sesizarea nr. 201 a/2018).</w:t>
            </w:r>
          </w:p>
          <w:p w:rsidR="00134CF6" w:rsidRPr="00020275" w:rsidRDefault="00134CF6" w:rsidP="00444183">
            <w:pPr>
              <w:spacing w:after="0" w:line="259" w:lineRule="auto"/>
              <w:ind w:left="0" w:right="0" w:firstLine="0"/>
              <w:rPr>
                <w:sz w:val="26"/>
                <w:szCs w:val="26"/>
                <w:lang w:val="ro-RO"/>
              </w:rPr>
            </w:pPr>
            <w:r w:rsidRPr="00020275">
              <w:rPr>
                <w:sz w:val="26"/>
                <w:szCs w:val="26"/>
                <w:lang w:val="ro-RO"/>
              </w:rPr>
              <w:t>Drept urmare a constatărilor Curții în partea ce ține de existența unui tratament diferențiat în materie de acordare a dreptului la AOAM din contul statului în raport cu tații și părinții adoptivi și necesitatea asigurării dreptului la asistență medicală doar pentru persoana care exercită în mod nemijlocit educarea și creșterea copiilor, Legea nr.36/2020 pentru modificarea articolului 4 din Legea nr. 1585/1998 cu privire la asigurarea obligatorie de asistență medicală, expune în redacția nouă lit.m) din art.4 alin.(4) al Legii nr.1585/1998, după cum urmează:</w:t>
            </w:r>
          </w:p>
          <w:p w:rsidR="00134CF6" w:rsidRPr="00020275" w:rsidRDefault="00134CF6" w:rsidP="00444183">
            <w:pPr>
              <w:spacing w:after="0" w:line="259" w:lineRule="auto"/>
              <w:ind w:left="0" w:right="0" w:firstLine="0"/>
              <w:rPr>
                <w:sz w:val="26"/>
                <w:szCs w:val="26"/>
                <w:lang w:val="ro-RO"/>
              </w:rPr>
            </w:pPr>
            <w:r w:rsidRPr="00020275">
              <w:rPr>
                <w:sz w:val="26"/>
                <w:szCs w:val="26"/>
                <w:lang w:val="ro-RO"/>
              </w:rPr>
              <w:t>„m) părinte, inclusiv adoptiv, care exercită în mod efectiv creșterea și educarea a patru și mai mulți copii, pentru perioada în care cel puțin un copil are vârsta de până la 18 ani;”</w:t>
            </w:r>
          </w:p>
          <w:p w:rsidR="00134CF6" w:rsidRPr="00020275" w:rsidRDefault="00134CF6" w:rsidP="00444183">
            <w:pPr>
              <w:spacing w:after="0" w:line="259" w:lineRule="auto"/>
              <w:ind w:left="0" w:right="0" w:firstLine="0"/>
              <w:rPr>
                <w:sz w:val="26"/>
                <w:szCs w:val="26"/>
                <w:lang w:val="ro-RO"/>
              </w:rPr>
            </w:pPr>
            <w:r w:rsidRPr="00020275">
              <w:rPr>
                <w:sz w:val="26"/>
                <w:szCs w:val="26"/>
                <w:lang w:val="ro-RO"/>
              </w:rPr>
              <w:t>Suplimentar, ca urmare a stabilirii competenței CNAM de atribuire, din oficiu, a statutului de persoană asigurată pentru părinții care îngrijesc de 4 și mai mulți copii, a fost redactat  alin.(9) cu stabilirea categoriilor de persoane asigurate de Guvern, pentru care prin excepție, CNAM atribuie, din oficiu, statutul de persoană asigurată, reieșind din imposibilitatea instituțiilor publice de a ține evidența acestor categorii și prezentarea informației către CNAM.</w:t>
            </w:r>
          </w:p>
        </w:tc>
      </w:tr>
      <w:tr w:rsidR="00134CF6" w:rsidRPr="00020275" w:rsidTr="00444183">
        <w:tc>
          <w:tcPr>
            <w:tcW w:w="5000" w:type="pct"/>
            <w:shd w:val="clear" w:color="auto" w:fill="D9D9D9"/>
          </w:tcPr>
          <w:p w:rsidR="00134CF6" w:rsidRPr="00020275" w:rsidRDefault="00134CF6" w:rsidP="00444183">
            <w:pPr>
              <w:spacing w:after="0" w:line="259" w:lineRule="auto"/>
              <w:ind w:left="0" w:right="0" w:firstLine="0"/>
              <w:rPr>
                <w:sz w:val="26"/>
                <w:szCs w:val="26"/>
                <w:lang w:val="ro-RO"/>
              </w:rPr>
            </w:pPr>
            <w:r w:rsidRPr="00020275">
              <w:rPr>
                <w:sz w:val="26"/>
                <w:szCs w:val="26"/>
                <w:lang w:val="ro-RO"/>
              </w:rPr>
              <w:t>3. Descrierea gradului de compatibilitate, pentru proiectele care au ca scop armonizarea legislației naționale cu legislația Uniunii Europene</w:t>
            </w:r>
          </w:p>
        </w:tc>
      </w:tr>
      <w:tr w:rsidR="00134CF6" w:rsidRPr="00020275" w:rsidTr="00444183">
        <w:tc>
          <w:tcPr>
            <w:tcW w:w="5000" w:type="pct"/>
          </w:tcPr>
          <w:p w:rsidR="00134CF6" w:rsidRPr="00020275" w:rsidRDefault="00134CF6" w:rsidP="00444183">
            <w:pPr>
              <w:spacing w:after="0" w:line="259" w:lineRule="auto"/>
              <w:ind w:left="0" w:right="0" w:firstLine="0"/>
              <w:rPr>
                <w:sz w:val="26"/>
                <w:szCs w:val="26"/>
                <w:lang w:val="ro-RO"/>
              </w:rPr>
            </w:pPr>
            <w:r w:rsidRPr="00020275">
              <w:rPr>
                <w:sz w:val="26"/>
                <w:szCs w:val="26"/>
                <w:lang w:val="ro-RO"/>
              </w:rPr>
              <w:t>Proiectul respectiv nu are scopul armonizării legislației cu legislația Uniunii Europene</w:t>
            </w:r>
          </w:p>
        </w:tc>
      </w:tr>
      <w:tr w:rsidR="00134CF6" w:rsidRPr="00020275" w:rsidTr="00444183">
        <w:tc>
          <w:tcPr>
            <w:tcW w:w="5000" w:type="pct"/>
            <w:shd w:val="clear" w:color="auto" w:fill="D9D9D9"/>
          </w:tcPr>
          <w:p w:rsidR="00134CF6" w:rsidRPr="00020275" w:rsidRDefault="00134CF6" w:rsidP="00444183">
            <w:pPr>
              <w:spacing w:after="0" w:line="259" w:lineRule="auto"/>
              <w:ind w:left="0" w:right="0" w:firstLine="0"/>
              <w:jc w:val="left"/>
              <w:rPr>
                <w:sz w:val="26"/>
                <w:szCs w:val="26"/>
                <w:lang w:val="ro-RO"/>
              </w:rPr>
            </w:pPr>
            <w:r w:rsidRPr="00020275">
              <w:rPr>
                <w:sz w:val="26"/>
                <w:szCs w:val="26"/>
                <w:lang w:val="ro-RO"/>
              </w:rPr>
              <w:t>4. Principalele prevederi ale proiectului și evidențierea elementelor noi</w:t>
            </w:r>
          </w:p>
        </w:tc>
      </w:tr>
      <w:tr w:rsidR="00134CF6" w:rsidRPr="00020275" w:rsidTr="00444183">
        <w:tc>
          <w:tcPr>
            <w:tcW w:w="5000" w:type="pct"/>
          </w:tcPr>
          <w:p w:rsidR="00134CF6" w:rsidRPr="00020275" w:rsidRDefault="00134CF6" w:rsidP="00444183">
            <w:pPr>
              <w:spacing w:after="0" w:line="259" w:lineRule="auto"/>
              <w:ind w:left="0" w:right="0" w:firstLine="0"/>
              <w:rPr>
                <w:sz w:val="26"/>
                <w:szCs w:val="26"/>
                <w:lang w:val="ro-RO"/>
              </w:rPr>
            </w:pPr>
            <w:r w:rsidRPr="00020275">
              <w:rPr>
                <w:sz w:val="26"/>
                <w:szCs w:val="26"/>
                <w:lang w:val="ro-RO"/>
              </w:rPr>
              <w:t>Proiectul hotărârii are drept scop ajustarea conținutului Regulamentului privind acordarea/suspendarea statutului de persoană asigurată în sistemul asigurării obligatorii de asistență medicală, aprobat prin Hotărârea Guvernului nr.1246 din 19 decembrie 2018 la prevederile Legii nr. 36/2020.</w:t>
            </w:r>
          </w:p>
          <w:p w:rsidR="00134CF6" w:rsidRPr="00020275" w:rsidRDefault="00134CF6" w:rsidP="00444183">
            <w:pPr>
              <w:spacing w:after="0" w:line="259" w:lineRule="auto"/>
              <w:ind w:left="0" w:right="0" w:firstLine="0"/>
              <w:rPr>
                <w:sz w:val="26"/>
                <w:szCs w:val="26"/>
                <w:lang w:val="ro-RO"/>
              </w:rPr>
            </w:pPr>
            <w:r w:rsidRPr="00020275">
              <w:rPr>
                <w:sz w:val="26"/>
                <w:szCs w:val="26"/>
                <w:lang w:val="ro-RO"/>
              </w:rPr>
              <w:lastRenderedPageBreak/>
              <w:t>Astfel, Regulamentul a fost revizuit prin modificarea punctului 34 lit.f) și completarea acestuia cu un punct nou 18</w:t>
            </w:r>
            <w:r w:rsidRPr="00020275">
              <w:rPr>
                <w:sz w:val="26"/>
                <w:szCs w:val="26"/>
                <w:vertAlign w:val="superscript"/>
                <w:lang w:val="ro-RO"/>
              </w:rPr>
              <w:t>1</w:t>
            </w:r>
            <w:r w:rsidRPr="00020275">
              <w:rPr>
                <w:sz w:val="26"/>
                <w:szCs w:val="26"/>
                <w:lang w:val="ro-RO"/>
              </w:rPr>
              <w:t>, în conformitate cu prevederile aprobate în art.4 din Legea 1585/1998 prin Legea 36/2020.</w:t>
            </w:r>
          </w:p>
        </w:tc>
      </w:tr>
      <w:tr w:rsidR="00134CF6" w:rsidRPr="00020275" w:rsidTr="00444183">
        <w:tc>
          <w:tcPr>
            <w:tcW w:w="5000" w:type="pct"/>
            <w:shd w:val="clear" w:color="auto" w:fill="D9D9D9"/>
          </w:tcPr>
          <w:p w:rsidR="00134CF6" w:rsidRPr="00020275" w:rsidRDefault="00134CF6" w:rsidP="00444183">
            <w:pPr>
              <w:spacing w:after="0" w:line="259" w:lineRule="auto"/>
              <w:ind w:left="0" w:right="0" w:firstLine="0"/>
              <w:rPr>
                <w:sz w:val="26"/>
                <w:szCs w:val="26"/>
                <w:lang w:val="ro-RO"/>
              </w:rPr>
            </w:pPr>
            <w:r w:rsidRPr="00020275">
              <w:rPr>
                <w:sz w:val="26"/>
                <w:szCs w:val="26"/>
                <w:lang w:val="ro-RO"/>
              </w:rPr>
              <w:lastRenderedPageBreak/>
              <w:t>5. Fundamentarea economico-financiară</w:t>
            </w:r>
          </w:p>
        </w:tc>
      </w:tr>
      <w:tr w:rsidR="00134CF6" w:rsidRPr="00020275" w:rsidTr="00444183">
        <w:tc>
          <w:tcPr>
            <w:tcW w:w="5000" w:type="pct"/>
          </w:tcPr>
          <w:p w:rsidR="00134CF6" w:rsidRPr="00020275" w:rsidRDefault="00134CF6" w:rsidP="00444183">
            <w:pPr>
              <w:spacing w:after="0" w:line="259" w:lineRule="auto"/>
              <w:ind w:left="0" w:right="0" w:firstLine="0"/>
              <w:rPr>
                <w:sz w:val="26"/>
                <w:szCs w:val="26"/>
                <w:lang w:val="ro-RO"/>
              </w:rPr>
            </w:pPr>
            <w:r w:rsidRPr="00020275">
              <w:rPr>
                <w:bCs/>
                <w:sz w:val="26"/>
                <w:szCs w:val="26"/>
                <w:lang w:val="ro-RO"/>
              </w:rPr>
              <w:t>Adoptarea proiectului de Hotărâre nu va implica cheltuieli financiare suplimentare.</w:t>
            </w:r>
          </w:p>
        </w:tc>
      </w:tr>
      <w:tr w:rsidR="00134CF6" w:rsidRPr="00020275" w:rsidTr="00444183">
        <w:tc>
          <w:tcPr>
            <w:tcW w:w="5000" w:type="pct"/>
            <w:shd w:val="clear" w:color="auto" w:fill="D9D9D9"/>
          </w:tcPr>
          <w:p w:rsidR="00134CF6" w:rsidRPr="00020275" w:rsidRDefault="00134CF6" w:rsidP="00444183">
            <w:pPr>
              <w:spacing w:after="0" w:line="259" w:lineRule="auto"/>
              <w:ind w:left="0" w:right="0" w:firstLine="0"/>
              <w:rPr>
                <w:sz w:val="26"/>
                <w:szCs w:val="26"/>
                <w:lang w:val="ro-RO"/>
              </w:rPr>
            </w:pPr>
            <w:r w:rsidRPr="00020275">
              <w:rPr>
                <w:sz w:val="26"/>
                <w:szCs w:val="26"/>
                <w:lang w:val="ro-RO"/>
              </w:rPr>
              <w:t>6. Modul de încorporare a proiectului în sistemul actelor normative în vigoare</w:t>
            </w:r>
          </w:p>
        </w:tc>
      </w:tr>
      <w:tr w:rsidR="00134CF6" w:rsidRPr="00020275" w:rsidTr="00444183">
        <w:tc>
          <w:tcPr>
            <w:tcW w:w="5000" w:type="pct"/>
          </w:tcPr>
          <w:p w:rsidR="00134CF6" w:rsidRPr="00020275" w:rsidRDefault="00134CF6" w:rsidP="00444183">
            <w:pPr>
              <w:spacing w:after="0" w:line="259" w:lineRule="auto"/>
              <w:ind w:left="0" w:right="0" w:firstLine="0"/>
              <w:rPr>
                <w:sz w:val="26"/>
                <w:szCs w:val="26"/>
                <w:lang w:val="ro-RO"/>
              </w:rPr>
            </w:pPr>
            <w:r w:rsidRPr="00020275">
              <w:rPr>
                <w:sz w:val="26"/>
                <w:szCs w:val="26"/>
                <w:lang w:val="ro-RO"/>
              </w:rPr>
              <w:t>Prin aprobarea prezentei hotărâri nu este necesară modificarea altor acte normative.</w:t>
            </w:r>
          </w:p>
        </w:tc>
      </w:tr>
      <w:tr w:rsidR="00134CF6" w:rsidRPr="00020275" w:rsidTr="00444183">
        <w:tc>
          <w:tcPr>
            <w:tcW w:w="5000" w:type="pct"/>
            <w:shd w:val="clear" w:color="auto" w:fill="D9D9D9"/>
          </w:tcPr>
          <w:p w:rsidR="00134CF6" w:rsidRPr="00020275" w:rsidRDefault="00134CF6" w:rsidP="00444183">
            <w:pPr>
              <w:spacing w:after="0" w:line="259" w:lineRule="auto"/>
              <w:ind w:left="0" w:right="0" w:firstLine="0"/>
              <w:rPr>
                <w:sz w:val="26"/>
                <w:szCs w:val="26"/>
                <w:lang w:val="ro-RO"/>
              </w:rPr>
            </w:pPr>
            <w:r w:rsidRPr="00020275">
              <w:rPr>
                <w:sz w:val="26"/>
                <w:szCs w:val="26"/>
                <w:lang w:val="ro-RO"/>
              </w:rPr>
              <w:t>7. Avizarea şi consultarea publică a proiectului</w:t>
            </w:r>
          </w:p>
        </w:tc>
      </w:tr>
      <w:tr w:rsidR="00134CF6" w:rsidRPr="00020275" w:rsidTr="00444183">
        <w:tc>
          <w:tcPr>
            <w:tcW w:w="5000" w:type="pct"/>
          </w:tcPr>
          <w:p w:rsidR="00134CF6" w:rsidRPr="00020275" w:rsidRDefault="00134CF6" w:rsidP="00444183">
            <w:pPr>
              <w:spacing w:after="0" w:line="259" w:lineRule="auto"/>
              <w:ind w:left="0" w:right="0" w:firstLine="0"/>
              <w:rPr>
                <w:sz w:val="26"/>
                <w:szCs w:val="26"/>
                <w:lang w:val="ro-RO"/>
              </w:rPr>
            </w:pPr>
          </w:p>
        </w:tc>
      </w:tr>
      <w:tr w:rsidR="00134CF6" w:rsidRPr="00020275" w:rsidTr="00444183">
        <w:tc>
          <w:tcPr>
            <w:tcW w:w="5000" w:type="pct"/>
            <w:shd w:val="clear" w:color="auto" w:fill="D9D9D9"/>
          </w:tcPr>
          <w:p w:rsidR="00134CF6" w:rsidRPr="00020275" w:rsidRDefault="00134CF6" w:rsidP="00444183">
            <w:pPr>
              <w:spacing w:after="0" w:line="259" w:lineRule="auto"/>
              <w:ind w:left="0" w:right="0" w:firstLine="0"/>
              <w:rPr>
                <w:sz w:val="26"/>
                <w:szCs w:val="26"/>
                <w:lang w:val="ro-RO"/>
              </w:rPr>
            </w:pPr>
            <w:r w:rsidRPr="00020275">
              <w:rPr>
                <w:sz w:val="26"/>
                <w:szCs w:val="26"/>
                <w:lang w:val="ro-RO"/>
              </w:rPr>
              <w:t>8. Constatările altor expertize</w:t>
            </w:r>
          </w:p>
        </w:tc>
      </w:tr>
      <w:tr w:rsidR="00134CF6" w:rsidRPr="00020275" w:rsidTr="00444183">
        <w:tc>
          <w:tcPr>
            <w:tcW w:w="5000" w:type="pct"/>
          </w:tcPr>
          <w:p w:rsidR="00134CF6" w:rsidRPr="00020275" w:rsidRDefault="00134CF6" w:rsidP="00444183">
            <w:pPr>
              <w:spacing w:after="0" w:line="259" w:lineRule="auto"/>
              <w:ind w:left="0" w:right="0" w:firstLine="0"/>
              <w:jc w:val="left"/>
              <w:rPr>
                <w:sz w:val="26"/>
                <w:szCs w:val="26"/>
                <w:lang w:val="ro-RO"/>
              </w:rPr>
            </w:pPr>
          </w:p>
        </w:tc>
      </w:tr>
      <w:tr w:rsidR="00134CF6" w:rsidRPr="00020275" w:rsidTr="00444183">
        <w:tc>
          <w:tcPr>
            <w:tcW w:w="5000" w:type="pct"/>
            <w:shd w:val="clear" w:color="auto" w:fill="D9D9D9"/>
          </w:tcPr>
          <w:p w:rsidR="00134CF6" w:rsidRPr="00020275" w:rsidRDefault="00134CF6" w:rsidP="00444183">
            <w:pPr>
              <w:spacing w:after="0" w:line="259" w:lineRule="auto"/>
              <w:ind w:left="0" w:right="0" w:firstLine="0"/>
              <w:jc w:val="left"/>
              <w:rPr>
                <w:sz w:val="26"/>
                <w:szCs w:val="26"/>
                <w:lang w:val="ro-RO"/>
              </w:rPr>
            </w:pPr>
            <w:r w:rsidRPr="00020275">
              <w:rPr>
                <w:sz w:val="26"/>
                <w:szCs w:val="26"/>
                <w:lang w:val="ro-RO"/>
              </w:rPr>
              <w:t>9. Constatările expertizei anticorupţie</w:t>
            </w:r>
          </w:p>
        </w:tc>
      </w:tr>
      <w:tr w:rsidR="00134CF6" w:rsidRPr="00020275" w:rsidTr="00444183">
        <w:tc>
          <w:tcPr>
            <w:tcW w:w="5000" w:type="pct"/>
          </w:tcPr>
          <w:p w:rsidR="00134CF6" w:rsidRPr="00020275" w:rsidRDefault="00134CF6" w:rsidP="00444183">
            <w:pPr>
              <w:spacing w:after="0" w:line="259" w:lineRule="auto"/>
              <w:ind w:left="0" w:right="0" w:firstLine="0"/>
              <w:jc w:val="left"/>
              <w:rPr>
                <w:sz w:val="26"/>
                <w:szCs w:val="26"/>
                <w:lang w:val="ro-RO"/>
              </w:rPr>
            </w:pPr>
          </w:p>
        </w:tc>
      </w:tr>
      <w:tr w:rsidR="00134CF6" w:rsidRPr="00020275" w:rsidTr="00444183">
        <w:tc>
          <w:tcPr>
            <w:tcW w:w="5000" w:type="pct"/>
            <w:shd w:val="clear" w:color="auto" w:fill="D9D9D9"/>
          </w:tcPr>
          <w:p w:rsidR="00134CF6" w:rsidRPr="00020275" w:rsidRDefault="00134CF6" w:rsidP="00444183">
            <w:pPr>
              <w:spacing w:after="0" w:line="259" w:lineRule="auto"/>
              <w:ind w:left="0" w:right="0" w:firstLine="0"/>
              <w:jc w:val="left"/>
              <w:rPr>
                <w:sz w:val="26"/>
                <w:szCs w:val="26"/>
                <w:lang w:val="ro-RO"/>
              </w:rPr>
            </w:pPr>
            <w:r w:rsidRPr="00020275">
              <w:rPr>
                <w:sz w:val="26"/>
                <w:szCs w:val="26"/>
                <w:lang w:val="ro-RO"/>
              </w:rPr>
              <w:t>10. Constatările expertizei de compatibilitate</w:t>
            </w:r>
          </w:p>
        </w:tc>
      </w:tr>
      <w:tr w:rsidR="00134CF6" w:rsidRPr="00020275" w:rsidTr="00444183">
        <w:tc>
          <w:tcPr>
            <w:tcW w:w="5000" w:type="pct"/>
          </w:tcPr>
          <w:p w:rsidR="00134CF6" w:rsidRPr="00020275" w:rsidRDefault="00134CF6" w:rsidP="00444183">
            <w:pPr>
              <w:spacing w:after="0" w:line="259" w:lineRule="auto"/>
              <w:ind w:left="0" w:right="0" w:firstLine="0"/>
              <w:jc w:val="left"/>
              <w:rPr>
                <w:sz w:val="26"/>
                <w:szCs w:val="26"/>
                <w:lang w:val="ro-RO"/>
              </w:rPr>
            </w:pPr>
          </w:p>
        </w:tc>
      </w:tr>
      <w:tr w:rsidR="00134CF6" w:rsidRPr="00020275" w:rsidTr="00444183">
        <w:tc>
          <w:tcPr>
            <w:tcW w:w="5000" w:type="pct"/>
            <w:shd w:val="clear" w:color="auto" w:fill="D9D9D9"/>
          </w:tcPr>
          <w:p w:rsidR="00134CF6" w:rsidRPr="00020275" w:rsidRDefault="00134CF6" w:rsidP="00444183">
            <w:pPr>
              <w:spacing w:after="0" w:line="259" w:lineRule="auto"/>
              <w:ind w:left="0" w:right="0" w:firstLine="0"/>
              <w:jc w:val="left"/>
              <w:rPr>
                <w:sz w:val="26"/>
                <w:szCs w:val="26"/>
                <w:lang w:val="ro-RO"/>
              </w:rPr>
            </w:pPr>
            <w:r w:rsidRPr="00020275">
              <w:rPr>
                <w:sz w:val="26"/>
                <w:szCs w:val="26"/>
                <w:lang w:val="ro-RO"/>
              </w:rPr>
              <w:t>11. Constatările expertizei juridice</w:t>
            </w:r>
          </w:p>
        </w:tc>
      </w:tr>
      <w:tr w:rsidR="00134CF6" w:rsidRPr="00020275" w:rsidTr="00444183">
        <w:tc>
          <w:tcPr>
            <w:tcW w:w="5000" w:type="pct"/>
          </w:tcPr>
          <w:p w:rsidR="00134CF6" w:rsidRPr="00020275" w:rsidRDefault="00134CF6" w:rsidP="00444183">
            <w:pPr>
              <w:spacing w:after="0" w:line="259" w:lineRule="auto"/>
              <w:ind w:left="0" w:right="0" w:firstLine="0"/>
              <w:jc w:val="left"/>
              <w:rPr>
                <w:sz w:val="26"/>
                <w:szCs w:val="26"/>
                <w:lang w:val="ro-RO"/>
              </w:rPr>
            </w:pPr>
          </w:p>
        </w:tc>
      </w:tr>
    </w:tbl>
    <w:p w:rsidR="00134CF6" w:rsidRPr="00020275" w:rsidRDefault="00134CF6" w:rsidP="00134CF6">
      <w:pPr>
        <w:spacing w:after="0" w:line="259" w:lineRule="auto"/>
        <w:ind w:left="0" w:right="0" w:firstLine="0"/>
        <w:jc w:val="left"/>
        <w:rPr>
          <w:sz w:val="26"/>
          <w:szCs w:val="26"/>
          <w:lang w:val="ro-RO"/>
        </w:rPr>
      </w:pPr>
    </w:p>
    <w:p w:rsidR="00134CF6" w:rsidRPr="000E3FA2" w:rsidRDefault="00134CF6" w:rsidP="00134CF6">
      <w:pPr>
        <w:spacing w:after="0" w:line="259" w:lineRule="auto"/>
        <w:ind w:left="0" w:right="0" w:firstLine="0"/>
        <w:jc w:val="left"/>
        <w:rPr>
          <w:lang w:val="ro-RO"/>
        </w:rPr>
      </w:pPr>
    </w:p>
    <w:p w:rsidR="00CD4007" w:rsidRDefault="00CD4007"/>
    <w:sectPr w:rsidR="00CD4007" w:rsidSect="008D7D20">
      <w:headerReference w:type="even" r:id="rId5"/>
      <w:headerReference w:type="default" r:id="rId6"/>
      <w:headerReference w:type="first" r:id="rId7"/>
      <w:pgSz w:w="11906" w:h="16841"/>
      <w:pgMar w:top="567" w:right="960" w:bottom="568" w:left="1815"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00D" w:rsidRDefault="00134CF6">
    <w:pPr>
      <w:spacing w:after="0" w:line="259" w:lineRule="auto"/>
      <w:ind w:left="705" w:right="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B2300D" w:rsidRDefault="00134CF6">
    <w:pPr>
      <w:spacing w:after="0" w:line="259" w:lineRule="auto"/>
      <w:ind w:left="708" w:right="0" w:firstLine="0"/>
      <w:jc w:val="left"/>
    </w:pP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00D" w:rsidRDefault="00134CF6">
    <w:pPr>
      <w:spacing w:after="0" w:line="259" w:lineRule="auto"/>
      <w:ind w:left="705" w:right="0" w:firstLine="0"/>
      <w:jc w:val="center"/>
    </w:pPr>
    <w:r>
      <w:fldChar w:fldCharType="begin"/>
    </w:r>
    <w:r>
      <w:instrText xml:space="preserve"> PAGE   \* MERGEFORMAT </w:instrText>
    </w:r>
    <w:r>
      <w:fldChar w:fldCharType="separate"/>
    </w:r>
    <w:r w:rsidRPr="00134CF6">
      <w:rPr>
        <w:noProof/>
        <w:sz w:val="20"/>
      </w:rPr>
      <w:t>2</w:t>
    </w:r>
    <w:r>
      <w:rPr>
        <w:sz w:val="20"/>
      </w:rPr>
      <w:fldChar w:fldCharType="end"/>
    </w:r>
    <w:r>
      <w:rPr>
        <w:sz w:val="20"/>
      </w:rPr>
      <w:t xml:space="preserve"> </w:t>
    </w:r>
  </w:p>
  <w:p w:rsidR="00B2300D" w:rsidRDefault="00134CF6">
    <w:pPr>
      <w:spacing w:after="0" w:line="259" w:lineRule="auto"/>
      <w:ind w:left="708" w:right="0" w:firstLine="0"/>
      <w:jc w:val="left"/>
    </w:pP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00D" w:rsidRPr="00BA68E4" w:rsidRDefault="00134CF6" w:rsidP="00BA68E4">
    <w:pPr>
      <w:spacing w:after="160" w:line="259" w:lineRule="auto"/>
      <w:ind w:left="0" w:right="0" w:firstLine="0"/>
      <w:jc w:val="right"/>
      <w:rPr>
        <w:i/>
        <w:szCs w:val="28"/>
        <w:lang w:val="ro-RO"/>
      </w:rPr>
    </w:pPr>
    <w:r w:rsidRPr="00BA68E4">
      <w:rPr>
        <w:i/>
        <w:szCs w:val="28"/>
        <w:lang w:val="ro-RO"/>
      </w:rPr>
      <w:t>Proiect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CF6"/>
    <w:rsid w:val="00001EE1"/>
    <w:rsid w:val="00134CF6"/>
    <w:rsid w:val="003631D2"/>
    <w:rsid w:val="00CD4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CF6"/>
    <w:pPr>
      <w:spacing w:after="11" w:line="253" w:lineRule="auto"/>
      <w:ind w:left="10" w:right="3" w:hanging="1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CF6"/>
    <w:pPr>
      <w:spacing w:after="11" w:line="253" w:lineRule="auto"/>
      <w:ind w:left="10" w:right="3" w:hanging="10"/>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Mihalachi</dc:creator>
  <cp:lastModifiedBy>Iulia Mihalachi</cp:lastModifiedBy>
  <cp:revision>1</cp:revision>
  <dcterms:created xsi:type="dcterms:W3CDTF">2020-07-13T08:10:00Z</dcterms:created>
  <dcterms:modified xsi:type="dcterms:W3CDTF">2020-07-13T08:11:00Z</dcterms:modified>
</cp:coreProperties>
</file>