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8B" w:rsidRPr="0053548B" w:rsidRDefault="0053548B" w:rsidP="0053548B">
      <w:pPr>
        <w:pStyle w:val="tt"/>
        <w:rPr>
          <w:lang w:val="ro-RO"/>
        </w:rPr>
      </w:pPr>
      <w:r w:rsidRPr="0053548B">
        <w:rPr>
          <w:lang w:val="ro-RO"/>
        </w:rPr>
        <w:t xml:space="preserve">NOTA INFORMATIVĂ </w:t>
      </w:r>
    </w:p>
    <w:p w:rsidR="0053548B" w:rsidRPr="0053548B" w:rsidRDefault="0053548B" w:rsidP="0053548B">
      <w:pPr>
        <w:pStyle w:val="tt"/>
        <w:rPr>
          <w:lang w:val="ro-RO"/>
        </w:rPr>
      </w:pPr>
      <w:r w:rsidRPr="0053548B">
        <w:rPr>
          <w:lang w:val="ro-RO"/>
        </w:rPr>
        <w:t>la proiectul de lege privind modificarea articolului 2 din Legea nr.1353/2000 privind gospodăriile țărănești (de fermier)</w:t>
      </w:r>
    </w:p>
    <w:p w:rsidR="0053548B" w:rsidRPr="0053548B" w:rsidRDefault="0053548B" w:rsidP="0053548B">
      <w:pPr>
        <w:pStyle w:val="tt"/>
        <w:rPr>
          <w:lang w:val="ro-RO"/>
        </w:rPr>
      </w:pPr>
    </w:p>
    <w:p w:rsidR="0053548B" w:rsidRPr="0053548B" w:rsidRDefault="0053548B" w:rsidP="0053548B">
      <w:pPr>
        <w:pStyle w:val="tt"/>
        <w:rPr>
          <w:lang w:val="ro-RO"/>
        </w:rPr>
      </w:pPr>
    </w:p>
    <w:tbl>
      <w:tblPr>
        <w:tblW w:w="4861" w:type="pct"/>
        <w:jc w:val="center"/>
        <w:tblCellMar>
          <w:top w:w="15" w:type="dxa"/>
          <w:left w:w="15" w:type="dxa"/>
          <w:bottom w:w="15" w:type="dxa"/>
          <w:right w:w="15" w:type="dxa"/>
        </w:tblCellMar>
        <w:tblLook w:val="04A0" w:firstRow="1" w:lastRow="0" w:firstColumn="1" w:lastColumn="0" w:noHBand="0" w:noVBand="1"/>
      </w:tblPr>
      <w:tblGrid>
        <w:gridCol w:w="9735"/>
      </w:tblGrid>
      <w:tr w:rsidR="0053548B" w:rsidRPr="0096296D" w:rsidTr="00031608">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t>1.</w:t>
            </w:r>
            <w:r w:rsidRPr="0096296D">
              <w:rPr>
                <w:b/>
                <w:sz w:val="24"/>
                <w:szCs w:val="24"/>
                <w:lang w:val="ro-MO" w:eastAsia="ro-RO"/>
              </w:rPr>
              <w:t xml:space="preserve"> Denumirea autorului şi, după caz, a participanților la elaborarea proiectului</w:t>
            </w:r>
          </w:p>
        </w:tc>
      </w:tr>
      <w:tr w:rsidR="0053548B" w:rsidRPr="0096296D" w:rsidTr="00031608">
        <w:trPr>
          <w:trHeight w:val="21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3548B" w:rsidRPr="00793B24" w:rsidRDefault="0053548B" w:rsidP="00793B24">
            <w:pPr>
              <w:pStyle w:val="tt"/>
              <w:ind w:firstLine="570"/>
              <w:jc w:val="both"/>
              <w:rPr>
                <w:b w:val="0"/>
                <w:lang w:val="ro-MO" w:eastAsia="ro-RO"/>
              </w:rPr>
            </w:pPr>
            <w:r w:rsidRPr="00793B24">
              <w:rPr>
                <w:b w:val="0"/>
                <w:lang w:val="ro-MO"/>
              </w:rPr>
              <w:t>Proiectul de lege privind modificarea</w:t>
            </w:r>
            <w:r w:rsidR="00793B24" w:rsidRPr="00793B24">
              <w:rPr>
                <w:b w:val="0"/>
                <w:lang w:val="ro-MO"/>
              </w:rPr>
              <w:t xml:space="preserve"> </w:t>
            </w:r>
            <w:r w:rsidR="00793B24" w:rsidRPr="00793B24">
              <w:rPr>
                <w:b w:val="0"/>
                <w:lang w:val="ro-RO"/>
              </w:rPr>
              <w:t xml:space="preserve">articolului 2 din Legea nr.1353/2000 privind gospodăriile țărănești (de fermier) </w:t>
            </w:r>
            <w:r w:rsidRPr="00793B24">
              <w:rPr>
                <w:b w:val="0"/>
                <w:lang w:val="ro-MO" w:eastAsia="ro-RO"/>
              </w:rPr>
              <w:t>este elaborat de către Ministerul Economiei și Infrastructurii.</w:t>
            </w:r>
          </w:p>
          <w:p w:rsidR="0096296D" w:rsidRPr="0096296D" w:rsidRDefault="0096296D" w:rsidP="00031608">
            <w:pPr>
              <w:ind w:left="167" w:right="144" w:firstLine="477"/>
              <w:rPr>
                <w:sz w:val="24"/>
                <w:szCs w:val="24"/>
                <w:lang w:val="ro-MO" w:eastAsia="ro-RO"/>
              </w:rPr>
            </w:pPr>
          </w:p>
        </w:tc>
      </w:tr>
      <w:tr w:rsidR="0053548B" w:rsidRPr="0096296D" w:rsidTr="00031608">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t xml:space="preserve">2. </w:t>
            </w:r>
            <w:r w:rsidRPr="0096296D">
              <w:rPr>
                <w:b/>
                <w:sz w:val="24"/>
                <w:szCs w:val="24"/>
                <w:lang w:val="ro-MO" w:eastAsia="ro-RO"/>
              </w:rPr>
              <w:t>Condițiile ce au impus elaborarea proiectului de act normativ şi finalitățile urmărite</w:t>
            </w:r>
          </w:p>
        </w:tc>
      </w:tr>
      <w:tr w:rsidR="0053548B" w:rsidRPr="0096296D" w:rsidTr="00031608">
        <w:trPr>
          <w:trHeight w:val="9326"/>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3548B" w:rsidRPr="0096296D" w:rsidRDefault="0053548B" w:rsidP="0053548B">
            <w:pPr>
              <w:pStyle w:val="ListParagraph"/>
              <w:numPr>
                <w:ilvl w:val="0"/>
                <w:numId w:val="17"/>
              </w:numPr>
              <w:tabs>
                <w:tab w:val="left" w:pos="1010"/>
              </w:tabs>
              <w:ind w:left="27" w:right="144" w:firstLine="477"/>
              <w:contextualSpacing w:val="0"/>
              <w:rPr>
                <w:b/>
                <w:i/>
                <w:sz w:val="24"/>
                <w:szCs w:val="24"/>
                <w:lang w:val="ro-MO"/>
              </w:rPr>
            </w:pPr>
            <w:r w:rsidRPr="0096296D">
              <w:rPr>
                <w:b/>
                <w:i/>
                <w:sz w:val="24"/>
                <w:szCs w:val="24"/>
                <w:lang w:val="ro-MO"/>
              </w:rPr>
              <w:t>Drept temei pentru elaborarea proiectului de lege privind modificarea unor acte normative au constituit situațiile și aspectele descrise în continuare.</w:t>
            </w:r>
          </w:p>
          <w:p w:rsidR="0053548B" w:rsidRPr="0096296D" w:rsidRDefault="0053548B" w:rsidP="00031608">
            <w:pPr>
              <w:tabs>
                <w:tab w:val="left" w:pos="1010"/>
              </w:tabs>
              <w:ind w:left="27" w:right="144" w:firstLine="426"/>
              <w:rPr>
                <w:rFonts w:eastAsiaTheme="minorHAnsi"/>
                <w:sz w:val="24"/>
                <w:szCs w:val="24"/>
                <w:lang w:val="ro-MO"/>
              </w:rPr>
            </w:pPr>
            <w:r w:rsidRPr="0096296D">
              <w:rPr>
                <w:sz w:val="24"/>
                <w:szCs w:val="24"/>
                <w:u w:val="single"/>
                <w:lang w:val="ro-MO" w:eastAsia="en-GB"/>
              </w:rPr>
              <w:t>Accesul antreprenorilor pe piața agricolă este distorsionat prin stabilirea unor condiții inegale la înregistrarea de stat a afacerilor agricole în formă de gospodărie țărănească (GȚ),</w:t>
            </w:r>
            <w:r w:rsidRPr="0096296D">
              <w:rPr>
                <w:sz w:val="24"/>
                <w:szCs w:val="24"/>
                <w:lang w:val="ro-MO" w:eastAsia="en-GB"/>
              </w:rPr>
              <w:t xml:space="preserve"> comparativ cu alte forme organizatorico-juridice (FOJ) de </w:t>
            </w:r>
            <w:proofErr w:type="spellStart"/>
            <w:r w:rsidRPr="0096296D">
              <w:rPr>
                <w:sz w:val="24"/>
                <w:szCs w:val="24"/>
                <w:lang w:val="ro-MO" w:eastAsia="en-GB"/>
              </w:rPr>
              <w:t>antreprenoriat</w:t>
            </w:r>
            <w:proofErr w:type="spellEnd"/>
            <w:r w:rsidRPr="0096296D">
              <w:rPr>
                <w:sz w:val="24"/>
                <w:szCs w:val="24"/>
                <w:lang w:val="ro-MO" w:eastAsia="en-GB"/>
              </w:rPr>
              <w:t xml:space="preserve">. În </w:t>
            </w:r>
            <w:r w:rsidRPr="0096296D">
              <w:rPr>
                <w:rFonts w:eastAsiaTheme="minorHAnsi"/>
                <w:sz w:val="24"/>
                <w:szCs w:val="24"/>
                <w:lang w:val="ro-MO"/>
              </w:rPr>
              <w:t xml:space="preserve">speță, pentru înregistrarea afacerii agricole în FOJ de GȚ, fondatorul este obligat să prezinte documentele stabilite la art.13 alin.(2) din Legea.nr.1353/2000, inclusiv copii de pe documentele ce confirmă </w:t>
            </w:r>
            <w:r w:rsidRPr="0096296D">
              <w:rPr>
                <w:rFonts w:eastAsiaTheme="minorHAnsi"/>
                <w:sz w:val="24"/>
                <w:szCs w:val="24"/>
                <w:u w:val="single"/>
                <w:lang w:val="ro-MO"/>
              </w:rPr>
              <w:t>dreptul de proprietate privată al fondatorului şi al potențialilor membri ai GȚ asupra terenurilor agricole</w:t>
            </w:r>
            <w:r w:rsidRPr="0096296D">
              <w:rPr>
                <w:rFonts w:eastAsiaTheme="minorHAnsi"/>
                <w:sz w:val="24"/>
                <w:szCs w:val="24"/>
                <w:lang w:val="ro-MO"/>
              </w:rPr>
              <w:t xml:space="preserve">, sub sancțiunea refuzului primăriei de a înregistra GȚ (în temeiul art.13 alin.(4) din legea prenotată). Conceptul de ”teren agricol” sau ”teren destinat agriculturii”, în sensul relevant situației vizate, este descris în art.36, 39, 42, 44 și 50 din Codul funciar nr.828/1991 și cuprinde, inclusiv, </w:t>
            </w:r>
            <w:r w:rsidRPr="0096296D">
              <w:rPr>
                <w:rFonts w:eastAsiaTheme="minorHAnsi"/>
                <w:sz w:val="24"/>
                <w:szCs w:val="24"/>
                <w:u w:val="single"/>
                <w:lang w:val="ro-MO"/>
              </w:rPr>
              <w:t xml:space="preserve">lotul pe lângă casă (amplasat în extravilanul localității), </w:t>
            </w:r>
            <w:r w:rsidRPr="0096296D">
              <w:rPr>
                <w:rFonts w:eastAsiaTheme="minorHAnsi"/>
                <w:sz w:val="24"/>
                <w:szCs w:val="24"/>
                <w:lang w:val="ro-MO"/>
              </w:rPr>
              <w:t xml:space="preserve">în temeiul art.36 și 39 din Codul funciar. Totodată, </w:t>
            </w:r>
            <w:r w:rsidRPr="0096296D">
              <w:rPr>
                <w:rFonts w:eastAsiaTheme="minorHAnsi"/>
                <w:sz w:val="24"/>
                <w:szCs w:val="24"/>
                <w:u w:val="single"/>
                <w:lang w:val="ro-MO"/>
              </w:rPr>
              <w:t xml:space="preserve">lotul pe lângă casă, amplasat în intravilanul localității, </w:t>
            </w:r>
            <w:r w:rsidRPr="0096296D">
              <w:rPr>
                <w:rFonts w:eastAsiaTheme="minorHAnsi"/>
                <w:sz w:val="24"/>
                <w:szCs w:val="24"/>
                <w:lang w:val="ro-MO"/>
              </w:rPr>
              <w:t xml:space="preserve">pe care este construită sau urmează a fi construită o casă (sau alt imobil) și care conține, de obicei, o parcelă de pământ pe care gospodăriile casnice cultivă legume, fructe, flori și altele pentru consum propriu, nu se consideră teren agricol, ci </w:t>
            </w:r>
            <w:r w:rsidRPr="0096296D">
              <w:rPr>
                <w:rFonts w:eastAsiaTheme="minorHAnsi"/>
                <w:sz w:val="24"/>
                <w:szCs w:val="24"/>
                <w:u w:val="single"/>
                <w:lang w:val="ro-MO"/>
              </w:rPr>
              <w:t>teren destinat construcțiilor</w:t>
            </w:r>
            <w:r w:rsidRPr="0096296D">
              <w:rPr>
                <w:rFonts w:eastAsiaTheme="minorHAnsi"/>
                <w:sz w:val="24"/>
                <w:szCs w:val="24"/>
                <w:lang w:val="ro-MO"/>
              </w:rPr>
              <w:t xml:space="preserve">, conform art.46 din Codul funciar și, corespunzător, acesta nu poate servi pentru înregistrarea GȚ. Pe de altă parte, pentru aceeași situație, legislația nu stabilește obligația fondatorului de a deține teren agricol în proprietate privată, în cazul în care dorește să-și înregistreze afacerea agricolă în FOJ de SRL sau SA. </w:t>
            </w:r>
          </w:p>
          <w:p w:rsidR="0053548B" w:rsidRPr="0096296D" w:rsidRDefault="0053548B" w:rsidP="00031608">
            <w:pPr>
              <w:tabs>
                <w:tab w:val="left" w:pos="1010"/>
              </w:tabs>
              <w:ind w:left="27" w:right="144" w:firstLine="426"/>
              <w:rPr>
                <w:sz w:val="24"/>
                <w:szCs w:val="24"/>
                <w:lang w:val="ro-MO"/>
              </w:rPr>
            </w:pPr>
            <w:r w:rsidRPr="0096296D">
              <w:rPr>
                <w:rFonts w:eastAsiaTheme="minorHAnsi"/>
                <w:sz w:val="24"/>
                <w:szCs w:val="24"/>
                <w:lang w:val="ro-MO"/>
              </w:rPr>
              <w:t xml:space="preserve">Astfel, </w:t>
            </w:r>
            <w:r w:rsidRPr="0096296D">
              <w:rPr>
                <w:sz w:val="24"/>
                <w:szCs w:val="24"/>
                <w:lang w:val="ro-MO"/>
              </w:rPr>
              <w:t xml:space="preserve">din </w:t>
            </w:r>
            <w:r w:rsidRPr="0096296D">
              <w:rPr>
                <w:b/>
                <w:i/>
                <w:sz w:val="24"/>
                <w:szCs w:val="24"/>
                <w:lang w:val="ro-MO"/>
              </w:rPr>
              <w:t>perspectiva reglementării afacerilor</w:t>
            </w:r>
            <w:r w:rsidRPr="0096296D">
              <w:rPr>
                <w:sz w:val="24"/>
                <w:szCs w:val="24"/>
                <w:lang w:val="ro-MO"/>
              </w:rPr>
              <w:t xml:space="preserve">, existența cerinței privind deținerea terenului agricol în proprietate în Legea nr.1353/2000 și lipsa acesteia în legislația care reglementează alte FOJ de </w:t>
            </w:r>
            <w:proofErr w:type="spellStart"/>
            <w:r w:rsidRPr="0096296D">
              <w:rPr>
                <w:sz w:val="24"/>
                <w:szCs w:val="24"/>
                <w:lang w:val="ro-MO"/>
              </w:rPr>
              <w:t>antreprenoriat</w:t>
            </w:r>
            <w:proofErr w:type="spellEnd"/>
            <w:r w:rsidRPr="0096296D">
              <w:rPr>
                <w:sz w:val="24"/>
                <w:szCs w:val="24"/>
                <w:lang w:val="ro-MO"/>
              </w:rPr>
              <w:t xml:space="preserve"> poate fi considerată un </w:t>
            </w:r>
            <w:r w:rsidRPr="0096296D">
              <w:rPr>
                <w:i/>
                <w:sz w:val="24"/>
                <w:szCs w:val="24"/>
                <w:lang w:val="ro-MO"/>
              </w:rPr>
              <w:t>dezechilibru de reglementare</w:t>
            </w:r>
            <w:r w:rsidRPr="0096296D">
              <w:rPr>
                <w:sz w:val="24"/>
                <w:szCs w:val="24"/>
                <w:lang w:val="ro-MO"/>
              </w:rPr>
              <w:t xml:space="preserve"> sau </w:t>
            </w:r>
            <w:r w:rsidRPr="0096296D">
              <w:rPr>
                <w:i/>
                <w:sz w:val="24"/>
                <w:szCs w:val="24"/>
                <w:lang w:val="ro-MO"/>
              </w:rPr>
              <w:t xml:space="preserve">o situație de reguli inegale </w:t>
            </w:r>
            <w:r w:rsidRPr="0096296D">
              <w:rPr>
                <w:sz w:val="24"/>
                <w:szCs w:val="24"/>
                <w:lang w:val="ro-MO"/>
              </w:rPr>
              <w:t>în detrimentul FOJ de GȚ. Această inegalitate diminuează importanța conceptuală a cerinței ”teren agricol”, pe care este fundamentat (prin lege) refuzul înregistrării GȚ de către primării.</w:t>
            </w:r>
          </w:p>
          <w:p w:rsidR="0053548B" w:rsidRPr="0096296D" w:rsidRDefault="0053548B" w:rsidP="00031608">
            <w:pPr>
              <w:pStyle w:val="2"/>
              <w:shd w:val="clear" w:color="auto" w:fill="auto"/>
              <w:spacing w:line="240" w:lineRule="auto"/>
              <w:ind w:left="70" w:right="52" w:firstLine="497"/>
              <w:jc w:val="both"/>
              <w:rPr>
                <w:sz w:val="24"/>
                <w:szCs w:val="24"/>
                <w:lang w:val="ro-MO" w:eastAsia="en-GB"/>
              </w:rPr>
            </w:pPr>
            <w:r w:rsidRPr="0096296D">
              <w:rPr>
                <w:sz w:val="24"/>
                <w:szCs w:val="24"/>
                <w:lang w:val="ro-MO"/>
              </w:rPr>
              <w:t xml:space="preserve">De asemenea, din </w:t>
            </w:r>
            <w:r w:rsidRPr="0096296D">
              <w:rPr>
                <w:b/>
                <w:i/>
                <w:sz w:val="24"/>
                <w:szCs w:val="24"/>
                <w:lang w:val="ro-MO"/>
              </w:rPr>
              <w:t xml:space="preserve">perspectiva politicilor de </w:t>
            </w:r>
            <w:proofErr w:type="spellStart"/>
            <w:r w:rsidRPr="0096296D">
              <w:rPr>
                <w:b/>
                <w:i/>
                <w:sz w:val="24"/>
                <w:szCs w:val="24"/>
                <w:lang w:val="ro-MO"/>
              </w:rPr>
              <w:t>antreprenoriat</w:t>
            </w:r>
            <w:proofErr w:type="spellEnd"/>
            <w:r w:rsidRPr="0096296D">
              <w:rPr>
                <w:sz w:val="24"/>
                <w:szCs w:val="24"/>
                <w:lang w:val="ro-MO"/>
              </w:rPr>
              <w:t xml:space="preserve">, îndeosebi al micilor antreprenori, cerința față de fondator de a deține teren agricol la înregistrarea GȚ reprezintă </w:t>
            </w:r>
            <w:r w:rsidRPr="0096296D">
              <w:rPr>
                <w:i/>
                <w:sz w:val="24"/>
                <w:szCs w:val="24"/>
                <w:lang w:val="ro-MO"/>
              </w:rPr>
              <w:t>o constrângere la inițierea sau transparentizarea afacerilor</w:t>
            </w:r>
            <w:r w:rsidRPr="0096296D">
              <w:rPr>
                <w:sz w:val="24"/>
                <w:szCs w:val="24"/>
                <w:lang w:val="ro-MO"/>
              </w:rPr>
              <w:t xml:space="preserve">. Astfel, lotul pe lângă casă (din intravilan) reprezintă o resursă naturală, ce poate fi utilizată de antreprenor în activitatea proprie, conform art.6 din Legea nr.845/1992 cu privire la </w:t>
            </w:r>
            <w:proofErr w:type="spellStart"/>
            <w:r w:rsidRPr="0096296D">
              <w:rPr>
                <w:sz w:val="24"/>
                <w:szCs w:val="24"/>
                <w:lang w:val="ro-MO"/>
              </w:rPr>
              <w:t>antreprenoriat</w:t>
            </w:r>
            <w:proofErr w:type="spellEnd"/>
            <w:r w:rsidRPr="0096296D">
              <w:rPr>
                <w:sz w:val="24"/>
                <w:szCs w:val="24"/>
                <w:lang w:val="ro-MO"/>
              </w:rPr>
              <w:t xml:space="preserve"> și întreprinderi. Acest fapt este îndeosebi de sensibil în privința unui </w:t>
            </w:r>
            <w:proofErr w:type="spellStart"/>
            <w:r w:rsidRPr="0096296D">
              <w:rPr>
                <w:sz w:val="24"/>
                <w:szCs w:val="24"/>
                <w:lang w:val="ro-MO"/>
              </w:rPr>
              <w:t>start-up</w:t>
            </w:r>
            <w:proofErr w:type="spellEnd"/>
            <w:r w:rsidRPr="0096296D">
              <w:rPr>
                <w:sz w:val="24"/>
                <w:szCs w:val="24"/>
                <w:lang w:val="ro-MO"/>
              </w:rPr>
              <w:t xml:space="preserve"> inițiat de tineri, femei, reprezentanți ai diasporei reveniți în patrie sau antreprenori care, observând avantajele oferite afacerilor în cadrul economiei formale, doresc să iasă din economia informală. Un exemplu, în acest sens, ar servi comercianții de flori, care doresc să-și înregistreze/oficializeze afacerile în formă de GȚ, însă sunt refuzați de primării pe motiv că nu prezintă documente ce atestă proprietatea privată a fondatorului/membrilor GȚ asupra terenurilor agricole.</w:t>
            </w:r>
          </w:p>
          <w:p w:rsidR="0053548B" w:rsidRPr="0096296D" w:rsidRDefault="0053548B" w:rsidP="00031608">
            <w:pPr>
              <w:tabs>
                <w:tab w:val="left" w:pos="1010"/>
              </w:tabs>
              <w:ind w:left="27" w:right="144" w:firstLine="426"/>
              <w:rPr>
                <w:color w:val="000000"/>
                <w:sz w:val="24"/>
                <w:szCs w:val="24"/>
                <w:lang w:val="ro-MO"/>
              </w:rPr>
            </w:pPr>
            <w:r w:rsidRPr="0096296D">
              <w:rPr>
                <w:color w:val="000000"/>
                <w:sz w:val="24"/>
                <w:szCs w:val="24"/>
                <w:lang w:val="ro-MO"/>
              </w:rPr>
              <w:t>Identificarea și diminuarea/eliminarea constrângerilor, barierelor, dezechilibrelor în legislația care reglementează mediul de afaceri și, în special, întreprinderile mici și mijlocii (ÎMM), se încadrează în obligațiile Republicii Moldova conform Acordului de Asociere RM-UE, în speță:</w:t>
            </w:r>
          </w:p>
          <w:p w:rsidR="0053548B" w:rsidRPr="0096296D" w:rsidRDefault="0053548B" w:rsidP="0053548B">
            <w:pPr>
              <w:pStyle w:val="ListParagraph"/>
              <w:numPr>
                <w:ilvl w:val="0"/>
                <w:numId w:val="18"/>
              </w:numPr>
              <w:tabs>
                <w:tab w:val="left" w:pos="1010"/>
              </w:tabs>
              <w:ind w:right="144"/>
              <w:rPr>
                <w:color w:val="000000"/>
                <w:sz w:val="24"/>
                <w:szCs w:val="24"/>
                <w:lang w:val="ro-MO"/>
              </w:rPr>
            </w:pPr>
            <w:r w:rsidRPr="0096296D">
              <w:rPr>
                <w:color w:val="000000"/>
                <w:sz w:val="24"/>
                <w:szCs w:val="24"/>
                <w:lang w:val="ro-MO"/>
              </w:rPr>
              <w:t>art.62, care stabilește că ”</w:t>
            </w:r>
            <w:r w:rsidRPr="0096296D">
              <w:rPr>
                <w:i/>
                <w:color w:val="000000"/>
                <w:sz w:val="24"/>
                <w:szCs w:val="24"/>
                <w:lang w:val="ro-MO"/>
              </w:rPr>
              <w:t xml:space="preserve">părțile îşi dezvoltă şi îşi consolidează cooperarea privind </w:t>
            </w:r>
            <w:r w:rsidRPr="0096296D">
              <w:rPr>
                <w:i/>
                <w:color w:val="000000"/>
                <w:sz w:val="24"/>
                <w:szCs w:val="24"/>
                <w:lang w:val="ro-MO"/>
              </w:rPr>
              <w:lastRenderedPageBreak/>
              <w:t xml:space="preserve">politica industrială şi antreprenorială, </w:t>
            </w:r>
            <w:r w:rsidRPr="0096296D">
              <w:rPr>
                <w:b/>
                <w:i/>
                <w:color w:val="000000"/>
                <w:sz w:val="24"/>
                <w:szCs w:val="24"/>
                <w:lang w:val="ro-MO"/>
              </w:rPr>
              <w:t>îmbunătățind astfel mediul de afaceri pentru toţi operatorii economici, dar cu un accent deosebit pe IMM-uri</w:t>
            </w:r>
            <w:r w:rsidRPr="0096296D">
              <w:rPr>
                <w:color w:val="000000"/>
                <w:sz w:val="24"/>
                <w:szCs w:val="24"/>
                <w:lang w:val="ro-MO"/>
              </w:rPr>
              <w:t>” și</w:t>
            </w:r>
          </w:p>
          <w:p w:rsidR="0053548B" w:rsidRPr="0096296D" w:rsidRDefault="0053548B" w:rsidP="0053548B">
            <w:pPr>
              <w:pStyle w:val="ListParagraph"/>
              <w:numPr>
                <w:ilvl w:val="0"/>
                <w:numId w:val="18"/>
              </w:numPr>
              <w:tabs>
                <w:tab w:val="left" w:pos="1010"/>
              </w:tabs>
              <w:ind w:right="144"/>
              <w:rPr>
                <w:sz w:val="24"/>
                <w:szCs w:val="24"/>
                <w:lang w:val="ro-MO"/>
              </w:rPr>
            </w:pPr>
            <w:r w:rsidRPr="0096296D">
              <w:rPr>
                <w:color w:val="000000"/>
                <w:sz w:val="24"/>
                <w:szCs w:val="24"/>
                <w:lang w:val="ro-MO"/>
              </w:rPr>
              <w:t xml:space="preserve">art.63 alin.(c), care stabilește că RM și EU cooperează pentru </w:t>
            </w:r>
            <w:r w:rsidRPr="0096296D">
              <w:rPr>
                <w:color w:val="000000"/>
                <w:shd w:val="clear" w:color="auto" w:fill="FFFFFF"/>
                <w:lang w:val="ro-MO"/>
              </w:rPr>
              <w:t>”</w:t>
            </w:r>
            <w:r w:rsidRPr="0096296D">
              <w:rPr>
                <w:i/>
                <w:color w:val="000000"/>
                <w:sz w:val="24"/>
                <w:szCs w:val="24"/>
                <w:lang w:val="ro-MO"/>
              </w:rPr>
              <w:t>a simplifica şi a raţionaliza reglementările şi practicile în materie de reglementare”</w:t>
            </w:r>
            <w:r w:rsidRPr="0096296D">
              <w:rPr>
                <w:color w:val="000000"/>
                <w:sz w:val="24"/>
                <w:szCs w:val="24"/>
                <w:lang w:val="ro-MO"/>
              </w:rPr>
              <w:t xml:space="preserve">. </w:t>
            </w:r>
          </w:p>
          <w:p w:rsidR="0053548B" w:rsidRPr="0096296D" w:rsidRDefault="0053548B" w:rsidP="00031608">
            <w:pPr>
              <w:ind w:right="144" w:firstLine="0"/>
              <w:rPr>
                <w:sz w:val="24"/>
                <w:szCs w:val="24"/>
                <w:lang w:val="ro-MO"/>
              </w:rPr>
            </w:pPr>
          </w:p>
          <w:p w:rsidR="0053548B" w:rsidRPr="0096296D" w:rsidRDefault="0053548B" w:rsidP="0053548B">
            <w:pPr>
              <w:pStyle w:val="ListParagraph"/>
              <w:numPr>
                <w:ilvl w:val="0"/>
                <w:numId w:val="17"/>
              </w:numPr>
              <w:tabs>
                <w:tab w:val="left" w:pos="1010"/>
              </w:tabs>
              <w:ind w:left="167" w:right="144" w:firstLine="477"/>
              <w:contextualSpacing w:val="0"/>
              <w:rPr>
                <w:b/>
                <w:i/>
                <w:sz w:val="24"/>
                <w:szCs w:val="24"/>
                <w:lang w:val="ro-MO"/>
              </w:rPr>
            </w:pPr>
            <w:r w:rsidRPr="0096296D">
              <w:rPr>
                <w:b/>
                <w:i/>
                <w:sz w:val="24"/>
                <w:szCs w:val="24"/>
                <w:lang w:val="ro-MO"/>
              </w:rPr>
              <w:t>Elaborarea modificărilor la legislație, referitoare la condițiile și situațiile expuse mai sus (dar și altele), vizează următoarele finalități:</w:t>
            </w:r>
          </w:p>
          <w:p w:rsidR="0053548B" w:rsidRPr="0096296D" w:rsidRDefault="0053548B" w:rsidP="00031608">
            <w:pPr>
              <w:pStyle w:val="ListParagraph"/>
              <w:tabs>
                <w:tab w:val="left" w:pos="868"/>
              </w:tabs>
              <w:ind w:left="27" w:right="144" w:firstLine="477"/>
              <w:contextualSpacing w:val="0"/>
              <w:rPr>
                <w:color w:val="000000"/>
                <w:sz w:val="24"/>
                <w:szCs w:val="24"/>
                <w:lang w:val="ro-MO"/>
              </w:rPr>
            </w:pPr>
            <w:r w:rsidRPr="0096296D">
              <w:rPr>
                <w:i/>
                <w:color w:val="000000"/>
                <w:sz w:val="24"/>
                <w:szCs w:val="24"/>
                <w:lang w:val="ro-MO"/>
              </w:rPr>
              <w:t>Obiectivul general</w:t>
            </w:r>
            <w:r w:rsidRPr="0096296D">
              <w:rPr>
                <w:color w:val="000000"/>
                <w:sz w:val="24"/>
                <w:szCs w:val="24"/>
                <w:lang w:val="ro-MO"/>
              </w:rPr>
              <w:t xml:space="preserve"> al proiectului de lege este instaurarea unui cadrul regulator facilitator, egal, echilibrat, competitiv și adecvat, față de toți antreprenorii, pe toate piețele interne, indiferent de forma organizatorico-juridică, forma de proprietate, tipul de activitate a acestora.</w:t>
            </w:r>
          </w:p>
          <w:p w:rsidR="0053548B" w:rsidRPr="0096296D" w:rsidRDefault="0053548B" w:rsidP="00031608">
            <w:pPr>
              <w:pStyle w:val="ListParagraph"/>
              <w:tabs>
                <w:tab w:val="left" w:pos="868"/>
              </w:tabs>
              <w:ind w:left="27" w:right="144" w:firstLine="477"/>
              <w:contextualSpacing w:val="0"/>
              <w:rPr>
                <w:sz w:val="24"/>
                <w:szCs w:val="24"/>
                <w:lang w:val="ro-MO" w:eastAsia="en-GB"/>
              </w:rPr>
            </w:pPr>
            <w:r w:rsidRPr="0096296D">
              <w:rPr>
                <w:i/>
                <w:color w:val="000000"/>
                <w:sz w:val="24"/>
                <w:szCs w:val="24"/>
                <w:lang w:val="ro-MO"/>
              </w:rPr>
              <w:t xml:space="preserve">Obiectivul specific </w:t>
            </w:r>
            <w:r w:rsidRPr="0096296D">
              <w:rPr>
                <w:color w:val="000000"/>
                <w:sz w:val="24"/>
                <w:szCs w:val="24"/>
                <w:lang w:val="ro-MO"/>
              </w:rPr>
              <w:t>este</w:t>
            </w:r>
            <w:r w:rsidRPr="0096296D">
              <w:rPr>
                <w:i/>
                <w:color w:val="000000"/>
                <w:sz w:val="24"/>
                <w:szCs w:val="24"/>
                <w:lang w:val="ro-MO"/>
              </w:rPr>
              <w:t xml:space="preserve"> </w:t>
            </w:r>
            <w:r w:rsidRPr="0096296D">
              <w:rPr>
                <w:color w:val="000000"/>
                <w:sz w:val="24"/>
                <w:szCs w:val="24"/>
                <w:lang w:val="ro-MO"/>
              </w:rPr>
              <w:t xml:space="preserve">atenuarea distorsiunii accesului pe piața agricolă prin echilibrarea cerințelor la înregistrare afacerilor agricole în FOJ de GȚ, comparativ </w:t>
            </w:r>
            <w:r w:rsidRPr="0096296D">
              <w:rPr>
                <w:sz w:val="24"/>
                <w:szCs w:val="24"/>
                <w:lang w:val="ro-MO" w:eastAsia="en-GB"/>
              </w:rPr>
              <w:t xml:space="preserve">cu alte forme de </w:t>
            </w:r>
            <w:proofErr w:type="spellStart"/>
            <w:r w:rsidRPr="0096296D">
              <w:rPr>
                <w:sz w:val="24"/>
                <w:szCs w:val="24"/>
                <w:lang w:val="ro-MO" w:eastAsia="en-GB"/>
              </w:rPr>
              <w:t>antreprenoriat</w:t>
            </w:r>
            <w:proofErr w:type="spellEnd"/>
            <w:r w:rsidRPr="0096296D">
              <w:rPr>
                <w:sz w:val="24"/>
                <w:szCs w:val="24"/>
                <w:lang w:val="ro-MO" w:eastAsia="en-GB"/>
              </w:rPr>
              <w:t>.</w:t>
            </w:r>
          </w:p>
          <w:p w:rsidR="0053548B" w:rsidRPr="0096296D" w:rsidRDefault="0053548B" w:rsidP="00031608">
            <w:pPr>
              <w:tabs>
                <w:tab w:val="left" w:pos="868"/>
              </w:tabs>
              <w:ind w:left="27" w:right="144" w:firstLine="566"/>
              <w:rPr>
                <w:sz w:val="24"/>
                <w:szCs w:val="24"/>
                <w:lang w:val="ro-MO"/>
              </w:rPr>
            </w:pPr>
            <w:r w:rsidRPr="0096296D">
              <w:rPr>
                <w:sz w:val="24"/>
                <w:szCs w:val="24"/>
                <w:lang w:val="ro-MO"/>
              </w:rPr>
              <w:t>Implementarea proiectului de lege propus ar putea contribui, de asemenea, la facilitarea următoarelor situații:</w:t>
            </w:r>
          </w:p>
          <w:p w:rsidR="0053548B" w:rsidRPr="0096296D" w:rsidRDefault="0053548B" w:rsidP="0053548B">
            <w:pPr>
              <w:pStyle w:val="ListParagraph"/>
              <w:numPr>
                <w:ilvl w:val="0"/>
                <w:numId w:val="18"/>
              </w:numPr>
              <w:tabs>
                <w:tab w:val="left" w:pos="940"/>
              </w:tabs>
              <w:ind w:right="144"/>
              <w:rPr>
                <w:sz w:val="24"/>
                <w:szCs w:val="24"/>
                <w:lang w:val="ro-MO"/>
              </w:rPr>
            </w:pPr>
            <w:r w:rsidRPr="0096296D">
              <w:rPr>
                <w:sz w:val="24"/>
                <w:szCs w:val="24"/>
                <w:lang w:val="ro-MO"/>
              </w:rPr>
              <w:t>creșterea probabilității de supraviețuire a unei afaceri mici în agricultură. Acest fapt ar putea servi ca o trambulină, în caz de succes, spre extinderea ulterioară a afacerii pe terenuri agricole procurate și/sau arendate suplimentar;</w:t>
            </w:r>
          </w:p>
          <w:p w:rsidR="0053548B" w:rsidRPr="0096296D" w:rsidRDefault="0053548B" w:rsidP="0053548B">
            <w:pPr>
              <w:pStyle w:val="ListParagraph"/>
              <w:numPr>
                <w:ilvl w:val="0"/>
                <w:numId w:val="18"/>
              </w:numPr>
              <w:tabs>
                <w:tab w:val="left" w:pos="940"/>
              </w:tabs>
              <w:ind w:right="144"/>
              <w:rPr>
                <w:sz w:val="24"/>
                <w:szCs w:val="24"/>
                <w:lang w:val="ro-MO"/>
              </w:rPr>
            </w:pPr>
            <w:r w:rsidRPr="0096296D">
              <w:rPr>
                <w:sz w:val="24"/>
                <w:szCs w:val="24"/>
                <w:lang w:val="ro-MO"/>
              </w:rPr>
              <w:t>creșterea veniturilor gospodăriilor de familie. Gospodăriile obișnuiesc să cultive produse agricole pe parcela de pământ de lângă casă (legume, fructe, flori ș.a.) pentru necesități proprii. Deseori, îndeosebi în spațiul rural, surplusurile de produse agricole cultivate pe lângă casă, la care se mai pot adăuga și produsele cultivate pe loturile pe lângă casele rudelor/prietenilor/vecinilor plecați peste hotare sau decedați, sunt comercializate la piață ori în alte locuri publice;</w:t>
            </w:r>
          </w:p>
          <w:p w:rsidR="0053548B" w:rsidRPr="0096296D" w:rsidRDefault="0053548B" w:rsidP="0053548B">
            <w:pPr>
              <w:pStyle w:val="ListParagraph"/>
              <w:numPr>
                <w:ilvl w:val="0"/>
                <w:numId w:val="18"/>
              </w:numPr>
              <w:tabs>
                <w:tab w:val="left" w:pos="940"/>
              </w:tabs>
              <w:ind w:right="144"/>
              <w:rPr>
                <w:sz w:val="24"/>
                <w:szCs w:val="24"/>
                <w:lang w:val="ro-MO"/>
              </w:rPr>
            </w:pPr>
            <w:r w:rsidRPr="0096296D">
              <w:rPr>
                <w:sz w:val="24"/>
                <w:szCs w:val="24"/>
                <w:lang w:val="ro-MO"/>
              </w:rPr>
              <w:t>diminuarea risipei alimentare prin comercializarea surplusurilor, îndeosebi în anii agricoli favorabili;</w:t>
            </w:r>
          </w:p>
          <w:p w:rsidR="0053548B" w:rsidRPr="0096296D" w:rsidRDefault="0053548B" w:rsidP="0053548B">
            <w:pPr>
              <w:pStyle w:val="ListParagraph"/>
              <w:numPr>
                <w:ilvl w:val="0"/>
                <w:numId w:val="18"/>
              </w:numPr>
              <w:tabs>
                <w:tab w:val="left" w:pos="940"/>
              </w:tabs>
              <w:ind w:right="144"/>
              <w:rPr>
                <w:sz w:val="24"/>
                <w:szCs w:val="24"/>
                <w:lang w:val="ro-MO"/>
              </w:rPr>
            </w:pPr>
            <w:r w:rsidRPr="0096296D">
              <w:rPr>
                <w:sz w:val="24"/>
                <w:szCs w:val="24"/>
                <w:lang w:val="ro-MO"/>
              </w:rPr>
              <w:t>încurajarea migrării unor afaceri agricole din economia informală către economia formală. Un exemplu, în acest sens, ar servi comercianții de flori, care doresc să-și înregistreze/oficializeze afacerile de cultivare a florilor în FOJ de GȚ.</w:t>
            </w:r>
          </w:p>
          <w:p w:rsidR="0053548B" w:rsidRPr="0096296D" w:rsidRDefault="0053548B" w:rsidP="00031608">
            <w:pPr>
              <w:tabs>
                <w:tab w:val="left" w:pos="940"/>
              </w:tabs>
              <w:ind w:right="144"/>
              <w:rPr>
                <w:sz w:val="24"/>
                <w:szCs w:val="24"/>
                <w:lang w:val="ro-MO"/>
              </w:rPr>
            </w:pPr>
            <w:r w:rsidRPr="0096296D">
              <w:rPr>
                <w:sz w:val="24"/>
                <w:szCs w:val="24"/>
                <w:lang w:val="ro-MO"/>
              </w:rPr>
              <w:t>De asemenea, c</w:t>
            </w:r>
            <w:r w:rsidRPr="0096296D">
              <w:rPr>
                <w:color w:val="000000"/>
                <w:sz w:val="24"/>
                <w:szCs w:val="24"/>
                <w:lang w:val="ro-MO"/>
              </w:rPr>
              <w:t xml:space="preserve">oroborat cu regimul </w:t>
            </w:r>
            <w:proofErr w:type="spellStart"/>
            <w:r w:rsidRPr="0096296D">
              <w:rPr>
                <w:color w:val="000000"/>
                <w:sz w:val="24"/>
                <w:szCs w:val="24"/>
                <w:lang w:val="ro-MO"/>
              </w:rPr>
              <w:t>facilitar</w:t>
            </w:r>
            <w:proofErr w:type="spellEnd"/>
            <w:r w:rsidRPr="0096296D">
              <w:rPr>
                <w:color w:val="000000"/>
                <w:sz w:val="24"/>
                <w:szCs w:val="24"/>
                <w:lang w:val="ro-MO"/>
              </w:rPr>
              <w:t xml:space="preserve"> antreprenorial și fiscal, </w:t>
            </w:r>
            <w:r w:rsidRPr="0096296D">
              <w:rPr>
                <w:sz w:val="24"/>
                <w:szCs w:val="24"/>
                <w:lang w:val="ro-MO"/>
              </w:rPr>
              <w:t xml:space="preserve">proiectul ar putea </w:t>
            </w:r>
            <w:r w:rsidRPr="0096296D">
              <w:rPr>
                <w:color w:val="000000"/>
                <w:sz w:val="24"/>
                <w:szCs w:val="24"/>
                <w:lang w:val="ro-MO"/>
              </w:rPr>
              <w:t xml:space="preserve">impulsiona creșterea numărului de GȚ nou-înregistrate și </w:t>
            </w:r>
            <w:r w:rsidRPr="0096296D">
              <w:rPr>
                <w:sz w:val="24"/>
                <w:szCs w:val="24"/>
                <w:lang w:val="ro-MO"/>
              </w:rPr>
              <w:t xml:space="preserve">creșterea investițiilor în aceste afaceri datorită economiilor rezultate din anularea obligației de a deține (i.e. procura) teren agricol (în lipsa acestuia), precum și a cheltuielilor aferente procurării respective și anume: </w:t>
            </w:r>
            <w:r w:rsidRPr="0096296D">
              <w:rPr>
                <w:color w:val="000000"/>
                <w:sz w:val="24"/>
                <w:szCs w:val="24"/>
                <w:lang w:val="ro-MO"/>
              </w:rPr>
              <w:t>cheltuieli aferente procedurilor de înregistrare a terenului (cheltuieli notariale, cheltuieli cadastrale) și cheltuieli de logistică (identificarea/vizitarea terenului, cheltuieli de transport (combustibil, uzura) ș.a</w:t>
            </w:r>
            <w:r w:rsidRPr="0096296D">
              <w:rPr>
                <w:sz w:val="24"/>
                <w:szCs w:val="24"/>
                <w:lang w:val="ro-MO"/>
              </w:rPr>
              <w:t>.</w:t>
            </w:r>
          </w:p>
        </w:tc>
      </w:tr>
      <w:tr w:rsidR="0053548B" w:rsidRPr="0096296D" w:rsidTr="00031608">
        <w:trPr>
          <w:trHeight w:val="45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lastRenderedPageBreak/>
              <w:t>3.</w:t>
            </w:r>
            <w:r w:rsidRPr="0096296D">
              <w:rPr>
                <w:b/>
                <w:sz w:val="24"/>
                <w:szCs w:val="24"/>
                <w:lang w:val="ro-MO" w:eastAsia="ro-RO"/>
              </w:rPr>
              <w:t xml:space="preserve"> Descrierea gradului de compatibilitate pentru proiectele care au ca scop armonizarea legislaţiei naţionale cu legislaţia Uniunii Europene</w:t>
            </w:r>
          </w:p>
        </w:tc>
      </w:tr>
      <w:tr w:rsidR="0053548B" w:rsidRPr="0096296D" w:rsidTr="00031608">
        <w:trPr>
          <w:trHeight w:val="792"/>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3548B" w:rsidRPr="0096296D" w:rsidRDefault="0053548B" w:rsidP="00031608">
            <w:pPr>
              <w:ind w:left="167" w:right="144" w:firstLine="477"/>
              <w:rPr>
                <w:sz w:val="24"/>
                <w:szCs w:val="24"/>
                <w:lang w:val="ro-MO" w:eastAsia="ro-RO"/>
              </w:rPr>
            </w:pPr>
            <w:r w:rsidRPr="0096296D">
              <w:rPr>
                <w:sz w:val="24"/>
                <w:szCs w:val="24"/>
                <w:lang w:val="ro-MO" w:eastAsia="ro-RO"/>
              </w:rPr>
              <w:t>Proiectul de lege nu conține norme privind armonizarea legislației naționale cu legislaţia Uniunii Europene.</w:t>
            </w:r>
          </w:p>
        </w:tc>
      </w:tr>
      <w:tr w:rsidR="0053548B" w:rsidRPr="0096296D" w:rsidTr="00031608">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t>4.</w:t>
            </w:r>
            <w:r w:rsidRPr="0096296D">
              <w:rPr>
                <w:b/>
                <w:sz w:val="24"/>
                <w:szCs w:val="24"/>
                <w:lang w:val="ro-MO" w:eastAsia="ro-RO"/>
              </w:rPr>
              <w:t xml:space="preserve"> Principalele prevederi ale proiectului şi evidenţierea elementelor noi </w:t>
            </w:r>
          </w:p>
        </w:tc>
      </w:tr>
      <w:tr w:rsidR="0053548B" w:rsidRPr="0096296D" w:rsidTr="00031608">
        <w:trPr>
          <w:trHeight w:val="122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548B" w:rsidRPr="0096296D" w:rsidRDefault="0053548B" w:rsidP="00031608">
            <w:pPr>
              <w:pStyle w:val="ListParagraph"/>
              <w:tabs>
                <w:tab w:val="left" w:pos="1010"/>
              </w:tabs>
              <w:ind w:left="89" w:right="142" w:firstLine="506"/>
              <w:contextualSpacing w:val="0"/>
              <w:rPr>
                <w:sz w:val="24"/>
                <w:szCs w:val="24"/>
                <w:lang w:val="ro-MO" w:eastAsia="ro-RO"/>
              </w:rPr>
            </w:pPr>
            <w:r w:rsidRPr="0096296D">
              <w:rPr>
                <w:color w:val="000000"/>
                <w:sz w:val="24"/>
                <w:szCs w:val="24"/>
                <w:lang w:val="ro-MO"/>
              </w:rPr>
              <w:t>Proiectul conține o singură prevedere: se propune modificarea art.2 alin.(1) din Legea nr.1353/2000, prin substituirea textului ”terenurilor agricole (denumite în continuare terenuri)” cu textul ”terenurilor agricole și/sau loturilor de pe lângă casă (toate denumite în continuare terenuri)”.</w:t>
            </w:r>
          </w:p>
        </w:tc>
      </w:tr>
      <w:tr w:rsidR="0053548B" w:rsidRPr="0096296D" w:rsidTr="00031608">
        <w:trPr>
          <w:trHeight w:val="25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t>5.</w:t>
            </w:r>
            <w:r w:rsidRPr="0096296D">
              <w:rPr>
                <w:b/>
                <w:sz w:val="24"/>
                <w:szCs w:val="24"/>
                <w:lang w:val="ro-MO" w:eastAsia="ro-RO"/>
              </w:rPr>
              <w:t xml:space="preserve"> Fundamentarea economico-financiară</w:t>
            </w:r>
          </w:p>
        </w:tc>
      </w:tr>
      <w:tr w:rsidR="0053548B" w:rsidRPr="0096296D" w:rsidTr="00031608">
        <w:trPr>
          <w:trHeight w:val="90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3548B" w:rsidRPr="0096296D" w:rsidRDefault="0053548B" w:rsidP="00031608">
            <w:pPr>
              <w:ind w:left="27" w:right="144" w:firstLine="477"/>
              <w:rPr>
                <w:sz w:val="24"/>
                <w:szCs w:val="24"/>
                <w:lang w:val="ro-MO" w:eastAsia="ro-RO"/>
              </w:rPr>
            </w:pPr>
            <w:r w:rsidRPr="0096296D">
              <w:rPr>
                <w:b/>
                <w:i/>
                <w:sz w:val="24"/>
                <w:szCs w:val="24"/>
                <w:lang w:val="ro-MO" w:eastAsia="ro-RO"/>
              </w:rPr>
              <w:t>Bugetul de stat.</w:t>
            </w:r>
            <w:r w:rsidRPr="0096296D">
              <w:rPr>
                <w:i/>
                <w:sz w:val="24"/>
                <w:szCs w:val="24"/>
                <w:lang w:val="ro-MO" w:eastAsia="ro-RO"/>
              </w:rPr>
              <w:t xml:space="preserve"> </w:t>
            </w:r>
            <w:r w:rsidRPr="0096296D">
              <w:rPr>
                <w:sz w:val="24"/>
                <w:szCs w:val="24"/>
                <w:lang w:val="ro-MO" w:eastAsia="ro-RO"/>
              </w:rPr>
              <w:t>Implementarea proiectului de lege nu necesită cheltuieli bugetare.</w:t>
            </w:r>
          </w:p>
          <w:p w:rsidR="0053548B" w:rsidRPr="0096296D" w:rsidRDefault="0053548B" w:rsidP="00031608">
            <w:pPr>
              <w:tabs>
                <w:tab w:val="left" w:pos="876"/>
              </w:tabs>
              <w:ind w:right="144" w:firstLine="514"/>
              <w:rPr>
                <w:sz w:val="24"/>
                <w:szCs w:val="24"/>
                <w:lang w:val="ro-MO" w:eastAsia="ro-RO"/>
              </w:rPr>
            </w:pPr>
            <w:r w:rsidRPr="0096296D">
              <w:rPr>
                <w:b/>
                <w:i/>
                <w:sz w:val="24"/>
                <w:szCs w:val="24"/>
                <w:lang w:val="ro-MO" w:eastAsia="ro-RO"/>
              </w:rPr>
              <w:t>Antreprenorii.</w:t>
            </w:r>
            <w:r w:rsidRPr="0096296D">
              <w:rPr>
                <w:sz w:val="24"/>
                <w:szCs w:val="24"/>
                <w:lang w:val="ro-MO" w:eastAsia="ro-RO"/>
              </w:rPr>
              <w:t xml:space="preserve"> Proiectul nu comportă cheltuieli suplimentare sau costuri de conformare. Beneficiile potențiale cuprind economiile </w:t>
            </w:r>
            <w:r w:rsidRPr="0096296D">
              <w:rPr>
                <w:sz w:val="24"/>
                <w:szCs w:val="24"/>
                <w:lang w:val="ro-MO"/>
              </w:rPr>
              <w:t>rezultate din anularea obligației de a deține (i.e. procura) teren agricol (în lipsa acestuia), precum și a cheltuielilor aferente procurării respective</w:t>
            </w:r>
            <w:r w:rsidRPr="0096296D">
              <w:rPr>
                <w:color w:val="000000"/>
                <w:sz w:val="24"/>
                <w:szCs w:val="24"/>
                <w:lang w:val="ro-MO"/>
              </w:rPr>
              <w:t>.</w:t>
            </w:r>
          </w:p>
        </w:tc>
      </w:tr>
      <w:tr w:rsidR="0053548B" w:rsidRPr="0096296D" w:rsidTr="00031608">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lastRenderedPageBreak/>
              <w:t>6.</w:t>
            </w:r>
            <w:r w:rsidRPr="0096296D">
              <w:rPr>
                <w:b/>
                <w:sz w:val="24"/>
                <w:szCs w:val="24"/>
                <w:lang w:val="ro-MO" w:eastAsia="ro-RO"/>
              </w:rPr>
              <w:t xml:space="preserve"> Modul de încorporare a actului în cadrul normativ în vigoare </w:t>
            </w:r>
          </w:p>
        </w:tc>
      </w:tr>
      <w:tr w:rsidR="0053548B" w:rsidRPr="0096296D" w:rsidTr="00031608">
        <w:trPr>
          <w:trHeight w:val="22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3548B" w:rsidRDefault="0096296D" w:rsidP="0096296D">
            <w:pPr>
              <w:rPr>
                <w:sz w:val="24"/>
                <w:szCs w:val="24"/>
              </w:rPr>
            </w:pPr>
            <w:r w:rsidRPr="0096296D">
              <w:rPr>
                <w:sz w:val="24"/>
                <w:szCs w:val="24"/>
              </w:rPr>
              <w:t>Prin proiectul legii se propune o singură modificare la Legea nr.1353/2000. Textul modificării este expus în pct.4 mai sus.</w:t>
            </w:r>
          </w:p>
          <w:p w:rsidR="0096296D" w:rsidRPr="0096296D" w:rsidRDefault="0096296D" w:rsidP="0096296D">
            <w:pPr>
              <w:rPr>
                <w:b/>
                <w:lang w:val="ro-MO"/>
              </w:rPr>
            </w:pPr>
          </w:p>
        </w:tc>
      </w:tr>
      <w:tr w:rsidR="0053548B" w:rsidRPr="0096296D" w:rsidTr="00031608">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t>7.</w:t>
            </w:r>
            <w:r w:rsidRPr="0096296D">
              <w:rPr>
                <w:b/>
                <w:sz w:val="24"/>
                <w:szCs w:val="24"/>
                <w:lang w:val="ro-MO" w:eastAsia="ro-RO"/>
              </w:rPr>
              <w:t xml:space="preserve"> Avizarea şi consultarea publică a proiectului </w:t>
            </w:r>
          </w:p>
        </w:tc>
      </w:tr>
      <w:tr w:rsidR="0053548B" w:rsidRPr="0096296D" w:rsidTr="00031608">
        <w:trPr>
          <w:trHeight w:val="68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296D" w:rsidRPr="0096296D" w:rsidRDefault="0053548B" w:rsidP="00D62F71">
            <w:pPr>
              <w:ind w:left="27" w:right="144" w:firstLine="617"/>
              <w:rPr>
                <w:sz w:val="24"/>
                <w:szCs w:val="24"/>
                <w:lang w:val="ro-MO" w:eastAsia="ro-RO"/>
              </w:rPr>
            </w:pPr>
            <w:r w:rsidRPr="0096296D">
              <w:rPr>
                <w:sz w:val="24"/>
                <w:szCs w:val="24"/>
                <w:lang w:val="ro-MO"/>
              </w:rPr>
              <w:t xml:space="preserve">În scopul respectării prevederilor </w:t>
            </w:r>
            <w:r w:rsidR="00ED78D8" w:rsidRPr="0096296D">
              <w:rPr>
                <w:sz w:val="24"/>
                <w:szCs w:val="24"/>
                <w:lang w:val="ro-MO"/>
              </w:rPr>
              <w:t>Legii nr.100/2017 cu privire la actele normative</w:t>
            </w:r>
            <w:r w:rsidR="00550E46" w:rsidRPr="0096296D">
              <w:rPr>
                <w:sz w:val="24"/>
                <w:szCs w:val="24"/>
                <w:lang w:val="ro-MO"/>
              </w:rPr>
              <w:t xml:space="preserve"> şi ale </w:t>
            </w:r>
            <w:r w:rsidRPr="0096296D">
              <w:rPr>
                <w:sz w:val="24"/>
                <w:szCs w:val="24"/>
                <w:lang w:val="ro-MO"/>
              </w:rPr>
              <w:t xml:space="preserve">Legii nr.239/2008 privind transparenţa în procesul decizional, anunțul privind </w:t>
            </w:r>
            <w:r w:rsidR="00ED78D8" w:rsidRPr="0096296D">
              <w:rPr>
                <w:sz w:val="24"/>
                <w:szCs w:val="24"/>
                <w:lang w:val="ro-MO"/>
              </w:rPr>
              <w:t xml:space="preserve">consultările publice a </w:t>
            </w:r>
            <w:r w:rsidRPr="0096296D">
              <w:rPr>
                <w:sz w:val="24"/>
                <w:szCs w:val="24"/>
                <w:lang w:val="ro-MO"/>
              </w:rPr>
              <w:t>proiectului legii va fi plasat pe pagina web a Cancelariei de stat (</w:t>
            </w:r>
            <w:hyperlink r:id="rId6" w:history="1">
              <w:r w:rsidRPr="0096296D">
                <w:rPr>
                  <w:rStyle w:val="Hyperlink"/>
                  <w:i/>
                  <w:sz w:val="24"/>
                  <w:szCs w:val="24"/>
                  <w:lang w:val="ro-MO"/>
                </w:rPr>
                <w:t>www.particip.gov.md</w:t>
              </w:r>
            </w:hyperlink>
            <w:r w:rsidRPr="0096296D">
              <w:rPr>
                <w:sz w:val="24"/>
                <w:szCs w:val="24"/>
                <w:lang w:val="ro-MO"/>
              </w:rPr>
              <w:t xml:space="preserve">) și pe pagina web oficială a MEI </w:t>
            </w:r>
            <w:r w:rsidRPr="0096296D">
              <w:rPr>
                <w:i/>
                <w:sz w:val="24"/>
                <w:szCs w:val="24"/>
                <w:lang w:val="ro-MO"/>
              </w:rPr>
              <w:t>(</w:t>
            </w:r>
            <w:hyperlink r:id="rId7" w:history="1">
              <w:r w:rsidRPr="0096296D">
                <w:rPr>
                  <w:rStyle w:val="Hyperlink"/>
                  <w:i/>
                  <w:sz w:val="24"/>
                  <w:szCs w:val="24"/>
                  <w:lang w:val="ro-MO"/>
                </w:rPr>
                <w:t>www.mei.gov.md</w:t>
              </w:r>
            </w:hyperlink>
            <w:r w:rsidRPr="0096296D">
              <w:rPr>
                <w:i/>
                <w:sz w:val="24"/>
                <w:szCs w:val="24"/>
                <w:lang w:val="ro-MO"/>
              </w:rPr>
              <w:t>)</w:t>
            </w:r>
            <w:r w:rsidRPr="0096296D">
              <w:rPr>
                <w:sz w:val="24"/>
                <w:szCs w:val="24"/>
                <w:lang w:val="ro-MO"/>
              </w:rPr>
              <w:t xml:space="preserve">, în compartimentul ”Transparenţa decizională”, directoriul ”Anunțuri privind </w:t>
            </w:r>
            <w:r w:rsidR="00ED78D8" w:rsidRPr="0096296D">
              <w:rPr>
                <w:sz w:val="24"/>
                <w:szCs w:val="24"/>
                <w:lang w:val="ro-MO"/>
              </w:rPr>
              <w:t>consultările publice</w:t>
            </w:r>
            <w:r w:rsidRPr="0096296D">
              <w:rPr>
                <w:sz w:val="24"/>
                <w:szCs w:val="24"/>
                <w:lang w:val="ro-MO"/>
              </w:rPr>
              <w:t>”.</w:t>
            </w:r>
            <w:r w:rsidRPr="0096296D">
              <w:rPr>
                <w:sz w:val="24"/>
                <w:szCs w:val="24"/>
                <w:lang w:val="ro-MO" w:eastAsia="ro-RO"/>
              </w:rPr>
              <w:t xml:space="preserve"> </w:t>
            </w:r>
          </w:p>
        </w:tc>
      </w:tr>
      <w:tr w:rsidR="0053548B" w:rsidRPr="0096296D" w:rsidTr="00031608">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t>8.</w:t>
            </w:r>
            <w:r w:rsidRPr="0096296D">
              <w:rPr>
                <w:b/>
                <w:sz w:val="24"/>
                <w:szCs w:val="24"/>
                <w:lang w:val="ro-MO" w:eastAsia="ro-RO"/>
              </w:rPr>
              <w:t xml:space="preserve"> Constatările expertizei anticorupţie</w:t>
            </w:r>
          </w:p>
        </w:tc>
      </w:tr>
      <w:tr w:rsidR="0053548B" w:rsidRPr="0096296D" w:rsidTr="00031608">
        <w:trPr>
          <w:trHeight w:val="462"/>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3548B" w:rsidRPr="0096296D" w:rsidRDefault="0053548B" w:rsidP="00031608">
            <w:pPr>
              <w:ind w:left="27" w:right="144" w:firstLine="477"/>
              <w:rPr>
                <w:sz w:val="24"/>
                <w:szCs w:val="24"/>
                <w:lang w:val="ro-MO" w:eastAsia="ro-RO"/>
              </w:rPr>
            </w:pPr>
            <w:r w:rsidRPr="0096296D">
              <w:rPr>
                <w:sz w:val="24"/>
                <w:szCs w:val="24"/>
                <w:lang w:val="ro-MO" w:eastAsia="ro-RO"/>
              </w:rPr>
              <w:t>Proiectul de lege urmează a fi supus expertizei anticorupție în procesul desfășurării procesului de avizare. Informaţia privind rezultatele expertizei anticorupţie va fi inclusă după recepţionarea raportului de expertiză anticorupţie.</w:t>
            </w:r>
          </w:p>
        </w:tc>
      </w:tr>
      <w:tr w:rsidR="0053548B" w:rsidRPr="0096296D" w:rsidTr="00031608">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t>9.</w:t>
            </w:r>
            <w:r w:rsidRPr="0096296D">
              <w:rPr>
                <w:b/>
                <w:sz w:val="24"/>
                <w:szCs w:val="24"/>
                <w:lang w:val="ro-MO" w:eastAsia="ro-RO"/>
              </w:rPr>
              <w:t xml:space="preserve"> Constatările expertizei de compatibilitate</w:t>
            </w:r>
          </w:p>
        </w:tc>
      </w:tr>
      <w:tr w:rsidR="0053548B" w:rsidRPr="0096296D" w:rsidTr="00031608">
        <w:trPr>
          <w:trHeight w:val="4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3548B" w:rsidRPr="0096296D" w:rsidRDefault="0053548B" w:rsidP="00031608">
            <w:pPr>
              <w:ind w:left="27" w:right="144" w:firstLine="477"/>
              <w:rPr>
                <w:sz w:val="24"/>
                <w:szCs w:val="24"/>
                <w:lang w:val="ro-MO" w:eastAsia="ro-RO"/>
              </w:rPr>
            </w:pPr>
            <w:r w:rsidRPr="0096296D">
              <w:rPr>
                <w:sz w:val="24"/>
                <w:szCs w:val="24"/>
                <w:lang w:val="ro-MO" w:eastAsia="ro-RO"/>
              </w:rPr>
              <w:t xml:space="preserve">Proiectul de lege nu conține norme privind armonizarea legislației naționale cu legislaţia Uniunii Europene. </w:t>
            </w:r>
          </w:p>
        </w:tc>
      </w:tr>
      <w:tr w:rsidR="0053548B" w:rsidRPr="0096296D" w:rsidTr="00031608">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53548B" w:rsidRPr="0096296D" w:rsidRDefault="0053548B" w:rsidP="00031608">
            <w:pPr>
              <w:spacing w:after="120"/>
              <w:ind w:left="167" w:right="144" w:firstLine="477"/>
              <w:rPr>
                <w:b/>
                <w:sz w:val="24"/>
                <w:szCs w:val="24"/>
                <w:lang w:val="ro-MO" w:eastAsia="ro-RO"/>
              </w:rPr>
            </w:pPr>
            <w:r w:rsidRPr="0096296D">
              <w:rPr>
                <w:b/>
                <w:bCs/>
                <w:sz w:val="24"/>
                <w:szCs w:val="24"/>
                <w:lang w:val="ro-MO" w:eastAsia="ro-RO"/>
              </w:rPr>
              <w:t>10.</w:t>
            </w:r>
            <w:r w:rsidRPr="0096296D">
              <w:rPr>
                <w:b/>
                <w:sz w:val="24"/>
                <w:szCs w:val="24"/>
                <w:lang w:val="ro-MO" w:eastAsia="ro-RO"/>
              </w:rPr>
              <w:t xml:space="preserve"> Constatările expertizei juridice</w:t>
            </w:r>
          </w:p>
        </w:tc>
      </w:tr>
      <w:tr w:rsidR="0053548B" w:rsidRPr="0096296D" w:rsidTr="00031608">
        <w:trPr>
          <w:trHeight w:val="68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3548B" w:rsidRDefault="0053548B" w:rsidP="00031608">
            <w:pPr>
              <w:ind w:left="27" w:right="144" w:firstLine="617"/>
              <w:rPr>
                <w:sz w:val="24"/>
                <w:szCs w:val="24"/>
                <w:lang w:val="ro-MO" w:eastAsia="ro-RO"/>
              </w:rPr>
            </w:pPr>
            <w:r w:rsidRPr="0096296D">
              <w:rPr>
                <w:sz w:val="24"/>
                <w:szCs w:val="24"/>
                <w:lang w:val="ro-MO" w:eastAsia="ro-RO"/>
              </w:rPr>
              <w:t>Proiectul de lege urmează a fi supus expertizei juridice în procesul desfășurării procesului de avizare. Informaţia referitoare la concluziile expertizei privind compatibilitatea proiectului cu alte acte normative în vigoare, precum şi respectarea normelor de tehnică legislativă va fi inclusă după recepţionarea avizului Ministerului Justiției.</w:t>
            </w:r>
          </w:p>
          <w:p w:rsidR="0096296D" w:rsidRPr="0096296D" w:rsidRDefault="0096296D" w:rsidP="00031608">
            <w:pPr>
              <w:ind w:left="27" w:right="144" w:firstLine="617"/>
              <w:rPr>
                <w:sz w:val="24"/>
                <w:szCs w:val="24"/>
                <w:lang w:val="ro-MO" w:eastAsia="ro-RO"/>
              </w:rPr>
            </w:pPr>
          </w:p>
        </w:tc>
      </w:tr>
      <w:tr w:rsidR="0053548B" w:rsidRPr="0096296D" w:rsidTr="00031608">
        <w:trPr>
          <w:trHeight w:val="31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53548B" w:rsidRPr="0096296D" w:rsidRDefault="0053548B" w:rsidP="00031608">
            <w:pPr>
              <w:spacing w:after="120"/>
              <w:ind w:left="167" w:right="144" w:firstLine="477"/>
              <w:rPr>
                <w:sz w:val="24"/>
                <w:szCs w:val="24"/>
                <w:lang w:val="ro-MO" w:eastAsia="ro-RO"/>
              </w:rPr>
            </w:pPr>
            <w:r w:rsidRPr="0096296D">
              <w:rPr>
                <w:b/>
                <w:bCs/>
                <w:sz w:val="24"/>
                <w:szCs w:val="24"/>
                <w:lang w:val="ro-MO" w:eastAsia="ro-RO"/>
              </w:rPr>
              <w:t>11.</w:t>
            </w:r>
            <w:r w:rsidRPr="0096296D">
              <w:rPr>
                <w:b/>
                <w:sz w:val="24"/>
                <w:szCs w:val="24"/>
                <w:lang w:val="ro-MO" w:eastAsia="ro-RO"/>
              </w:rPr>
              <w:t xml:space="preserve"> Constatările altor expertize</w:t>
            </w:r>
          </w:p>
        </w:tc>
      </w:tr>
      <w:tr w:rsidR="0053548B" w:rsidRPr="0096296D" w:rsidTr="00031608">
        <w:trPr>
          <w:trHeight w:val="68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548B" w:rsidRPr="0096296D" w:rsidRDefault="0053548B" w:rsidP="00031608">
            <w:pPr>
              <w:ind w:right="144" w:firstLine="644"/>
              <w:rPr>
                <w:sz w:val="24"/>
                <w:szCs w:val="24"/>
                <w:lang w:val="ro-MO" w:eastAsia="ru-RU"/>
              </w:rPr>
            </w:pPr>
            <w:r w:rsidRPr="0096296D">
              <w:rPr>
                <w:sz w:val="24"/>
                <w:szCs w:val="24"/>
                <w:lang w:val="ro-MO"/>
              </w:rPr>
              <w:t xml:space="preserve">În scopul implementării principiilor transparenţei procesului decizional şi respectării intereselor societăţii şi drepturilor întreprinzătorilor, în conformitate cu Legea nr.235/2006 cu privire la principiile de reglementare a activității de întreprinzător, Legea nr.100/2017 cu privire la actele normative și </w:t>
            </w:r>
            <w:proofErr w:type="spellStart"/>
            <w:r w:rsidRPr="0096296D">
              <w:rPr>
                <w:sz w:val="24"/>
                <w:szCs w:val="24"/>
                <w:lang w:val="ro-MO"/>
              </w:rPr>
              <w:t>Hotărîrea</w:t>
            </w:r>
            <w:proofErr w:type="spellEnd"/>
            <w:r w:rsidRPr="0096296D">
              <w:rPr>
                <w:sz w:val="24"/>
                <w:szCs w:val="24"/>
                <w:lang w:val="ro-MO"/>
              </w:rPr>
              <w:t xml:space="preserve"> Guvernului nr.23/2019 cu privire la aprobarea Metodologiei de analiză a impactului în procesul de fundamentare a proiectelor de acte normative, a fost elaborată analiza impactului a proiectului de lege și remisă Grupului de lucru al Comisiei de stat pentru reglementarea activității de întreprinzător, pentru expertiză. Concluzia expertizei, emisă în data de 02.06.2020, relevă că </w:t>
            </w:r>
            <w:r w:rsidRPr="0096296D">
              <w:rPr>
                <w:sz w:val="24"/>
                <w:szCs w:val="24"/>
                <w:lang w:val="ro-MO" w:eastAsia="ru-RU"/>
              </w:rPr>
              <w:t>Analiza impactului corespunde în mare parte cu cerințele și rigorile Metodologiei de analiză a impactului în procesul de fundamentare a proiectelor de acte normative, și este argumentată oportunitatea/necesitatea intervenției din partea statului.</w:t>
            </w:r>
          </w:p>
          <w:p w:rsidR="0096296D" w:rsidRPr="0096296D" w:rsidRDefault="0053548B" w:rsidP="00D62F71">
            <w:pPr>
              <w:ind w:left="27" w:right="144" w:firstLine="477"/>
              <w:rPr>
                <w:b/>
                <w:bCs/>
                <w:sz w:val="24"/>
                <w:szCs w:val="24"/>
                <w:highlight w:val="yellow"/>
                <w:lang w:val="ro-MO" w:eastAsia="ro-RO"/>
              </w:rPr>
            </w:pPr>
            <w:r w:rsidRPr="0096296D">
              <w:rPr>
                <w:sz w:val="24"/>
                <w:szCs w:val="24"/>
                <w:lang w:val="ro-MO"/>
              </w:rPr>
              <w:t>Luând act de concluzia expertizei și urmare opiniilor exprimate în scris, în cadrul ședinței Grupului de lucru al Comisiei de stat pentru reglementarea activității de întreprinzător prin corespondență din 02.06.2020, potrivit procesului-verbal nr.17 al şedinţei a fost susținută Analiza impactului de reglementare la proiectul de lege pentru modificarea art.2 din Legea nr.1353/2000 privind gospodăriile țărănești (de fermier) cu condiția luării în considerare a obiecțiilor și recomandărilor expertului Secretariatului Evaluării Impactului de Reglementare și a membrilor Grupului de lucru al Comisiei de stat pentru reglementarea activității de întreprinzător.</w:t>
            </w:r>
          </w:p>
        </w:tc>
      </w:tr>
    </w:tbl>
    <w:p w:rsidR="00D62F71" w:rsidRDefault="00D62F71" w:rsidP="0053548B">
      <w:pPr>
        <w:rPr>
          <w:b/>
          <w:sz w:val="28"/>
          <w:szCs w:val="28"/>
          <w:lang w:val="ro-MO" w:eastAsia="ru-RU"/>
        </w:rPr>
      </w:pPr>
    </w:p>
    <w:p w:rsidR="0053548B" w:rsidRDefault="0053548B" w:rsidP="0053548B">
      <w:pPr>
        <w:rPr>
          <w:b/>
          <w:sz w:val="28"/>
          <w:szCs w:val="28"/>
          <w:lang w:val="ro-MO" w:eastAsia="ru-RU"/>
        </w:rPr>
      </w:pPr>
      <w:r w:rsidRPr="0096296D">
        <w:rPr>
          <w:b/>
          <w:sz w:val="28"/>
          <w:szCs w:val="28"/>
          <w:lang w:val="ro-MO" w:eastAsia="ru-RU"/>
        </w:rPr>
        <w:t xml:space="preserve">Secretar de Stat </w:t>
      </w:r>
      <w:r w:rsidRPr="0096296D">
        <w:rPr>
          <w:b/>
          <w:sz w:val="28"/>
          <w:szCs w:val="28"/>
          <w:lang w:val="ro-MO" w:eastAsia="ru-RU"/>
        </w:rPr>
        <w:tab/>
      </w:r>
      <w:r w:rsidRPr="0096296D">
        <w:rPr>
          <w:b/>
          <w:sz w:val="28"/>
          <w:szCs w:val="28"/>
          <w:lang w:val="ro-MO" w:eastAsia="ru-RU"/>
        </w:rPr>
        <w:tab/>
      </w:r>
      <w:r w:rsidRPr="0096296D">
        <w:rPr>
          <w:i/>
          <w:sz w:val="28"/>
          <w:szCs w:val="28"/>
          <w:lang w:val="ro-MO" w:eastAsia="ru-RU"/>
        </w:rPr>
        <w:t xml:space="preserve">(semnat electronic) </w:t>
      </w:r>
      <w:r w:rsidRPr="0096296D">
        <w:rPr>
          <w:i/>
          <w:sz w:val="28"/>
          <w:szCs w:val="28"/>
          <w:lang w:val="ro-MO" w:eastAsia="ru-RU"/>
        </w:rPr>
        <w:tab/>
      </w:r>
      <w:r w:rsidRPr="0096296D">
        <w:rPr>
          <w:b/>
          <w:sz w:val="28"/>
          <w:szCs w:val="28"/>
          <w:lang w:val="ro-MO" w:eastAsia="ru-RU"/>
        </w:rPr>
        <w:t>Lilia PALII</w:t>
      </w:r>
    </w:p>
    <w:p w:rsidR="00C160EB" w:rsidRDefault="00C160EB" w:rsidP="0053548B">
      <w:pPr>
        <w:rPr>
          <w:b/>
          <w:sz w:val="28"/>
          <w:szCs w:val="28"/>
          <w:lang w:val="ro-MO" w:eastAsia="ru-RU"/>
        </w:rPr>
      </w:pPr>
    </w:p>
    <w:p w:rsidR="00C160EB" w:rsidRDefault="00C160EB" w:rsidP="0053548B">
      <w:pPr>
        <w:rPr>
          <w:b/>
          <w:sz w:val="28"/>
          <w:szCs w:val="28"/>
          <w:lang w:val="ro-MO" w:eastAsia="ru-RU"/>
        </w:rPr>
      </w:pPr>
    </w:p>
    <w:p w:rsidR="00C160EB" w:rsidRDefault="00C160EB" w:rsidP="0053548B">
      <w:pPr>
        <w:rPr>
          <w:b/>
          <w:sz w:val="28"/>
          <w:szCs w:val="28"/>
          <w:lang w:val="ro-MO" w:eastAsia="ru-RU"/>
        </w:rPr>
      </w:pPr>
    </w:p>
    <w:p w:rsidR="00C160EB" w:rsidRDefault="00C160EB" w:rsidP="0053548B">
      <w:pPr>
        <w:rPr>
          <w:b/>
          <w:sz w:val="28"/>
          <w:szCs w:val="28"/>
          <w:lang w:val="ro-MO" w:eastAsia="ru-RU"/>
        </w:rPr>
      </w:pPr>
      <w:bookmarkStart w:id="0" w:name="_GoBack"/>
      <w:bookmarkEnd w:id="0"/>
    </w:p>
    <w:sectPr w:rsidR="00C160EB" w:rsidSect="001635DF">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5C1FC7"/>
    <w:multiLevelType w:val="hybridMultilevel"/>
    <w:tmpl w:val="08F62B4E"/>
    <w:lvl w:ilvl="0" w:tplc="223A4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D0003"/>
    <w:multiLevelType w:val="hybridMultilevel"/>
    <w:tmpl w:val="931E6EBA"/>
    <w:lvl w:ilvl="0" w:tplc="37205724">
      <w:start w:val="1"/>
      <w:numFmt w:val="lowerLetter"/>
      <w:lvlText w:val="%1)"/>
      <w:lvlJc w:val="left"/>
      <w:pPr>
        <w:ind w:left="1722" w:hanging="36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7">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744F5D"/>
    <w:multiLevelType w:val="hybridMultilevel"/>
    <w:tmpl w:val="D1DC7DBE"/>
    <w:lvl w:ilvl="0" w:tplc="D512CD76">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63534390"/>
    <w:multiLevelType w:val="hybridMultilevel"/>
    <w:tmpl w:val="236EAE60"/>
    <w:lvl w:ilvl="0" w:tplc="EB548072">
      <w:start w:val="2"/>
      <w:numFmt w:val="bullet"/>
      <w:lvlText w:val="-"/>
      <w:lvlJc w:val="left"/>
      <w:pPr>
        <w:ind w:left="953" w:hanging="360"/>
      </w:pPr>
      <w:rPr>
        <w:rFonts w:ascii="Times New Roman" w:eastAsiaTheme="minorHAnsi" w:hAnsi="Times New Roman" w:cs="Times New Roman" w:hint="default"/>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14">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78937424"/>
    <w:multiLevelType w:val="hybridMultilevel"/>
    <w:tmpl w:val="321CD6DE"/>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7A0F7744"/>
    <w:multiLevelType w:val="hybridMultilevel"/>
    <w:tmpl w:val="679A1A68"/>
    <w:lvl w:ilvl="0" w:tplc="5D1A2096">
      <w:start w:val="1"/>
      <w:numFmt w:val="lowerRoman"/>
      <w:lvlText w:val="(%1)"/>
      <w:lvlJc w:val="left"/>
      <w:pPr>
        <w:ind w:left="2082" w:hanging="72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17">
    <w:nsid w:val="7DAA3097"/>
    <w:multiLevelType w:val="hybridMultilevel"/>
    <w:tmpl w:val="346C9072"/>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5"/>
  </w:num>
  <w:num w:numId="2">
    <w:abstractNumId w:val="0"/>
  </w:num>
  <w:num w:numId="3">
    <w:abstractNumId w:val="4"/>
  </w:num>
  <w:num w:numId="4">
    <w:abstractNumId w:val="2"/>
  </w:num>
  <w:num w:numId="5">
    <w:abstractNumId w:val="9"/>
  </w:num>
  <w:num w:numId="6">
    <w:abstractNumId w:val="7"/>
  </w:num>
  <w:num w:numId="7">
    <w:abstractNumId w:val="17"/>
  </w:num>
  <w:num w:numId="8">
    <w:abstractNumId w:val="14"/>
  </w:num>
  <w:num w:numId="9">
    <w:abstractNumId w:val="1"/>
  </w:num>
  <w:num w:numId="10">
    <w:abstractNumId w:val="8"/>
  </w:num>
  <w:num w:numId="11">
    <w:abstractNumId w:val="15"/>
  </w:num>
  <w:num w:numId="12">
    <w:abstractNumId w:val="10"/>
  </w:num>
  <w:num w:numId="13">
    <w:abstractNumId w:val="16"/>
  </w:num>
  <w:num w:numId="14">
    <w:abstractNumId w:val="6"/>
  </w:num>
  <w:num w:numId="15">
    <w:abstractNumId w:val="11"/>
  </w:num>
  <w:num w:numId="16">
    <w:abstractNumId w:val="3"/>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9D"/>
    <w:rsid w:val="0000293E"/>
    <w:rsid w:val="000300AD"/>
    <w:rsid w:val="0004403D"/>
    <w:rsid w:val="0005545F"/>
    <w:rsid w:val="00071BE4"/>
    <w:rsid w:val="000728E6"/>
    <w:rsid w:val="00085DA8"/>
    <w:rsid w:val="000C7FB0"/>
    <w:rsid w:val="000F0864"/>
    <w:rsid w:val="00117D18"/>
    <w:rsid w:val="001635DF"/>
    <w:rsid w:val="001B0287"/>
    <w:rsid w:val="001C3B75"/>
    <w:rsid w:val="001F1D9D"/>
    <w:rsid w:val="001F4047"/>
    <w:rsid w:val="001F5EDB"/>
    <w:rsid w:val="0020738C"/>
    <w:rsid w:val="00251304"/>
    <w:rsid w:val="00257324"/>
    <w:rsid w:val="0028583B"/>
    <w:rsid w:val="00290007"/>
    <w:rsid w:val="00290C25"/>
    <w:rsid w:val="002A37D3"/>
    <w:rsid w:val="002B7549"/>
    <w:rsid w:val="0032122F"/>
    <w:rsid w:val="00331749"/>
    <w:rsid w:val="0037010E"/>
    <w:rsid w:val="00383C9B"/>
    <w:rsid w:val="0038643B"/>
    <w:rsid w:val="003873EC"/>
    <w:rsid w:val="003C5979"/>
    <w:rsid w:val="003C77EC"/>
    <w:rsid w:val="003E3896"/>
    <w:rsid w:val="003E6D79"/>
    <w:rsid w:val="0040226F"/>
    <w:rsid w:val="0041357E"/>
    <w:rsid w:val="00472941"/>
    <w:rsid w:val="00475FC3"/>
    <w:rsid w:val="004770E8"/>
    <w:rsid w:val="00492074"/>
    <w:rsid w:val="00494272"/>
    <w:rsid w:val="004C1D6B"/>
    <w:rsid w:val="004D1277"/>
    <w:rsid w:val="004D7E15"/>
    <w:rsid w:val="0053548B"/>
    <w:rsid w:val="00550E46"/>
    <w:rsid w:val="00551D70"/>
    <w:rsid w:val="005B3849"/>
    <w:rsid w:val="005E2514"/>
    <w:rsid w:val="005E369F"/>
    <w:rsid w:val="005E4162"/>
    <w:rsid w:val="005F5524"/>
    <w:rsid w:val="006465F6"/>
    <w:rsid w:val="00664E2C"/>
    <w:rsid w:val="006B099C"/>
    <w:rsid w:val="006E0759"/>
    <w:rsid w:val="006F5922"/>
    <w:rsid w:val="00712C5A"/>
    <w:rsid w:val="00723F69"/>
    <w:rsid w:val="00731771"/>
    <w:rsid w:val="00737C8D"/>
    <w:rsid w:val="00793B24"/>
    <w:rsid w:val="007A0FD8"/>
    <w:rsid w:val="007E2648"/>
    <w:rsid w:val="007F3CA0"/>
    <w:rsid w:val="00831F9F"/>
    <w:rsid w:val="00832AB9"/>
    <w:rsid w:val="00835648"/>
    <w:rsid w:val="008475BA"/>
    <w:rsid w:val="008714A3"/>
    <w:rsid w:val="0087563A"/>
    <w:rsid w:val="00891057"/>
    <w:rsid w:val="0096296D"/>
    <w:rsid w:val="00975000"/>
    <w:rsid w:val="009762AD"/>
    <w:rsid w:val="009B7820"/>
    <w:rsid w:val="009C4313"/>
    <w:rsid w:val="009D36DF"/>
    <w:rsid w:val="009E1C9A"/>
    <w:rsid w:val="009F3E51"/>
    <w:rsid w:val="009F3FEF"/>
    <w:rsid w:val="00A01838"/>
    <w:rsid w:val="00A30C84"/>
    <w:rsid w:val="00A503AA"/>
    <w:rsid w:val="00A604AD"/>
    <w:rsid w:val="00A77B5F"/>
    <w:rsid w:val="00A810A8"/>
    <w:rsid w:val="00AD2D8E"/>
    <w:rsid w:val="00AD61DE"/>
    <w:rsid w:val="00B23425"/>
    <w:rsid w:val="00B2647E"/>
    <w:rsid w:val="00B32AAB"/>
    <w:rsid w:val="00B36759"/>
    <w:rsid w:val="00B56545"/>
    <w:rsid w:val="00B615DB"/>
    <w:rsid w:val="00B634A5"/>
    <w:rsid w:val="00B748DE"/>
    <w:rsid w:val="00B878E7"/>
    <w:rsid w:val="00B93D35"/>
    <w:rsid w:val="00BC29C2"/>
    <w:rsid w:val="00BD7493"/>
    <w:rsid w:val="00BE5002"/>
    <w:rsid w:val="00BF0F22"/>
    <w:rsid w:val="00C160EB"/>
    <w:rsid w:val="00C31CEF"/>
    <w:rsid w:val="00C363DC"/>
    <w:rsid w:val="00C42D2E"/>
    <w:rsid w:val="00C53839"/>
    <w:rsid w:val="00C53B87"/>
    <w:rsid w:val="00C91081"/>
    <w:rsid w:val="00CD35B4"/>
    <w:rsid w:val="00CF1672"/>
    <w:rsid w:val="00D2135F"/>
    <w:rsid w:val="00D40EBE"/>
    <w:rsid w:val="00D62F71"/>
    <w:rsid w:val="00D76D86"/>
    <w:rsid w:val="00D87B81"/>
    <w:rsid w:val="00DB0E88"/>
    <w:rsid w:val="00DD3BA9"/>
    <w:rsid w:val="00E04087"/>
    <w:rsid w:val="00E0598E"/>
    <w:rsid w:val="00E45D98"/>
    <w:rsid w:val="00E47D0B"/>
    <w:rsid w:val="00E54E3E"/>
    <w:rsid w:val="00E879F2"/>
    <w:rsid w:val="00E9560B"/>
    <w:rsid w:val="00EB1E8A"/>
    <w:rsid w:val="00EC667F"/>
    <w:rsid w:val="00ED78D8"/>
    <w:rsid w:val="00EF7860"/>
    <w:rsid w:val="00F24ABC"/>
    <w:rsid w:val="00F25013"/>
    <w:rsid w:val="00F45AC8"/>
    <w:rsid w:val="00F45FCC"/>
    <w:rsid w:val="00F4718D"/>
    <w:rsid w:val="00F533D2"/>
    <w:rsid w:val="00F7046A"/>
    <w:rsid w:val="00F70B71"/>
    <w:rsid w:val="00FF17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6F"/>
    <w:pPr>
      <w:spacing w:after="0" w:line="240" w:lineRule="auto"/>
      <w:ind w:firstLine="720"/>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26F"/>
    <w:rPr>
      <w:color w:val="0000FF"/>
      <w:u w:val="single"/>
    </w:rPr>
  </w:style>
  <w:style w:type="table" w:styleId="TableGrid">
    <w:name w:val="Table Grid"/>
    <w:basedOn w:val="TableNormal"/>
    <w:uiPriority w:val="39"/>
    <w:rsid w:val="004022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9D36DF"/>
    <w:pPr>
      <w:jc w:val="center"/>
    </w:pPr>
    <w:rPr>
      <w:b/>
      <w:bCs/>
      <w:sz w:val="24"/>
      <w:szCs w:val="24"/>
      <w:lang w:val="en-US" w:eastAsia="en-GB"/>
    </w:rPr>
  </w:style>
  <w:style w:type="paragraph" w:styleId="ListParagraph">
    <w:name w:val="List Paragraph"/>
    <w:aliases w:val="List Paragraph 1,Scriptoria bullet points,HotarirePunct1"/>
    <w:basedOn w:val="Normal"/>
    <w:link w:val="ListParagraphChar"/>
    <w:uiPriority w:val="99"/>
    <w:qFormat/>
    <w:rsid w:val="009D36DF"/>
    <w:pPr>
      <w:ind w:left="720"/>
      <w:contextualSpacing/>
    </w:pPr>
    <w:rPr>
      <w:lang w:val="en-US"/>
    </w:rPr>
  </w:style>
  <w:style w:type="character" w:customStyle="1" w:styleId="ListParagraphChar">
    <w:name w:val="List Paragraph Char"/>
    <w:aliases w:val="List Paragraph 1 Char,Scriptoria bullet points Char,HotarirePunct1 Char"/>
    <w:link w:val="ListParagraph"/>
    <w:uiPriority w:val="99"/>
    <w:locked/>
    <w:rsid w:val="009D36DF"/>
    <w:rPr>
      <w:rFonts w:ascii="Times New Roman" w:eastAsia="Times New Roman" w:hAnsi="Times New Roman" w:cs="Times New Roman"/>
      <w:sz w:val="20"/>
      <w:szCs w:val="20"/>
      <w:lang w:val="en-US"/>
    </w:rPr>
  </w:style>
  <w:style w:type="character" w:customStyle="1" w:styleId="a">
    <w:name w:val="Основной текст_"/>
    <w:basedOn w:val="DefaultParagraphFont"/>
    <w:link w:val="2"/>
    <w:rsid w:val="00EF7860"/>
    <w:rPr>
      <w:rFonts w:ascii="Times New Roman" w:eastAsia="Times New Roman" w:hAnsi="Times New Roman" w:cs="Times New Roman"/>
      <w:sz w:val="27"/>
      <w:szCs w:val="27"/>
      <w:shd w:val="clear" w:color="auto" w:fill="FFFFFF"/>
    </w:rPr>
  </w:style>
  <w:style w:type="paragraph" w:customStyle="1" w:styleId="2">
    <w:name w:val="Основной текст2"/>
    <w:basedOn w:val="Normal"/>
    <w:link w:val="a"/>
    <w:rsid w:val="00EF7860"/>
    <w:pPr>
      <w:shd w:val="clear" w:color="auto" w:fill="FFFFFF"/>
      <w:spacing w:line="321" w:lineRule="exact"/>
      <w:ind w:firstLine="0"/>
      <w:jc w:val="center"/>
    </w:pPr>
    <w:rPr>
      <w:sz w:val="27"/>
      <w:szCs w:val="27"/>
    </w:rPr>
  </w:style>
  <w:style w:type="paragraph" w:customStyle="1" w:styleId="cb">
    <w:name w:val="cb"/>
    <w:basedOn w:val="Normal"/>
    <w:rsid w:val="0053548B"/>
    <w:pPr>
      <w:ind w:firstLine="0"/>
      <w:jc w:val="center"/>
    </w:pPr>
    <w:rPr>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6F"/>
    <w:pPr>
      <w:spacing w:after="0" w:line="240" w:lineRule="auto"/>
      <w:ind w:firstLine="720"/>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26F"/>
    <w:rPr>
      <w:color w:val="0000FF"/>
      <w:u w:val="single"/>
    </w:rPr>
  </w:style>
  <w:style w:type="table" w:styleId="TableGrid">
    <w:name w:val="Table Grid"/>
    <w:basedOn w:val="TableNormal"/>
    <w:uiPriority w:val="39"/>
    <w:rsid w:val="004022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9D36DF"/>
    <w:pPr>
      <w:jc w:val="center"/>
    </w:pPr>
    <w:rPr>
      <w:b/>
      <w:bCs/>
      <w:sz w:val="24"/>
      <w:szCs w:val="24"/>
      <w:lang w:val="en-US" w:eastAsia="en-GB"/>
    </w:rPr>
  </w:style>
  <w:style w:type="paragraph" w:styleId="ListParagraph">
    <w:name w:val="List Paragraph"/>
    <w:aliases w:val="List Paragraph 1,Scriptoria bullet points,HotarirePunct1"/>
    <w:basedOn w:val="Normal"/>
    <w:link w:val="ListParagraphChar"/>
    <w:uiPriority w:val="99"/>
    <w:qFormat/>
    <w:rsid w:val="009D36DF"/>
    <w:pPr>
      <w:ind w:left="720"/>
      <w:contextualSpacing/>
    </w:pPr>
    <w:rPr>
      <w:lang w:val="en-US"/>
    </w:rPr>
  </w:style>
  <w:style w:type="character" w:customStyle="1" w:styleId="ListParagraphChar">
    <w:name w:val="List Paragraph Char"/>
    <w:aliases w:val="List Paragraph 1 Char,Scriptoria bullet points Char,HotarirePunct1 Char"/>
    <w:link w:val="ListParagraph"/>
    <w:uiPriority w:val="99"/>
    <w:locked/>
    <w:rsid w:val="009D36DF"/>
    <w:rPr>
      <w:rFonts w:ascii="Times New Roman" w:eastAsia="Times New Roman" w:hAnsi="Times New Roman" w:cs="Times New Roman"/>
      <w:sz w:val="20"/>
      <w:szCs w:val="20"/>
      <w:lang w:val="en-US"/>
    </w:rPr>
  </w:style>
  <w:style w:type="character" w:customStyle="1" w:styleId="a">
    <w:name w:val="Основной текст_"/>
    <w:basedOn w:val="DefaultParagraphFont"/>
    <w:link w:val="2"/>
    <w:rsid w:val="00EF7860"/>
    <w:rPr>
      <w:rFonts w:ascii="Times New Roman" w:eastAsia="Times New Roman" w:hAnsi="Times New Roman" w:cs="Times New Roman"/>
      <w:sz w:val="27"/>
      <w:szCs w:val="27"/>
      <w:shd w:val="clear" w:color="auto" w:fill="FFFFFF"/>
    </w:rPr>
  </w:style>
  <w:style w:type="paragraph" w:customStyle="1" w:styleId="2">
    <w:name w:val="Основной текст2"/>
    <w:basedOn w:val="Normal"/>
    <w:link w:val="a"/>
    <w:rsid w:val="00EF7860"/>
    <w:pPr>
      <w:shd w:val="clear" w:color="auto" w:fill="FFFFFF"/>
      <w:spacing w:line="321" w:lineRule="exact"/>
      <w:ind w:firstLine="0"/>
      <w:jc w:val="center"/>
    </w:pPr>
    <w:rPr>
      <w:sz w:val="27"/>
      <w:szCs w:val="27"/>
    </w:rPr>
  </w:style>
  <w:style w:type="paragraph" w:customStyle="1" w:styleId="cb">
    <w:name w:val="cb"/>
    <w:basedOn w:val="Normal"/>
    <w:rsid w:val="0053548B"/>
    <w:pPr>
      <w:ind w:firstLine="0"/>
      <w:jc w:val="center"/>
    </w:pPr>
    <w:rPr>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i.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1647</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Chiper</dc:creator>
  <cp:lastModifiedBy>Valentina Chiper</cp:lastModifiedBy>
  <cp:revision>5</cp:revision>
  <dcterms:created xsi:type="dcterms:W3CDTF">2020-07-13T10:36:00Z</dcterms:created>
  <dcterms:modified xsi:type="dcterms:W3CDTF">2020-07-13T10:52:00Z</dcterms:modified>
</cp:coreProperties>
</file>