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41" w:rsidRPr="00B2764A" w:rsidRDefault="00E33D41" w:rsidP="00E33D41">
      <w:pPr>
        <w:tabs>
          <w:tab w:val="left" w:pos="884"/>
          <w:tab w:val="left" w:pos="1196"/>
        </w:tabs>
        <w:spacing w:after="0" w:line="240" w:lineRule="auto"/>
        <w:jc w:val="center"/>
        <w:rPr>
          <w:rFonts w:ascii="Times New Roman" w:hAnsi="Times New Roman"/>
          <w:b/>
          <w:sz w:val="24"/>
          <w:szCs w:val="24"/>
          <w:lang w:val="ro-MO"/>
        </w:rPr>
      </w:pPr>
      <w:r w:rsidRPr="00B2764A">
        <w:rPr>
          <w:rFonts w:ascii="Times New Roman" w:hAnsi="Times New Roman"/>
          <w:b/>
          <w:sz w:val="24"/>
          <w:szCs w:val="24"/>
          <w:lang w:val="ro-MO"/>
        </w:rPr>
        <w:t>NOTĂ INFORMATIVĂ</w:t>
      </w:r>
    </w:p>
    <w:p w:rsidR="00E33D41" w:rsidRPr="00212FB9" w:rsidRDefault="00E33D41" w:rsidP="00E33D41">
      <w:pPr>
        <w:tabs>
          <w:tab w:val="left" w:pos="884"/>
          <w:tab w:val="left" w:pos="1196"/>
        </w:tabs>
        <w:spacing w:after="0" w:line="240" w:lineRule="auto"/>
        <w:jc w:val="center"/>
        <w:rPr>
          <w:rFonts w:ascii="Times New Roman" w:hAnsi="Times New Roman"/>
          <w:b/>
          <w:sz w:val="24"/>
          <w:szCs w:val="24"/>
          <w:lang w:val="ro-RO"/>
        </w:rPr>
      </w:pPr>
      <w:r w:rsidRPr="00212FB9">
        <w:rPr>
          <w:rFonts w:ascii="Times New Roman" w:hAnsi="Times New Roman"/>
          <w:b/>
          <w:sz w:val="24"/>
          <w:szCs w:val="24"/>
          <w:lang w:val="ro-MO"/>
        </w:rPr>
        <w:t xml:space="preserve"> </w:t>
      </w:r>
      <w:r w:rsidR="00212FB9" w:rsidRPr="00212FB9">
        <w:rPr>
          <w:rFonts w:ascii="Times New Roman" w:hAnsi="Times New Roman"/>
          <w:b/>
          <w:sz w:val="24"/>
          <w:szCs w:val="24"/>
          <w:lang w:val="ro-RO"/>
        </w:rPr>
        <w:t>la p</w:t>
      </w:r>
      <w:r w:rsidRPr="00212FB9">
        <w:rPr>
          <w:rFonts w:ascii="Times New Roman" w:hAnsi="Times New Roman"/>
          <w:b/>
          <w:sz w:val="24"/>
          <w:szCs w:val="24"/>
          <w:lang w:val="ro-RO"/>
        </w:rPr>
        <w:t>roiectul Hotărârii Guvernului cu privire la aprobarea Planului de admitere la studii</w:t>
      </w:r>
      <w:r w:rsidR="004307B0">
        <w:rPr>
          <w:rFonts w:ascii="Times New Roman" w:hAnsi="Times New Roman"/>
          <w:b/>
          <w:sz w:val="24"/>
          <w:szCs w:val="24"/>
          <w:lang w:val="ro-RO"/>
        </w:rPr>
        <w:t>le</w:t>
      </w:r>
      <w:r w:rsidRPr="00212FB9">
        <w:rPr>
          <w:rFonts w:ascii="Times New Roman" w:hAnsi="Times New Roman"/>
          <w:b/>
          <w:sz w:val="24"/>
          <w:szCs w:val="24"/>
          <w:lang w:val="ro-RO"/>
        </w:rPr>
        <w:t xml:space="preserve"> superioare de doctorat, ciclul III, cu finanțare de la bugetul de stat pentru anul academic 20</w:t>
      </w:r>
      <w:r w:rsidR="00CD4405">
        <w:rPr>
          <w:rFonts w:ascii="Times New Roman" w:hAnsi="Times New Roman"/>
          <w:b/>
          <w:sz w:val="24"/>
          <w:szCs w:val="24"/>
          <w:lang w:val="ro-RO"/>
        </w:rPr>
        <w:t>20</w:t>
      </w:r>
      <w:r w:rsidRPr="00212FB9">
        <w:rPr>
          <w:rFonts w:ascii="Times New Roman" w:hAnsi="Times New Roman"/>
          <w:b/>
          <w:sz w:val="24"/>
          <w:szCs w:val="24"/>
          <w:lang w:val="ro-RO"/>
        </w:rPr>
        <w:t>-202</w:t>
      </w:r>
      <w:r w:rsidR="00CD4405">
        <w:rPr>
          <w:rFonts w:ascii="Times New Roman" w:hAnsi="Times New Roman"/>
          <w:b/>
          <w:sz w:val="24"/>
          <w:szCs w:val="24"/>
          <w:lang w:val="ro-RO"/>
        </w:rPr>
        <w:t>1</w:t>
      </w:r>
    </w:p>
    <w:p w:rsidR="00E33D41" w:rsidRPr="009361B9" w:rsidRDefault="00E33D41" w:rsidP="00E33D41">
      <w:pPr>
        <w:tabs>
          <w:tab w:val="left" w:pos="884"/>
          <w:tab w:val="left" w:pos="1196"/>
        </w:tabs>
        <w:spacing w:after="0" w:line="240" w:lineRule="auto"/>
        <w:jc w:val="center"/>
        <w:rPr>
          <w:rFonts w:ascii="Times New Roman" w:hAnsi="Times New Roman"/>
          <w:b/>
          <w:sz w:val="24"/>
          <w:szCs w:val="24"/>
          <w:vertAlign w:val="superscript"/>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E33D41" w:rsidRPr="001855FC" w:rsidTr="00836BCA">
        <w:trPr>
          <w:trHeight w:val="311"/>
        </w:trPr>
        <w:tc>
          <w:tcPr>
            <w:tcW w:w="5000" w:type="pct"/>
          </w:tcPr>
          <w:p w:rsidR="00E33D41" w:rsidRPr="00A12F32" w:rsidRDefault="00E33D41" w:rsidP="00836BCA">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lang w:val="ro-RO"/>
              </w:rPr>
            </w:pPr>
            <w:r w:rsidRPr="009361B9">
              <w:rPr>
                <w:rFonts w:ascii="Times New Roman" w:hAnsi="Times New Roman"/>
                <w:sz w:val="24"/>
                <w:szCs w:val="24"/>
                <w:lang w:val="ro-MO"/>
              </w:rPr>
              <w:t xml:space="preserve"> </w:t>
            </w:r>
            <w:r w:rsidRPr="00AB0E2B">
              <w:rPr>
                <w:rFonts w:ascii="Times New Roman" w:hAnsi="Times New Roman"/>
                <w:b/>
                <w:sz w:val="24"/>
                <w:szCs w:val="24"/>
                <w:lang w:val="ro-MO"/>
              </w:rPr>
              <w:t>Denumirea autorului şi, după caz, a participanţilor la elaborarea proiectului</w:t>
            </w:r>
          </w:p>
        </w:tc>
      </w:tr>
      <w:tr w:rsidR="00E33D41" w:rsidRPr="00CD4405" w:rsidTr="00A75AE6">
        <w:tc>
          <w:tcPr>
            <w:tcW w:w="5000" w:type="pct"/>
          </w:tcPr>
          <w:p w:rsidR="00E33D41" w:rsidRPr="00416B91" w:rsidRDefault="00836BCA" w:rsidP="00416B91">
            <w:pPr>
              <w:tabs>
                <w:tab w:val="left" w:pos="284"/>
                <w:tab w:val="left" w:pos="1196"/>
              </w:tabs>
              <w:spacing w:after="0" w:line="240" w:lineRule="auto"/>
              <w:jc w:val="both"/>
              <w:rPr>
                <w:rFonts w:ascii="Times New Roman" w:hAnsi="Times New Roman"/>
                <w:sz w:val="24"/>
                <w:szCs w:val="24"/>
                <w:lang w:val="ro-MO"/>
              </w:rPr>
            </w:pPr>
            <w:r w:rsidRPr="00416B91">
              <w:rPr>
                <w:rFonts w:ascii="Times New Roman" w:hAnsi="Times New Roman"/>
                <w:sz w:val="24"/>
                <w:szCs w:val="24"/>
                <w:lang w:val="ro-MO"/>
              </w:rPr>
              <w:t>Ministerul Educației, Culturii și Cercetării</w:t>
            </w:r>
          </w:p>
        </w:tc>
      </w:tr>
      <w:tr w:rsidR="00E33D41" w:rsidRPr="001855FC" w:rsidTr="00A75AE6">
        <w:tc>
          <w:tcPr>
            <w:tcW w:w="5000" w:type="pct"/>
          </w:tcPr>
          <w:p w:rsidR="00E33D41" w:rsidRPr="00A12F32" w:rsidRDefault="00E33D41" w:rsidP="00874F7B">
            <w:pPr>
              <w:tabs>
                <w:tab w:val="left" w:pos="884"/>
                <w:tab w:val="left" w:pos="1196"/>
              </w:tabs>
              <w:spacing w:after="0" w:line="240" w:lineRule="auto"/>
              <w:jc w:val="both"/>
              <w:rPr>
                <w:rFonts w:ascii="Times New Roman" w:hAnsi="Times New Roman"/>
                <w:b/>
                <w:sz w:val="24"/>
                <w:szCs w:val="24"/>
                <w:lang w:val="ro-MO"/>
              </w:rPr>
            </w:pPr>
            <w:r w:rsidRPr="00AB0E2B">
              <w:rPr>
                <w:rFonts w:ascii="Times New Roman" w:hAnsi="Times New Roman"/>
                <w:b/>
                <w:sz w:val="24"/>
                <w:szCs w:val="24"/>
                <w:lang w:val="ro-MO"/>
              </w:rPr>
              <w:t>2. Condiţiile ce au impus elaborarea proiectului de act normativ şi finalităţile urmărite</w:t>
            </w:r>
          </w:p>
        </w:tc>
      </w:tr>
      <w:tr w:rsidR="00E33D41" w:rsidRPr="00CD4405" w:rsidTr="00A75AE6">
        <w:tc>
          <w:tcPr>
            <w:tcW w:w="5000" w:type="pct"/>
          </w:tcPr>
          <w:p w:rsidR="00E33D41" w:rsidRPr="00CE4F23" w:rsidRDefault="00E33D41" w:rsidP="00874F7B">
            <w:pPr>
              <w:pStyle w:val="a3"/>
              <w:spacing w:before="0" w:beforeAutospacing="0" w:after="0" w:afterAutospacing="0"/>
              <w:jc w:val="both"/>
              <w:textAlignment w:val="baseline"/>
              <w:rPr>
                <w:lang w:val="ro-RO"/>
              </w:rPr>
            </w:pPr>
            <w:r w:rsidRPr="00CE4F23">
              <w:rPr>
                <w:color w:val="000000"/>
                <w:lang w:val="ro-RO"/>
              </w:rPr>
              <w:t xml:space="preserve">În </w:t>
            </w:r>
            <w:r w:rsidR="006D2489">
              <w:rPr>
                <w:color w:val="000000"/>
                <w:lang w:val="ro-RO"/>
              </w:rPr>
              <w:t>temeiul</w:t>
            </w:r>
            <w:r w:rsidRPr="00CE4F23">
              <w:rPr>
                <w:color w:val="000000"/>
                <w:lang w:val="ro-RO"/>
              </w:rPr>
              <w:t xml:space="preserve"> art. 85 alin. (2), art. 94 alin. (10) și art. 139 lit. g) din Codul Educației al Republicii Moldova, aprobat prin Legea nr. 152</w:t>
            </w:r>
            <w:r w:rsidR="00CE4F23">
              <w:rPr>
                <w:color w:val="000000"/>
                <w:lang w:val="ro-RO"/>
              </w:rPr>
              <w:t>/</w:t>
            </w:r>
            <w:r w:rsidRPr="00CE4F23">
              <w:rPr>
                <w:color w:val="000000"/>
                <w:lang w:val="ro-RO"/>
              </w:rPr>
              <w:t>2014 (Monitorul Oficial al Republicii Moldova, 2014, nr. 319-324</w:t>
            </w:r>
            <w:r w:rsidR="00CE4F23">
              <w:rPr>
                <w:color w:val="000000"/>
                <w:lang w:val="ro-RO"/>
              </w:rPr>
              <w:t>)</w:t>
            </w:r>
            <w:r w:rsidRPr="00CE4F23">
              <w:rPr>
                <w:color w:val="000000"/>
                <w:lang w:val="ro-RO"/>
              </w:rPr>
              <w:t xml:space="preserve">, </w:t>
            </w:r>
            <w:r w:rsidRPr="00CE4F23">
              <w:rPr>
                <w:lang w:val="ro-RO"/>
              </w:rPr>
              <w:t xml:space="preserve">Ministerul Educației, Culturii și Cercetării, prin consultare cu </w:t>
            </w:r>
            <w:r w:rsidRPr="00CE4F23">
              <w:rPr>
                <w:lang w:val="ro-MO"/>
              </w:rPr>
              <w:t>autoritățile și instituțiile publice de resort</w:t>
            </w:r>
            <w:r w:rsidRPr="00CE4F23">
              <w:rPr>
                <w:lang w:val="ro-RO"/>
              </w:rPr>
              <w:t>, propune Guvernului Planul de admitere la studiile superioare de doctorat, ciclul III, cu finanțare de la bugetul de stat pentru anul academic 20</w:t>
            </w:r>
            <w:r w:rsidR="00DB6EAA">
              <w:rPr>
                <w:lang w:val="ro-RO"/>
              </w:rPr>
              <w:t>20</w:t>
            </w:r>
            <w:r w:rsidRPr="00CE4F23">
              <w:rPr>
                <w:lang w:val="ro-RO"/>
              </w:rPr>
              <w:t>-20</w:t>
            </w:r>
            <w:r w:rsidR="00CE4F23">
              <w:rPr>
                <w:lang w:val="ro-RO"/>
              </w:rPr>
              <w:t>2</w:t>
            </w:r>
            <w:r w:rsidR="00DB6EAA">
              <w:rPr>
                <w:lang w:val="ro-RO"/>
              </w:rPr>
              <w:t>1</w:t>
            </w:r>
            <w:r w:rsidRPr="00CE4F23">
              <w:rPr>
                <w:lang w:val="ro-RO"/>
              </w:rPr>
              <w:t xml:space="preserve">. Guvernul aprobă un număr de granturi doctorale multianuale pe o durată de 3 ani pentru studiile superioare de doctorat cu frecvență și 4 ani pentru studiile superioare de doctorat cu frecvență </w:t>
            </w:r>
            <w:r w:rsidRPr="005E7ED9">
              <w:rPr>
                <w:lang w:val="ro-RO"/>
              </w:rPr>
              <w:t>redusă.</w:t>
            </w:r>
            <w:r w:rsidRPr="00CE4F23">
              <w:rPr>
                <w:lang w:val="ro-RO"/>
              </w:rPr>
              <w:t xml:space="preserve"> </w:t>
            </w:r>
          </w:p>
          <w:p w:rsidR="00E33D41" w:rsidRDefault="00E33D41" w:rsidP="00DB6EAA">
            <w:pPr>
              <w:spacing w:after="0" w:line="240" w:lineRule="auto"/>
              <w:jc w:val="both"/>
              <w:rPr>
                <w:rFonts w:ascii="Times New Roman" w:hAnsi="Times New Roman"/>
                <w:sz w:val="24"/>
                <w:szCs w:val="24"/>
                <w:lang w:val="ro-RO"/>
              </w:rPr>
            </w:pPr>
            <w:r w:rsidRPr="00CE4F23">
              <w:rPr>
                <w:rFonts w:ascii="Times New Roman" w:hAnsi="Times New Roman"/>
                <w:sz w:val="24"/>
                <w:szCs w:val="24"/>
                <w:lang w:val="ro-RO"/>
              </w:rPr>
              <w:t>Proiectul Planului de admitere la studii superioare de doctorat, ciclul III, cu finanțare de la bugetul de stat, pentru anul academic 20</w:t>
            </w:r>
            <w:r w:rsidR="00DB6EAA">
              <w:rPr>
                <w:rFonts w:ascii="Times New Roman" w:hAnsi="Times New Roman"/>
                <w:sz w:val="24"/>
                <w:szCs w:val="24"/>
                <w:lang w:val="ro-RO"/>
              </w:rPr>
              <w:t>20</w:t>
            </w:r>
            <w:r w:rsidRPr="00CE4F23">
              <w:rPr>
                <w:rFonts w:ascii="Times New Roman" w:hAnsi="Times New Roman"/>
                <w:sz w:val="24"/>
                <w:szCs w:val="24"/>
                <w:lang w:val="ro-RO"/>
              </w:rPr>
              <w:t>-20</w:t>
            </w:r>
            <w:r w:rsidR="009A239E">
              <w:rPr>
                <w:rFonts w:ascii="Times New Roman" w:hAnsi="Times New Roman"/>
                <w:sz w:val="24"/>
                <w:szCs w:val="24"/>
                <w:lang w:val="ro-RO"/>
              </w:rPr>
              <w:t>2</w:t>
            </w:r>
            <w:r w:rsidR="00DB6EAA">
              <w:rPr>
                <w:rFonts w:ascii="Times New Roman" w:hAnsi="Times New Roman"/>
                <w:sz w:val="24"/>
                <w:szCs w:val="24"/>
                <w:lang w:val="ro-RO"/>
              </w:rPr>
              <w:t>1</w:t>
            </w:r>
            <w:r w:rsidRPr="003152E7">
              <w:rPr>
                <w:rFonts w:ascii="Times New Roman" w:hAnsi="Times New Roman"/>
                <w:sz w:val="24"/>
                <w:szCs w:val="24"/>
                <w:lang w:val="ro-RO"/>
              </w:rPr>
              <w:t xml:space="preserve"> </w:t>
            </w:r>
            <w:r w:rsidRPr="00CE4F23">
              <w:rPr>
                <w:rFonts w:ascii="Times New Roman" w:hAnsi="Times New Roman"/>
                <w:sz w:val="24"/>
                <w:szCs w:val="24"/>
                <w:lang w:val="ro-RO"/>
              </w:rPr>
              <w:t xml:space="preserve">a fost elaborat în temeiul propunerilor înaintate de către instituțiile de învățământ superior, </w:t>
            </w:r>
            <w:r w:rsidRPr="00CE4F23">
              <w:rPr>
                <w:rFonts w:ascii="Times New Roman" w:hAnsi="Times New Roman"/>
                <w:color w:val="000000"/>
                <w:sz w:val="24"/>
                <w:szCs w:val="24"/>
                <w:lang w:val="ro-RO"/>
              </w:rPr>
              <w:t xml:space="preserve">consorţiile, parteneriatele naţionale şi internaţionale, inclusiv celor constituite cu participarea organizaţiilor din sfera ştiinţei şi inovării, </w:t>
            </w:r>
            <w:r w:rsidRPr="00CE4F23">
              <w:rPr>
                <w:rFonts w:ascii="Times New Roman" w:hAnsi="Times New Roman"/>
                <w:sz w:val="24"/>
                <w:szCs w:val="24"/>
                <w:lang w:val="ro-RO"/>
              </w:rPr>
              <w:t>al analizei Planului de admitere pentru anul de studii 201</w:t>
            </w:r>
            <w:r w:rsidR="00DB6EAA">
              <w:rPr>
                <w:rFonts w:ascii="Times New Roman" w:hAnsi="Times New Roman"/>
                <w:sz w:val="24"/>
                <w:szCs w:val="24"/>
                <w:lang w:val="ro-RO"/>
              </w:rPr>
              <w:t>9</w:t>
            </w:r>
            <w:r w:rsidRPr="00CE4F23">
              <w:rPr>
                <w:rFonts w:ascii="Times New Roman" w:hAnsi="Times New Roman"/>
                <w:sz w:val="24"/>
                <w:szCs w:val="24"/>
                <w:lang w:val="ro-RO"/>
              </w:rPr>
              <w:t>-20</w:t>
            </w:r>
            <w:r w:rsidR="00DB6EAA">
              <w:rPr>
                <w:rFonts w:ascii="Times New Roman" w:hAnsi="Times New Roman"/>
                <w:sz w:val="24"/>
                <w:szCs w:val="24"/>
                <w:lang w:val="ro-RO"/>
              </w:rPr>
              <w:t>20</w:t>
            </w:r>
            <w:r w:rsidRPr="00CE4F23">
              <w:rPr>
                <w:rFonts w:ascii="Times New Roman" w:hAnsi="Times New Roman"/>
                <w:sz w:val="24"/>
                <w:szCs w:val="24"/>
                <w:lang w:val="ro-RO"/>
              </w:rPr>
              <w:t xml:space="preserve">, aprobat prin </w:t>
            </w:r>
            <w:r w:rsidRPr="00CE4F23">
              <w:rPr>
                <w:rFonts w:ascii="Times New Roman" w:eastAsia="Times New Roman" w:hAnsi="Times New Roman"/>
                <w:sz w:val="24"/>
                <w:szCs w:val="24"/>
                <w:lang w:val="ro-RO"/>
              </w:rPr>
              <w:t xml:space="preserve">Hotărârea Guvernului </w:t>
            </w:r>
            <w:r w:rsidRPr="00CE4F23">
              <w:rPr>
                <w:rFonts w:ascii="Times New Roman" w:hAnsi="Times New Roman"/>
                <w:sz w:val="24"/>
                <w:szCs w:val="24"/>
                <w:lang w:val="ro-RO"/>
              </w:rPr>
              <w:t>nr.</w:t>
            </w:r>
            <w:r w:rsidR="00DB6EAA">
              <w:rPr>
                <w:rFonts w:ascii="Times New Roman" w:hAnsi="Times New Roman"/>
                <w:sz w:val="24"/>
                <w:szCs w:val="24"/>
                <w:lang w:val="ro-RO"/>
              </w:rPr>
              <w:t>430</w:t>
            </w:r>
            <w:r w:rsidR="00C8784E">
              <w:rPr>
                <w:rFonts w:ascii="Times New Roman" w:hAnsi="Times New Roman"/>
                <w:sz w:val="24"/>
                <w:szCs w:val="24"/>
                <w:lang w:val="ro-RO"/>
              </w:rPr>
              <w:t>/201</w:t>
            </w:r>
            <w:r w:rsidR="00DB6EAA">
              <w:rPr>
                <w:rFonts w:ascii="Times New Roman" w:hAnsi="Times New Roman"/>
                <w:sz w:val="24"/>
                <w:szCs w:val="24"/>
                <w:lang w:val="ro-RO"/>
              </w:rPr>
              <w:t>9</w:t>
            </w:r>
            <w:r w:rsidRPr="00CE4F23">
              <w:rPr>
                <w:rFonts w:ascii="Times New Roman" w:hAnsi="Times New Roman"/>
                <w:sz w:val="24"/>
                <w:szCs w:val="24"/>
                <w:lang w:val="ro-RO"/>
              </w:rPr>
              <w:t xml:space="preserve"> </w:t>
            </w:r>
            <w:r w:rsidR="00C8784E" w:rsidRPr="00C8784E">
              <w:rPr>
                <w:rFonts w:ascii="Times New Roman" w:hAnsi="Times New Roman"/>
                <w:bCs/>
                <w:color w:val="000000"/>
                <w:sz w:val="24"/>
                <w:szCs w:val="24"/>
                <w:lang w:val="ro-RO"/>
              </w:rPr>
              <w:t>cu privire la aprobarea Planului de admitere la studiile superioare de doctorat, ciclul III, cu finanțare de la bugetul de stat, pentru anul academic 201</w:t>
            </w:r>
            <w:r w:rsidR="00DB6EAA">
              <w:rPr>
                <w:rFonts w:ascii="Times New Roman" w:hAnsi="Times New Roman"/>
                <w:bCs/>
                <w:color w:val="000000"/>
                <w:sz w:val="24"/>
                <w:szCs w:val="24"/>
                <w:lang w:val="ro-RO"/>
              </w:rPr>
              <w:t>9-2020</w:t>
            </w:r>
            <w:r w:rsidR="00C8784E" w:rsidRPr="00C8784E">
              <w:rPr>
                <w:rFonts w:ascii="Times New Roman" w:hAnsi="Times New Roman"/>
                <w:bCs/>
                <w:color w:val="000000"/>
                <w:sz w:val="24"/>
                <w:szCs w:val="24"/>
                <w:lang w:val="ro-RO"/>
              </w:rPr>
              <w:t xml:space="preserve"> </w:t>
            </w:r>
            <w:r w:rsidRPr="00C8784E">
              <w:rPr>
                <w:rFonts w:ascii="Times New Roman" w:hAnsi="Times New Roman"/>
                <w:sz w:val="24"/>
                <w:szCs w:val="24"/>
                <w:lang w:val="ro-RO"/>
              </w:rPr>
              <w:t>(</w:t>
            </w:r>
            <w:r w:rsidR="00C8784E" w:rsidRPr="00C8784E">
              <w:rPr>
                <w:rFonts w:ascii="Times New Roman" w:hAnsi="Times New Roman"/>
                <w:color w:val="000000"/>
                <w:sz w:val="24"/>
                <w:szCs w:val="24"/>
                <w:lang w:val="ro-RO"/>
              </w:rPr>
              <w:t>Monitorul Oficial, 201</w:t>
            </w:r>
            <w:r w:rsidR="00DB6EAA">
              <w:rPr>
                <w:rFonts w:ascii="Times New Roman" w:hAnsi="Times New Roman"/>
                <w:color w:val="000000"/>
                <w:sz w:val="24"/>
                <w:szCs w:val="24"/>
                <w:lang w:val="ro-RO"/>
              </w:rPr>
              <w:t>9</w:t>
            </w:r>
            <w:r w:rsidRPr="00C8784E">
              <w:rPr>
                <w:rFonts w:ascii="Times New Roman" w:hAnsi="Times New Roman"/>
                <w:color w:val="000000"/>
                <w:sz w:val="24"/>
                <w:szCs w:val="24"/>
                <w:lang w:val="ro-RO"/>
              </w:rPr>
              <w:t xml:space="preserve">, nr. </w:t>
            </w:r>
            <w:r w:rsidR="00DB7575">
              <w:rPr>
                <w:rFonts w:ascii="Times New Roman" w:hAnsi="Times New Roman"/>
                <w:color w:val="000000"/>
                <w:sz w:val="24"/>
                <w:szCs w:val="24"/>
                <w:lang w:val="ro-RO"/>
              </w:rPr>
              <w:t>274-278</w:t>
            </w:r>
            <w:r w:rsidRPr="00C8784E">
              <w:rPr>
                <w:rFonts w:ascii="Times New Roman" w:hAnsi="Times New Roman"/>
                <w:color w:val="000000"/>
                <w:sz w:val="24"/>
                <w:szCs w:val="24"/>
                <w:lang w:val="ro-RO"/>
              </w:rPr>
              <w:t xml:space="preserve">, art. </w:t>
            </w:r>
            <w:r w:rsidR="00DB7575">
              <w:rPr>
                <w:rFonts w:ascii="Times New Roman" w:hAnsi="Times New Roman"/>
                <w:color w:val="000000"/>
                <w:sz w:val="24"/>
                <w:szCs w:val="24"/>
                <w:lang w:val="ro-RO"/>
              </w:rPr>
              <w:t>603</w:t>
            </w:r>
            <w:r w:rsidRPr="00C8784E">
              <w:rPr>
                <w:rFonts w:ascii="Times New Roman" w:hAnsi="Times New Roman"/>
                <w:sz w:val="24"/>
                <w:szCs w:val="24"/>
                <w:lang w:val="ro-RO"/>
              </w:rPr>
              <w:t>)</w:t>
            </w:r>
            <w:r w:rsidRPr="00C8784E">
              <w:rPr>
                <w:rFonts w:ascii="Times New Roman" w:eastAsia="Times New Roman" w:hAnsi="Times New Roman"/>
                <w:sz w:val="24"/>
                <w:szCs w:val="24"/>
                <w:lang w:val="ro-RO"/>
              </w:rPr>
              <w:t>,</w:t>
            </w:r>
            <w:r w:rsidRPr="00CE4F23">
              <w:rPr>
                <w:rFonts w:ascii="Times New Roman" w:eastAsia="Times New Roman" w:hAnsi="Times New Roman"/>
                <w:sz w:val="24"/>
                <w:szCs w:val="24"/>
                <w:lang w:val="ro-RO"/>
              </w:rPr>
              <w:t xml:space="preserve"> al </w:t>
            </w:r>
            <w:r w:rsidRPr="00CE4F23">
              <w:rPr>
                <w:rFonts w:ascii="Times New Roman" w:hAnsi="Times New Roman"/>
                <w:sz w:val="24"/>
                <w:szCs w:val="24"/>
                <w:lang w:val="ro-RO"/>
              </w:rPr>
              <w:t>Raportului de înmatriculare în anul de studii 201</w:t>
            </w:r>
            <w:r w:rsidR="00DB6EAA">
              <w:rPr>
                <w:rFonts w:ascii="Times New Roman" w:hAnsi="Times New Roman"/>
                <w:sz w:val="24"/>
                <w:szCs w:val="24"/>
                <w:lang w:val="ro-RO"/>
              </w:rPr>
              <w:t>9</w:t>
            </w:r>
            <w:r w:rsidRPr="00CE4F23">
              <w:rPr>
                <w:rFonts w:ascii="Times New Roman" w:hAnsi="Times New Roman"/>
                <w:sz w:val="24"/>
                <w:szCs w:val="24"/>
                <w:lang w:val="ro-RO"/>
              </w:rPr>
              <w:t>-20</w:t>
            </w:r>
            <w:r w:rsidR="00DB6EAA">
              <w:rPr>
                <w:rFonts w:ascii="Times New Roman" w:hAnsi="Times New Roman"/>
                <w:sz w:val="24"/>
                <w:szCs w:val="24"/>
                <w:lang w:val="ro-RO"/>
              </w:rPr>
              <w:t>20</w:t>
            </w:r>
            <w:r w:rsidRPr="00CE4F23">
              <w:rPr>
                <w:rFonts w:ascii="Times New Roman" w:hAnsi="Times New Roman"/>
                <w:sz w:val="24"/>
                <w:szCs w:val="24"/>
                <w:lang w:val="ro-RO"/>
              </w:rPr>
              <w:t xml:space="preserve"> la studiile superioare de doctorat, ciclul III, </w:t>
            </w:r>
            <w:r w:rsidRPr="00CE4F23">
              <w:rPr>
                <w:rFonts w:ascii="Times New Roman" w:eastAsia="Times New Roman" w:hAnsi="Times New Roman"/>
                <w:sz w:val="24"/>
                <w:szCs w:val="24"/>
                <w:lang w:val="ro-RO"/>
              </w:rPr>
              <w:t>dar și</w:t>
            </w:r>
            <w:r w:rsidRPr="0061413A">
              <w:rPr>
                <w:rFonts w:ascii="Times New Roman" w:eastAsia="Times New Roman" w:hAnsi="Times New Roman"/>
                <w:sz w:val="24"/>
                <w:szCs w:val="24"/>
                <w:lang w:val="ro-RO"/>
              </w:rPr>
              <w:t xml:space="preserve"> </w:t>
            </w:r>
            <w:r w:rsidR="00DD3791">
              <w:rPr>
                <w:rFonts w:ascii="Times New Roman" w:hAnsi="Times New Roman"/>
                <w:sz w:val="24"/>
                <w:szCs w:val="24"/>
                <w:lang w:val="ro-RO"/>
              </w:rPr>
              <w:t xml:space="preserve">luând în considerație </w:t>
            </w:r>
            <w:r w:rsidR="00C8784E" w:rsidRPr="00C8784E">
              <w:rPr>
                <w:rFonts w:ascii="Times New Roman" w:hAnsi="Times New Roman"/>
                <w:color w:val="000000"/>
                <w:sz w:val="24"/>
                <w:szCs w:val="24"/>
                <w:lang w:val="ro-RO"/>
              </w:rPr>
              <w:t>prioritățile de politici sectoriale pe termen mediu (2019-2021) aprobate prin</w:t>
            </w:r>
            <w:r w:rsidR="00C8784E">
              <w:rPr>
                <w:color w:val="000000"/>
                <w:lang w:val="ro-RO"/>
              </w:rPr>
              <w:t xml:space="preserve"> </w:t>
            </w:r>
            <w:proofErr w:type="spellStart"/>
            <w:r w:rsidR="009A239E" w:rsidRPr="00C8784E">
              <w:rPr>
                <w:rFonts w:ascii="Times New Roman" w:hAnsi="Times New Roman"/>
                <w:bCs/>
                <w:color w:val="000000"/>
                <w:sz w:val="24"/>
                <w:szCs w:val="24"/>
                <w:lang w:val="ro-RO"/>
              </w:rPr>
              <w:t>Hotărîrea</w:t>
            </w:r>
            <w:proofErr w:type="spellEnd"/>
            <w:r w:rsidR="009A239E" w:rsidRPr="00C8784E">
              <w:rPr>
                <w:rFonts w:ascii="Times New Roman" w:hAnsi="Times New Roman"/>
                <w:bCs/>
                <w:color w:val="000000"/>
                <w:sz w:val="24"/>
                <w:szCs w:val="24"/>
                <w:lang w:val="ro-RO"/>
              </w:rPr>
              <w:t xml:space="preserve"> Guvernului nr. 350/2018 cu privire la aprobarea priorităților de politici</w:t>
            </w:r>
            <w:r w:rsidR="00DB6EAA">
              <w:rPr>
                <w:rFonts w:ascii="Times New Roman" w:hAnsi="Times New Roman"/>
                <w:bCs/>
                <w:color w:val="000000"/>
                <w:sz w:val="24"/>
                <w:szCs w:val="24"/>
                <w:lang w:val="ro-RO"/>
              </w:rPr>
              <w:t xml:space="preserve"> </w:t>
            </w:r>
            <w:r w:rsidR="009A239E" w:rsidRPr="00C8784E">
              <w:rPr>
                <w:rFonts w:ascii="Times New Roman" w:hAnsi="Times New Roman"/>
                <w:bCs/>
                <w:color w:val="000000"/>
                <w:sz w:val="24"/>
                <w:szCs w:val="24"/>
                <w:lang w:val="ro-RO"/>
              </w:rPr>
              <w:t>sectoriale pe termen mediu (2019-2021)</w:t>
            </w:r>
            <w:r w:rsidR="009A239E" w:rsidRPr="00C8784E">
              <w:rPr>
                <w:rFonts w:ascii="Times New Roman" w:hAnsi="Times New Roman"/>
                <w:sz w:val="24"/>
                <w:szCs w:val="24"/>
                <w:lang w:val="ro-RO"/>
              </w:rPr>
              <w:t xml:space="preserve"> (Monitorul Oficial al Republicii Moldova, 2018, nr.</w:t>
            </w:r>
            <w:r w:rsidR="009A239E" w:rsidRPr="00C8784E">
              <w:rPr>
                <w:rFonts w:ascii="Times New Roman" w:hAnsi="Times New Roman"/>
                <w:color w:val="000000"/>
                <w:sz w:val="24"/>
                <w:szCs w:val="24"/>
                <w:lang w:val="ro-RO"/>
              </w:rPr>
              <w:t xml:space="preserve"> </w:t>
            </w:r>
            <w:r w:rsidR="009A239E" w:rsidRPr="00C8784E">
              <w:rPr>
                <w:rFonts w:ascii="Times New Roman" w:hAnsi="Times New Roman"/>
                <w:sz w:val="24"/>
                <w:szCs w:val="24"/>
                <w:lang w:val="ro-RO"/>
              </w:rPr>
              <w:t>126-132, art. 392)</w:t>
            </w:r>
            <w:r w:rsidR="00DB6EAA">
              <w:rPr>
                <w:rFonts w:ascii="Times New Roman" w:hAnsi="Times New Roman"/>
                <w:sz w:val="24"/>
                <w:szCs w:val="24"/>
                <w:lang w:val="ro-RO"/>
              </w:rPr>
              <w:t>.</w:t>
            </w:r>
          </w:p>
          <w:p w:rsidR="00FD4C9D" w:rsidRPr="00CE4F23" w:rsidRDefault="00697BF8" w:rsidP="00697BF8">
            <w:pPr>
              <w:pStyle w:val="a4"/>
              <w:jc w:val="both"/>
              <w:rPr>
                <w:rFonts w:ascii="Times New Roman" w:hAnsi="Times New Roman"/>
                <w:sz w:val="24"/>
                <w:szCs w:val="24"/>
                <w:lang w:val="ro-RO"/>
              </w:rPr>
            </w:pPr>
            <w:r w:rsidRPr="00A12F1F">
              <w:rPr>
                <w:rFonts w:ascii="Times New Roman" w:hAnsi="Times New Roman" w:cs="Times New Roman"/>
                <w:color w:val="000000"/>
                <w:sz w:val="24"/>
                <w:szCs w:val="24"/>
                <w:lang w:val="ro-RO"/>
              </w:rPr>
              <w:t>Fina</w:t>
            </w:r>
            <w:r>
              <w:rPr>
                <w:rFonts w:ascii="Times New Roman" w:hAnsi="Times New Roman" w:cs="Times New Roman"/>
                <w:color w:val="000000"/>
                <w:sz w:val="24"/>
                <w:szCs w:val="24"/>
                <w:lang w:val="ro-RO"/>
              </w:rPr>
              <w:t xml:space="preserve">litatea </w:t>
            </w:r>
            <w:r w:rsidR="00FD4C9D" w:rsidRPr="00CE4F23">
              <w:rPr>
                <w:rFonts w:ascii="Times New Roman" w:hAnsi="Times New Roman" w:cs="Times New Roman"/>
                <w:color w:val="000000"/>
                <w:sz w:val="24"/>
                <w:szCs w:val="24"/>
                <w:lang w:val="ro-RO"/>
              </w:rPr>
              <w:t>proiectul</w:t>
            </w:r>
            <w:r>
              <w:rPr>
                <w:rFonts w:ascii="Times New Roman" w:hAnsi="Times New Roman" w:cs="Times New Roman"/>
                <w:color w:val="000000"/>
                <w:sz w:val="24"/>
                <w:szCs w:val="24"/>
                <w:lang w:val="ro-RO"/>
              </w:rPr>
              <w:t>ui</w:t>
            </w:r>
            <w:r w:rsidR="00FD4C9D" w:rsidRPr="00CE4F23">
              <w:rPr>
                <w:rFonts w:ascii="Times New Roman" w:hAnsi="Times New Roman" w:cs="Times New Roman"/>
                <w:color w:val="000000"/>
                <w:sz w:val="24"/>
                <w:szCs w:val="24"/>
                <w:lang w:val="ro-RO"/>
              </w:rPr>
              <w:t xml:space="preserve"> Planului de admitere la studiile superioare de doctorat, ciclul III</w:t>
            </w:r>
            <w:r>
              <w:rPr>
                <w:rFonts w:ascii="Times New Roman" w:hAnsi="Times New Roman" w:cs="Times New Roman"/>
                <w:color w:val="000000"/>
                <w:sz w:val="24"/>
                <w:szCs w:val="24"/>
                <w:lang w:val="ro-RO"/>
              </w:rPr>
              <w:t xml:space="preserve"> constă în </w:t>
            </w:r>
            <w:r w:rsidR="00FD4C9D" w:rsidRPr="00CE4F23">
              <w:rPr>
                <w:rFonts w:ascii="Times New Roman" w:hAnsi="Times New Roman" w:cs="Times New Roman"/>
                <w:color w:val="000000"/>
                <w:sz w:val="24"/>
                <w:szCs w:val="24"/>
                <w:lang w:val="ro-RO"/>
              </w:rPr>
              <w:t>asigur</w:t>
            </w:r>
            <w:r>
              <w:rPr>
                <w:rFonts w:ascii="Times New Roman" w:hAnsi="Times New Roman" w:cs="Times New Roman"/>
                <w:color w:val="000000"/>
                <w:sz w:val="24"/>
                <w:szCs w:val="24"/>
                <w:lang w:val="ro-RO"/>
              </w:rPr>
              <w:t>area</w:t>
            </w:r>
            <w:r w:rsidR="00FD4C9D" w:rsidRPr="00CE4F23">
              <w:rPr>
                <w:rFonts w:ascii="Times New Roman" w:hAnsi="Times New Roman" w:cs="Times New Roman"/>
                <w:color w:val="000000"/>
                <w:sz w:val="24"/>
                <w:szCs w:val="24"/>
                <w:lang w:val="ro-RO"/>
              </w:rPr>
              <w:t xml:space="preserve"> pregătir</w:t>
            </w:r>
            <w:r>
              <w:rPr>
                <w:rFonts w:ascii="Times New Roman" w:hAnsi="Times New Roman" w:cs="Times New Roman"/>
                <w:color w:val="000000"/>
                <w:sz w:val="24"/>
                <w:szCs w:val="24"/>
                <w:lang w:val="ro-RO"/>
              </w:rPr>
              <w:t>ii</w:t>
            </w:r>
            <w:r w:rsidR="00FD4C9D" w:rsidRPr="00CE4F23">
              <w:rPr>
                <w:rFonts w:ascii="Times New Roman" w:hAnsi="Times New Roman" w:cs="Times New Roman"/>
                <w:color w:val="000000"/>
                <w:sz w:val="24"/>
                <w:szCs w:val="24"/>
                <w:lang w:val="ro-RO"/>
              </w:rPr>
              <w:t xml:space="preserve"> cadrelor pentru cariera științifică, oferind anual finanțare din bugetul de stat sub formă de granturi doctorale. Beneficiarii finali ai normelor propuse prin proiectul menționat </w:t>
            </w:r>
            <w:proofErr w:type="spellStart"/>
            <w:r w:rsidR="00FD4C9D">
              <w:rPr>
                <w:rFonts w:ascii="Times New Roman" w:hAnsi="Times New Roman" w:cs="Times New Roman"/>
                <w:color w:val="000000"/>
                <w:sz w:val="24"/>
                <w:szCs w:val="24"/>
                <w:lang w:val="ro-RO"/>
              </w:rPr>
              <w:t>sînt</w:t>
            </w:r>
            <w:proofErr w:type="spellEnd"/>
            <w:r w:rsidR="00FD4C9D">
              <w:rPr>
                <w:rFonts w:ascii="Times New Roman" w:hAnsi="Times New Roman" w:cs="Times New Roman"/>
                <w:color w:val="000000"/>
                <w:sz w:val="24"/>
                <w:szCs w:val="24"/>
                <w:lang w:val="ro-RO"/>
              </w:rPr>
              <w:t xml:space="preserve"> </w:t>
            </w:r>
            <w:r w:rsidR="00FD4C9D" w:rsidRPr="00CE4F23">
              <w:rPr>
                <w:rFonts w:ascii="Times New Roman" w:hAnsi="Times New Roman" w:cs="Times New Roman"/>
                <w:color w:val="000000"/>
                <w:sz w:val="24"/>
                <w:szCs w:val="24"/>
                <w:lang w:val="ro-RO"/>
              </w:rPr>
              <w:t>candidaţii deţinători ai diplomei de studii superioare de master sau ai unui act de studii echivalent, recunoscut de structura abilitată cu recunoaşterea şi echivalarea actelor de studii şi a calificărilor, care vor participa la concursul de admitere la studiile superioare de doctorat</w:t>
            </w:r>
            <w:r w:rsidR="00FD4C9D">
              <w:rPr>
                <w:rFonts w:ascii="Times New Roman" w:hAnsi="Times New Roman" w:cs="Times New Roman"/>
                <w:color w:val="000000"/>
                <w:sz w:val="24"/>
                <w:szCs w:val="24"/>
                <w:lang w:val="ro-RO"/>
              </w:rPr>
              <w:t xml:space="preserve">, </w:t>
            </w:r>
            <w:r w:rsidR="00FD4C9D" w:rsidRPr="00CE4F23">
              <w:rPr>
                <w:rFonts w:ascii="Times New Roman" w:hAnsi="Times New Roman" w:cs="Times New Roman"/>
                <w:color w:val="000000"/>
                <w:sz w:val="24"/>
                <w:szCs w:val="24"/>
                <w:lang w:val="ro-RO"/>
              </w:rPr>
              <w:t>ciclul III. Studiile doctorale reprezintă prima etapă a carierei ştiinţifice.</w:t>
            </w:r>
          </w:p>
        </w:tc>
      </w:tr>
      <w:tr w:rsidR="00E33D41" w:rsidRPr="009361B9" w:rsidTr="00A75AE6">
        <w:tc>
          <w:tcPr>
            <w:tcW w:w="5000" w:type="pct"/>
          </w:tcPr>
          <w:p w:rsidR="00E33D41" w:rsidRPr="007F0EF4" w:rsidRDefault="00E33D41" w:rsidP="00874F7B">
            <w:pPr>
              <w:tabs>
                <w:tab w:val="left" w:pos="884"/>
                <w:tab w:val="left" w:pos="1196"/>
              </w:tabs>
              <w:spacing w:after="0" w:line="240" w:lineRule="auto"/>
              <w:jc w:val="both"/>
              <w:rPr>
                <w:rFonts w:ascii="Times New Roman" w:hAnsi="Times New Roman"/>
                <w:b/>
                <w:sz w:val="24"/>
                <w:szCs w:val="24"/>
                <w:lang w:val="ro-MO"/>
              </w:rPr>
            </w:pPr>
            <w:r w:rsidRPr="007F0EF4">
              <w:rPr>
                <w:rFonts w:ascii="Times New Roman" w:hAnsi="Times New Roman"/>
                <w:b/>
                <w:sz w:val="24"/>
                <w:szCs w:val="24"/>
                <w:lang w:val="ro-MO"/>
              </w:rPr>
              <w:t>3. Descrierea gradului de compatibilitate pentru proiectele care au ca scop armonizarea legislaţiei naţionale cu legislaţia Uniunii Europene</w:t>
            </w:r>
          </w:p>
        </w:tc>
      </w:tr>
      <w:tr w:rsidR="00E33D41" w:rsidRPr="001855FC" w:rsidTr="00A75AE6">
        <w:tc>
          <w:tcPr>
            <w:tcW w:w="5000" w:type="pct"/>
          </w:tcPr>
          <w:p w:rsidR="00E33D41" w:rsidRPr="007F0EF4" w:rsidRDefault="00984DA7" w:rsidP="00A12F32">
            <w:pPr>
              <w:tabs>
                <w:tab w:val="left" w:pos="884"/>
                <w:tab w:val="left" w:pos="1196"/>
              </w:tabs>
              <w:spacing w:after="0" w:line="240" w:lineRule="auto"/>
              <w:jc w:val="both"/>
              <w:rPr>
                <w:rFonts w:ascii="Times New Roman" w:hAnsi="Times New Roman"/>
                <w:sz w:val="24"/>
                <w:szCs w:val="24"/>
                <w:lang w:val="ro-MO"/>
              </w:rPr>
            </w:pPr>
            <w:r w:rsidRPr="007F0EF4">
              <w:rPr>
                <w:rFonts w:ascii="Times New Roman" w:hAnsi="Times New Roman"/>
                <w:sz w:val="24"/>
                <w:szCs w:val="24"/>
                <w:lang w:val="ro-RO"/>
              </w:rPr>
              <w:t>Proiect</w:t>
            </w:r>
            <w:r w:rsidR="00A12F32" w:rsidRPr="007F0EF4">
              <w:rPr>
                <w:rFonts w:ascii="Times New Roman" w:hAnsi="Times New Roman"/>
                <w:sz w:val="24"/>
                <w:szCs w:val="24"/>
                <w:lang w:val="ro-RO"/>
              </w:rPr>
              <w:t xml:space="preserve">ul nu conține norme de armonizare a legislației naționale cu </w:t>
            </w:r>
            <w:r w:rsidR="00B3644A" w:rsidRPr="007F0EF4">
              <w:rPr>
                <w:rFonts w:ascii="Times New Roman" w:hAnsi="Times New Roman"/>
                <w:sz w:val="24"/>
                <w:szCs w:val="24"/>
                <w:lang w:val="ro-RO"/>
              </w:rPr>
              <w:t>legislați</w:t>
            </w:r>
            <w:r w:rsidR="00A12F32" w:rsidRPr="007F0EF4">
              <w:rPr>
                <w:rFonts w:ascii="Times New Roman" w:hAnsi="Times New Roman"/>
                <w:sz w:val="24"/>
                <w:szCs w:val="24"/>
                <w:lang w:val="ro-RO"/>
              </w:rPr>
              <w:t>a</w:t>
            </w:r>
            <w:r w:rsidR="00B3644A" w:rsidRPr="007F0EF4">
              <w:rPr>
                <w:rFonts w:ascii="Times New Roman" w:hAnsi="Times New Roman"/>
                <w:sz w:val="24"/>
                <w:szCs w:val="24"/>
                <w:lang w:val="ro-RO"/>
              </w:rPr>
              <w:t xml:space="preserve"> Uniunii Europene.</w:t>
            </w:r>
          </w:p>
        </w:tc>
      </w:tr>
      <w:tr w:rsidR="00E33D41" w:rsidRPr="001855FC" w:rsidTr="00A75AE6">
        <w:tc>
          <w:tcPr>
            <w:tcW w:w="5000" w:type="pct"/>
          </w:tcPr>
          <w:p w:rsidR="00E33D41" w:rsidRPr="007F0EF4" w:rsidRDefault="00E33D41" w:rsidP="00874F7B">
            <w:pPr>
              <w:tabs>
                <w:tab w:val="left" w:pos="884"/>
                <w:tab w:val="left" w:pos="1196"/>
              </w:tabs>
              <w:spacing w:after="0" w:line="240" w:lineRule="auto"/>
              <w:jc w:val="both"/>
              <w:rPr>
                <w:rFonts w:ascii="Times New Roman" w:hAnsi="Times New Roman"/>
                <w:sz w:val="24"/>
                <w:szCs w:val="24"/>
                <w:lang w:val="ro-MO"/>
              </w:rPr>
            </w:pPr>
            <w:r w:rsidRPr="007F0EF4">
              <w:rPr>
                <w:rFonts w:ascii="Times New Roman" w:hAnsi="Times New Roman"/>
                <w:b/>
                <w:sz w:val="24"/>
                <w:szCs w:val="24"/>
                <w:lang w:val="ro-MO"/>
              </w:rPr>
              <w:t>4. Principalele prevederi ale proiectului şi evidenţierea elementelor noi</w:t>
            </w:r>
          </w:p>
        </w:tc>
      </w:tr>
      <w:tr w:rsidR="00E33D41" w:rsidRPr="001855FC" w:rsidTr="00A75AE6">
        <w:tc>
          <w:tcPr>
            <w:tcW w:w="5000" w:type="pct"/>
          </w:tcPr>
          <w:p w:rsidR="00E33D41" w:rsidRPr="00CE4F23" w:rsidRDefault="00E33D41" w:rsidP="00874F7B">
            <w:pPr>
              <w:pStyle w:val="a4"/>
              <w:tabs>
                <w:tab w:val="left" w:pos="426"/>
              </w:tabs>
              <w:jc w:val="both"/>
              <w:rPr>
                <w:rFonts w:ascii="Times New Roman" w:hAnsi="Times New Roman" w:cs="Times New Roman"/>
                <w:sz w:val="24"/>
                <w:szCs w:val="24"/>
                <w:lang w:val="ro-RO"/>
              </w:rPr>
            </w:pPr>
            <w:r w:rsidRPr="00CE4F23">
              <w:rPr>
                <w:rFonts w:ascii="Times New Roman" w:eastAsia="Times New Roman" w:hAnsi="Times New Roman" w:cs="Times New Roman"/>
                <w:sz w:val="24"/>
                <w:szCs w:val="24"/>
                <w:lang w:val="ro-RO"/>
              </w:rPr>
              <w:t>Proiectul Planului de admitere prevede un total de 313 granturi pentru studiile superioare de doctorat, ciclul III, finanțate de la bugetul de stat pentru anul academic 20</w:t>
            </w:r>
            <w:r w:rsidR="001E4837">
              <w:rPr>
                <w:rFonts w:ascii="Times New Roman" w:eastAsia="Times New Roman" w:hAnsi="Times New Roman" w:cs="Times New Roman"/>
                <w:sz w:val="24"/>
                <w:szCs w:val="24"/>
                <w:lang w:val="ro-RO"/>
              </w:rPr>
              <w:t>20</w:t>
            </w:r>
            <w:r w:rsidRPr="00CE4F23">
              <w:rPr>
                <w:rFonts w:ascii="Times New Roman" w:eastAsia="Times New Roman" w:hAnsi="Times New Roman" w:cs="Times New Roman"/>
                <w:sz w:val="24"/>
                <w:szCs w:val="24"/>
                <w:lang w:val="ro-RO"/>
              </w:rPr>
              <w:t>-20</w:t>
            </w:r>
            <w:r w:rsidR="00370A96">
              <w:rPr>
                <w:rFonts w:ascii="Times New Roman" w:eastAsia="Times New Roman" w:hAnsi="Times New Roman" w:cs="Times New Roman"/>
                <w:sz w:val="24"/>
                <w:szCs w:val="24"/>
                <w:lang w:val="ro-RO"/>
              </w:rPr>
              <w:t>2</w:t>
            </w:r>
            <w:r w:rsidR="001E4837">
              <w:rPr>
                <w:rFonts w:ascii="Times New Roman" w:eastAsia="Times New Roman" w:hAnsi="Times New Roman" w:cs="Times New Roman"/>
                <w:sz w:val="24"/>
                <w:szCs w:val="24"/>
                <w:lang w:val="ro-RO"/>
              </w:rPr>
              <w:t>1</w:t>
            </w:r>
            <w:r w:rsidRPr="00CE4F23">
              <w:rPr>
                <w:rFonts w:ascii="Times New Roman" w:eastAsia="Times New Roman" w:hAnsi="Times New Roman" w:cs="Times New Roman"/>
                <w:sz w:val="24"/>
                <w:szCs w:val="24"/>
                <w:lang w:val="ro-RO"/>
              </w:rPr>
              <w:t xml:space="preserve">. </w:t>
            </w:r>
          </w:p>
          <w:p w:rsidR="00B57C2A" w:rsidRDefault="00A3085E" w:rsidP="00874F7B">
            <w:pPr>
              <w:pStyle w:val="a4"/>
              <w:tabs>
                <w:tab w:val="left" w:pos="426"/>
              </w:tabs>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Totodată, p</w:t>
            </w:r>
            <w:r w:rsidR="00E33D41" w:rsidRPr="00CE4F23">
              <w:rPr>
                <w:rFonts w:ascii="Times New Roman" w:eastAsia="Times New Roman" w:hAnsi="Times New Roman" w:cs="Times New Roman"/>
                <w:sz w:val="24"/>
                <w:szCs w:val="24"/>
                <w:lang w:val="ro-RO"/>
              </w:rPr>
              <w:t xml:space="preserve">roiectul Planului de admitere presupune repartizarea cotelor de înmatriculare între cele 6 domenii de studii, prevăzute de </w:t>
            </w:r>
            <w:r w:rsidR="00E33D41" w:rsidRPr="00CE4F23">
              <w:rPr>
                <w:rFonts w:ascii="Times New Roman" w:eastAsia="Times New Roman" w:hAnsi="Times New Roman" w:cs="Times New Roman"/>
                <w:i/>
                <w:sz w:val="24"/>
                <w:szCs w:val="24"/>
                <w:lang w:val="ro-RO"/>
              </w:rPr>
              <w:t>Nomenclatorul specialităților științifice</w:t>
            </w:r>
            <w:r w:rsidR="00E33D41" w:rsidRPr="00CE4F23">
              <w:rPr>
                <w:rFonts w:ascii="Times New Roman" w:eastAsia="Times New Roman" w:hAnsi="Times New Roman" w:cs="Times New Roman"/>
                <w:sz w:val="24"/>
                <w:szCs w:val="24"/>
                <w:lang w:val="ro-RO"/>
              </w:rPr>
              <w:t>, anexat la Hotărârea Guvernului nr. 199</w:t>
            </w:r>
            <w:r w:rsidR="004847C5">
              <w:rPr>
                <w:rFonts w:ascii="Times New Roman" w:eastAsia="Times New Roman" w:hAnsi="Times New Roman" w:cs="Times New Roman"/>
                <w:sz w:val="24"/>
                <w:szCs w:val="24"/>
                <w:lang w:val="ro-RO"/>
              </w:rPr>
              <w:t>/</w:t>
            </w:r>
            <w:r w:rsidR="00E33D41" w:rsidRPr="00CE4F23">
              <w:rPr>
                <w:rFonts w:ascii="Times New Roman" w:eastAsia="Times New Roman" w:hAnsi="Times New Roman" w:cs="Times New Roman"/>
                <w:sz w:val="24"/>
                <w:szCs w:val="24"/>
                <w:lang w:val="ro-RO"/>
              </w:rPr>
              <w:t xml:space="preserve">2013: 1. Științe ale naturii, 2. </w:t>
            </w:r>
            <w:r w:rsidR="00E33D41" w:rsidRPr="00CE4F23">
              <w:rPr>
                <w:rFonts w:ascii="Times New Roman" w:hAnsi="Times New Roman" w:cs="Times New Roman"/>
                <w:sz w:val="24"/>
                <w:szCs w:val="24"/>
                <w:lang w:val="ro-RO"/>
              </w:rPr>
              <w:t xml:space="preserve">Științe inginerești și tehnologii, 3 Științe medicale, 4. Științe agricole, 5. </w:t>
            </w:r>
            <w:r w:rsidR="00E33D41" w:rsidRPr="00CE4F23">
              <w:rPr>
                <w:rFonts w:ascii="Times New Roman" w:hAnsi="Times New Roman" w:cs="Times New Roman"/>
                <w:sz w:val="24"/>
                <w:szCs w:val="24"/>
                <w:lang w:val="ro-MO"/>
              </w:rPr>
              <w:t>Științe sociale și economice și 6. Științe umaniste</w:t>
            </w:r>
            <w:r w:rsidR="00E33D41" w:rsidRPr="00CE4F23">
              <w:rPr>
                <w:rFonts w:ascii="Times New Roman" w:hAnsi="Times New Roman" w:cs="Times New Roman"/>
                <w:sz w:val="24"/>
                <w:szCs w:val="24"/>
                <w:lang w:val="ro-RO"/>
              </w:rPr>
              <w:t>.</w:t>
            </w:r>
            <w:r w:rsidR="007212A5">
              <w:rPr>
                <w:rFonts w:ascii="Times New Roman" w:hAnsi="Times New Roman" w:cs="Times New Roman"/>
                <w:sz w:val="24"/>
                <w:szCs w:val="24"/>
                <w:lang w:val="ro-RO"/>
              </w:rPr>
              <w:t xml:space="preserve"> </w:t>
            </w:r>
          </w:p>
          <w:p w:rsidR="00E33D41" w:rsidRPr="00CE4F23" w:rsidRDefault="009F7DAD" w:rsidP="00874F7B">
            <w:pPr>
              <w:pStyle w:val="a4"/>
              <w:tabs>
                <w:tab w:val="left" w:pos="426"/>
              </w:tabs>
              <w:jc w:val="both"/>
              <w:rPr>
                <w:rFonts w:ascii="Times New Roman" w:hAnsi="Times New Roman" w:cs="Times New Roman"/>
                <w:sz w:val="24"/>
                <w:szCs w:val="24"/>
                <w:lang w:val="ro-RO"/>
              </w:rPr>
            </w:pPr>
            <w:r>
              <w:rPr>
                <w:rFonts w:ascii="Times New Roman" w:hAnsi="Times New Roman" w:cs="Times New Roman"/>
                <w:sz w:val="24"/>
                <w:szCs w:val="24"/>
                <w:lang w:val="ro-RO"/>
              </w:rPr>
              <w:t>La fel specificăm, că n</w:t>
            </w:r>
            <w:r w:rsidR="007212A5">
              <w:rPr>
                <w:rFonts w:ascii="Times New Roman" w:hAnsi="Times New Roman" w:cs="Times New Roman"/>
                <w:sz w:val="24"/>
                <w:szCs w:val="24"/>
                <w:lang w:val="ro-RO"/>
              </w:rPr>
              <w:t xml:space="preserve">umărul </w:t>
            </w:r>
            <w:r w:rsidR="00E33D41" w:rsidRPr="00CE4F23">
              <w:rPr>
                <w:rFonts w:ascii="Times New Roman" w:hAnsi="Times New Roman" w:cs="Times New Roman"/>
                <w:sz w:val="24"/>
                <w:szCs w:val="24"/>
                <w:lang w:val="ro-RO"/>
              </w:rPr>
              <w:t xml:space="preserve">de 313 granturi destinate studiilor superioare de doctorat, ciclul III, a fost </w:t>
            </w:r>
            <w:r>
              <w:rPr>
                <w:rFonts w:ascii="Times New Roman" w:hAnsi="Times New Roman" w:cs="Times New Roman"/>
                <w:sz w:val="24"/>
                <w:szCs w:val="24"/>
                <w:lang w:val="ro-RO"/>
              </w:rPr>
              <w:t>determinat</w:t>
            </w:r>
            <w:r w:rsidR="00E33D41" w:rsidRPr="00CE4F23">
              <w:rPr>
                <w:rFonts w:ascii="Times New Roman" w:hAnsi="Times New Roman" w:cs="Times New Roman"/>
                <w:sz w:val="24"/>
                <w:szCs w:val="24"/>
                <w:lang w:val="ro-RO"/>
              </w:rPr>
              <w:t xml:space="preserve"> de:</w:t>
            </w:r>
          </w:p>
          <w:p w:rsidR="00E33D41" w:rsidRPr="00CE4F23" w:rsidRDefault="00E33D41" w:rsidP="00874F7B">
            <w:pPr>
              <w:pStyle w:val="a4"/>
              <w:numPr>
                <w:ilvl w:val="0"/>
                <w:numId w:val="2"/>
              </w:numPr>
              <w:tabs>
                <w:tab w:val="left" w:pos="284"/>
              </w:tabs>
              <w:ind w:left="0" w:firstLine="0"/>
              <w:jc w:val="both"/>
              <w:rPr>
                <w:rFonts w:ascii="Times New Roman" w:hAnsi="Times New Roman" w:cs="Times New Roman"/>
                <w:sz w:val="24"/>
                <w:szCs w:val="24"/>
                <w:lang w:val="ro-RO"/>
              </w:rPr>
            </w:pPr>
            <w:r w:rsidRPr="00CE4F23">
              <w:rPr>
                <w:rFonts w:ascii="Times New Roman" w:hAnsi="Times New Roman" w:cs="Times New Roman"/>
                <w:sz w:val="24"/>
                <w:szCs w:val="24"/>
                <w:lang w:val="ro-RO"/>
              </w:rPr>
              <w:t xml:space="preserve"> capacitatea instituțională de susținere a studiilor superioare de doctorat, ciclul III, reflectată în solicitările de granturi înaintate de instituțiile de învățământ superior, </w:t>
            </w:r>
            <w:r w:rsidRPr="00CE4F23">
              <w:rPr>
                <w:rFonts w:ascii="Times New Roman" w:hAnsi="Times New Roman" w:cs="Times New Roman"/>
                <w:color w:val="000000"/>
                <w:sz w:val="24"/>
                <w:szCs w:val="24"/>
                <w:lang w:val="ro-RO"/>
              </w:rPr>
              <w:t xml:space="preserve">consorţiile, parteneriatele </w:t>
            </w:r>
            <w:r w:rsidRPr="00CE4F23">
              <w:rPr>
                <w:rFonts w:ascii="Times New Roman" w:hAnsi="Times New Roman" w:cs="Times New Roman"/>
                <w:color w:val="000000"/>
                <w:sz w:val="24"/>
                <w:szCs w:val="24"/>
                <w:lang w:val="ro-RO"/>
              </w:rPr>
              <w:lastRenderedPageBreak/>
              <w:t>naţionale şi internaţionale, inclusiv cele constituite cu participarea organizaţiilor din sfera ştiinţei şi inovării.</w:t>
            </w:r>
            <w:r w:rsidRPr="00CE4F23">
              <w:rPr>
                <w:rFonts w:ascii="Times New Roman" w:hAnsi="Times New Roman" w:cs="Times New Roman"/>
                <w:sz w:val="24"/>
                <w:szCs w:val="24"/>
                <w:lang w:val="ro-RO"/>
              </w:rPr>
              <w:t xml:space="preserve"> </w:t>
            </w:r>
          </w:p>
          <w:p w:rsidR="00E33D41" w:rsidRPr="006B7633" w:rsidRDefault="00E33D41" w:rsidP="00874F7B">
            <w:pPr>
              <w:pStyle w:val="a4"/>
              <w:numPr>
                <w:ilvl w:val="0"/>
                <w:numId w:val="2"/>
              </w:numPr>
              <w:tabs>
                <w:tab w:val="left" w:pos="284"/>
              </w:tabs>
              <w:ind w:left="0" w:firstLine="0"/>
              <w:jc w:val="both"/>
              <w:rPr>
                <w:rFonts w:ascii="Times New Roman" w:hAnsi="Times New Roman" w:cs="Times New Roman"/>
                <w:sz w:val="24"/>
                <w:szCs w:val="24"/>
                <w:lang w:val="ro-RO"/>
              </w:rPr>
            </w:pPr>
            <w:r w:rsidRPr="006B7633">
              <w:rPr>
                <w:rFonts w:ascii="Times New Roman" w:hAnsi="Times New Roman" w:cs="Times New Roman"/>
                <w:sz w:val="24"/>
                <w:szCs w:val="24"/>
                <w:lang w:val="ro-RO"/>
              </w:rPr>
              <w:t>necesitatea cadrelor calificate în instituții</w:t>
            </w:r>
            <w:r w:rsidR="00B745D8" w:rsidRPr="006B7633">
              <w:rPr>
                <w:rFonts w:ascii="Times New Roman" w:hAnsi="Times New Roman" w:cs="Times New Roman"/>
                <w:sz w:val="24"/>
                <w:szCs w:val="24"/>
                <w:lang w:val="ro-RO"/>
              </w:rPr>
              <w:t>le</w:t>
            </w:r>
            <w:r w:rsidRPr="006B7633">
              <w:rPr>
                <w:rFonts w:ascii="Times New Roman" w:hAnsi="Times New Roman" w:cs="Times New Roman"/>
                <w:sz w:val="24"/>
                <w:szCs w:val="24"/>
                <w:lang w:val="ro-RO"/>
              </w:rPr>
              <w:t xml:space="preserve"> de învățământ superior </w:t>
            </w:r>
            <w:r w:rsidR="00B745D8" w:rsidRPr="006B7633">
              <w:rPr>
                <w:rFonts w:ascii="Times New Roman" w:hAnsi="Times New Roman" w:cs="Times New Roman"/>
                <w:sz w:val="24"/>
                <w:szCs w:val="24"/>
                <w:lang w:val="ro-RO"/>
              </w:rPr>
              <w:t>și institutele de cercetare</w:t>
            </w:r>
            <w:r w:rsidRPr="006B7633">
              <w:rPr>
                <w:rFonts w:ascii="Times New Roman" w:hAnsi="Times New Roman" w:cs="Times New Roman"/>
                <w:sz w:val="24"/>
                <w:szCs w:val="24"/>
                <w:lang w:val="ro-RO"/>
              </w:rPr>
              <w:t>.</w:t>
            </w:r>
          </w:p>
          <w:p w:rsidR="00E33D41" w:rsidRPr="00CE4F23" w:rsidRDefault="00E33D41" w:rsidP="00874F7B">
            <w:pPr>
              <w:pStyle w:val="a4"/>
              <w:numPr>
                <w:ilvl w:val="0"/>
                <w:numId w:val="2"/>
              </w:numPr>
              <w:tabs>
                <w:tab w:val="left" w:pos="284"/>
              </w:tabs>
              <w:ind w:left="0" w:firstLine="0"/>
              <w:jc w:val="both"/>
              <w:rPr>
                <w:rFonts w:ascii="Times New Roman" w:hAnsi="Times New Roman" w:cs="Times New Roman"/>
                <w:sz w:val="24"/>
                <w:szCs w:val="24"/>
                <w:lang w:val="ro-RO"/>
              </w:rPr>
            </w:pPr>
            <w:r w:rsidRPr="00CE4F23">
              <w:rPr>
                <w:rFonts w:ascii="Times New Roman" w:hAnsi="Times New Roman" w:cs="Times New Roman"/>
                <w:sz w:val="24"/>
                <w:szCs w:val="24"/>
                <w:lang w:val="ro-RO"/>
              </w:rPr>
              <w:t>numărul proiectelor participante la competiția națională a proiectelor științifice în vederea repartizării granturilor doctorale de la bugetul de stat.</w:t>
            </w:r>
          </w:p>
          <w:p w:rsidR="00E33D41" w:rsidRPr="00CE4F23" w:rsidRDefault="00E33D41" w:rsidP="00874F7B">
            <w:pPr>
              <w:pStyle w:val="a4"/>
              <w:tabs>
                <w:tab w:val="left" w:pos="284"/>
                <w:tab w:val="left" w:pos="567"/>
              </w:tabs>
              <w:jc w:val="both"/>
              <w:rPr>
                <w:rFonts w:ascii="Times New Roman" w:eastAsia="Times New Roman" w:hAnsi="Times New Roman" w:cs="Times New Roman"/>
                <w:sz w:val="24"/>
                <w:szCs w:val="24"/>
                <w:lang w:val="ro-RO" w:eastAsia="ru-RU"/>
              </w:rPr>
            </w:pPr>
            <w:r w:rsidRPr="00CE4F23">
              <w:rPr>
                <w:rFonts w:ascii="Times New Roman" w:eastAsia="Times New Roman" w:hAnsi="Times New Roman" w:cs="Times New Roman"/>
                <w:sz w:val="24"/>
                <w:szCs w:val="24"/>
                <w:lang w:val="ro-RO" w:eastAsia="ru-RU"/>
              </w:rPr>
              <w:t>Astfel, numărul granturilor doctorale oferite pentru cele 6 domenii științifice incluse în Planul de admitere propus pentru anul academic 20</w:t>
            </w:r>
            <w:r w:rsidR="00191B0A">
              <w:rPr>
                <w:rFonts w:ascii="Times New Roman" w:eastAsia="Times New Roman" w:hAnsi="Times New Roman" w:cs="Times New Roman"/>
                <w:sz w:val="24"/>
                <w:szCs w:val="24"/>
                <w:lang w:val="ro-RO" w:eastAsia="ru-RU"/>
              </w:rPr>
              <w:t>20</w:t>
            </w:r>
            <w:r w:rsidR="007212A5">
              <w:rPr>
                <w:rFonts w:ascii="Times New Roman" w:eastAsia="Times New Roman" w:hAnsi="Times New Roman" w:cs="Times New Roman"/>
                <w:sz w:val="24"/>
                <w:szCs w:val="24"/>
                <w:lang w:val="ro-RO" w:eastAsia="ru-RU"/>
              </w:rPr>
              <w:t>-202</w:t>
            </w:r>
            <w:r w:rsidR="00191B0A">
              <w:rPr>
                <w:rFonts w:ascii="Times New Roman" w:eastAsia="Times New Roman" w:hAnsi="Times New Roman" w:cs="Times New Roman"/>
                <w:sz w:val="24"/>
                <w:szCs w:val="24"/>
                <w:lang w:val="ro-RO" w:eastAsia="ru-RU"/>
              </w:rPr>
              <w:t>1</w:t>
            </w:r>
            <w:r w:rsidRPr="00CE4F23">
              <w:rPr>
                <w:rFonts w:ascii="Times New Roman" w:eastAsia="Times New Roman" w:hAnsi="Times New Roman" w:cs="Times New Roman"/>
                <w:sz w:val="24"/>
                <w:szCs w:val="24"/>
                <w:lang w:val="ro-RO" w:eastAsia="ru-RU"/>
              </w:rPr>
              <w:t xml:space="preserve"> constituie pentru domeniul științific 1. Științe ale naturii – </w:t>
            </w:r>
            <w:r w:rsidR="001E4837">
              <w:rPr>
                <w:rFonts w:ascii="Times New Roman" w:eastAsia="Times New Roman" w:hAnsi="Times New Roman" w:cs="Times New Roman"/>
                <w:sz w:val="24"/>
                <w:szCs w:val="24"/>
                <w:lang w:val="ro-RO" w:eastAsia="ru-RU"/>
              </w:rPr>
              <w:t>39</w:t>
            </w:r>
            <w:r w:rsidRPr="00CE4F23">
              <w:rPr>
                <w:rFonts w:ascii="Times New Roman" w:eastAsia="Times New Roman" w:hAnsi="Times New Roman" w:cs="Times New Roman"/>
                <w:sz w:val="24"/>
                <w:szCs w:val="24"/>
                <w:lang w:val="ro-RO" w:eastAsia="ru-RU"/>
              </w:rPr>
              <w:t xml:space="preserve"> granturi, pentru domeniul științific 2. Științe inginerești și tehnologii – </w:t>
            </w:r>
            <w:r w:rsidR="007212A5">
              <w:rPr>
                <w:rFonts w:ascii="Times New Roman" w:eastAsia="Times New Roman" w:hAnsi="Times New Roman" w:cs="Times New Roman"/>
                <w:sz w:val="24"/>
                <w:szCs w:val="24"/>
                <w:lang w:val="ro-RO" w:eastAsia="ru-RU"/>
              </w:rPr>
              <w:t>2</w:t>
            </w:r>
            <w:r w:rsidR="001E4837">
              <w:rPr>
                <w:rFonts w:ascii="Times New Roman" w:eastAsia="Times New Roman" w:hAnsi="Times New Roman" w:cs="Times New Roman"/>
                <w:sz w:val="24"/>
                <w:szCs w:val="24"/>
                <w:lang w:val="ro-RO" w:eastAsia="ru-RU"/>
              </w:rPr>
              <w:t>3</w:t>
            </w:r>
            <w:r w:rsidRPr="00CE4F23">
              <w:rPr>
                <w:rFonts w:ascii="Times New Roman" w:eastAsia="Times New Roman" w:hAnsi="Times New Roman" w:cs="Times New Roman"/>
                <w:sz w:val="24"/>
                <w:szCs w:val="24"/>
                <w:lang w:val="ro-RO" w:eastAsia="ru-RU"/>
              </w:rPr>
              <w:t xml:space="preserve"> granturi, pentru domeniul științific 3. Științe medicale – </w:t>
            </w:r>
            <w:r w:rsidR="007212A5">
              <w:rPr>
                <w:rFonts w:ascii="Times New Roman" w:eastAsia="Times New Roman" w:hAnsi="Times New Roman" w:cs="Times New Roman"/>
                <w:sz w:val="24"/>
                <w:szCs w:val="24"/>
                <w:lang w:val="ro-RO" w:eastAsia="ru-RU"/>
              </w:rPr>
              <w:t>70</w:t>
            </w:r>
            <w:r w:rsidRPr="00CE4F23">
              <w:rPr>
                <w:rFonts w:ascii="Times New Roman" w:eastAsia="Times New Roman" w:hAnsi="Times New Roman" w:cs="Times New Roman"/>
                <w:sz w:val="24"/>
                <w:szCs w:val="24"/>
                <w:lang w:val="ro-RO" w:eastAsia="ru-RU"/>
              </w:rPr>
              <w:t xml:space="preserve"> granturi, pentru domeniul științific 4. Științe agricole – 1</w:t>
            </w:r>
            <w:r w:rsidR="001E4837">
              <w:rPr>
                <w:rFonts w:ascii="Times New Roman" w:eastAsia="Times New Roman" w:hAnsi="Times New Roman" w:cs="Times New Roman"/>
                <w:sz w:val="24"/>
                <w:szCs w:val="24"/>
                <w:lang w:val="ro-RO" w:eastAsia="ru-RU"/>
              </w:rPr>
              <w:t>3</w:t>
            </w:r>
            <w:r w:rsidRPr="00CE4F23">
              <w:rPr>
                <w:rFonts w:ascii="Times New Roman" w:eastAsia="Times New Roman" w:hAnsi="Times New Roman" w:cs="Times New Roman"/>
                <w:sz w:val="24"/>
                <w:szCs w:val="24"/>
                <w:lang w:val="ro-RO" w:eastAsia="ru-RU"/>
              </w:rPr>
              <w:t xml:space="preserve"> granturi, pentru domeniul științific 5. Științe sociale și economice – 1</w:t>
            </w:r>
            <w:r w:rsidR="00A26FAB">
              <w:rPr>
                <w:rFonts w:ascii="Times New Roman" w:eastAsia="Times New Roman" w:hAnsi="Times New Roman" w:cs="Times New Roman"/>
                <w:sz w:val="24"/>
                <w:szCs w:val="24"/>
                <w:lang w:val="ro-RO" w:eastAsia="ru-RU"/>
              </w:rPr>
              <w:t>2</w:t>
            </w:r>
            <w:r w:rsidR="00985BFC">
              <w:rPr>
                <w:rFonts w:ascii="Times New Roman" w:eastAsia="Times New Roman" w:hAnsi="Times New Roman" w:cs="Times New Roman"/>
                <w:sz w:val="24"/>
                <w:szCs w:val="24"/>
                <w:lang w:val="ro-RO" w:eastAsia="ru-RU"/>
              </w:rPr>
              <w:t>3</w:t>
            </w:r>
            <w:r w:rsidRPr="00CE4F23">
              <w:rPr>
                <w:rFonts w:ascii="Times New Roman" w:eastAsia="Times New Roman" w:hAnsi="Times New Roman" w:cs="Times New Roman"/>
                <w:sz w:val="24"/>
                <w:szCs w:val="24"/>
                <w:lang w:val="ro-RO" w:eastAsia="ru-RU"/>
              </w:rPr>
              <w:t xml:space="preserve"> granturi și pentru domeniul șt</w:t>
            </w:r>
            <w:r w:rsidR="00AC0383">
              <w:rPr>
                <w:rFonts w:ascii="Times New Roman" w:eastAsia="Times New Roman" w:hAnsi="Times New Roman" w:cs="Times New Roman"/>
                <w:sz w:val="24"/>
                <w:szCs w:val="24"/>
                <w:lang w:val="ro-RO" w:eastAsia="ru-RU"/>
              </w:rPr>
              <w:t>iințific 6. Științe umaniste – 45</w:t>
            </w:r>
            <w:r w:rsidRPr="00CE4F23">
              <w:rPr>
                <w:rFonts w:ascii="Times New Roman" w:eastAsia="Times New Roman" w:hAnsi="Times New Roman" w:cs="Times New Roman"/>
                <w:sz w:val="24"/>
                <w:szCs w:val="24"/>
                <w:lang w:val="ro-RO" w:eastAsia="ru-RU"/>
              </w:rPr>
              <w:t xml:space="preserve"> granturi.</w:t>
            </w:r>
            <w:r w:rsidRPr="00CE4F23">
              <w:rPr>
                <w:rFonts w:ascii="Times New Roman" w:eastAsia="Times New Roman" w:hAnsi="Times New Roman" w:cs="Times New Roman"/>
                <w:sz w:val="24"/>
                <w:szCs w:val="24"/>
                <w:lang w:val="ro-RO" w:eastAsia="ru-RU"/>
              </w:rPr>
              <w:tab/>
            </w:r>
          </w:p>
          <w:p w:rsidR="00E33D41" w:rsidRPr="00CE4F23" w:rsidRDefault="00E33D41" w:rsidP="00874F7B">
            <w:pPr>
              <w:pStyle w:val="a4"/>
              <w:tabs>
                <w:tab w:val="left" w:pos="567"/>
              </w:tabs>
              <w:jc w:val="both"/>
              <w:rPr>
                <w:rFonts w:ascii="Times New Roman" w:eastAsia="Times New Roman" w:hAnsi="Times New Roman" w:cs="Times New Roman"/>
                <w:sz w:val="24"/>
                <w:szCs w:val="24"/>
                <w:lang w:val="ro-RO" w:eastAsia="ru-RU"/>
              </w:rPr>
            </w:pPr>
            <w:r w:rsidRPr="00CE4F23">
              <w:rPr>
                <w:rFonts w:ascii="Times New Roman" w:eastAsia="Times New Roman" w:hAnsi="Times New Roman" w:cs="Times New Roman"/>
                <w:sz w:val="24"/>
                <w:szCs w:val="24"/>
                <w:lang w:val="ro-RO" w:eastAsia="ru-RU"/>
              </w:rPr>
              <w:t xml:space="preserve">La propunerea Direcției </w:t>
            </w:r>
            <w:r w:rsidR="003F03C5">
              <w:rPr>
                <w:rFonts w:ascii="Times New Roman" w:eastAsia="Times New Roman" w:hAnsi="Times New Roman" w:cs="Times New Roman"/>
                <w:sz w:val="24"/>
                <w:szCs w:val="24"/>
                <w:lang w:val="ro-RO" w:eastAsia="ru-RU"/>
              </w:rPr>
              <w:t xml:space="preserve">Analiză, Monitorizare și Evaluare a Politicilor </w:t>
            </w:r>
            <w:r w:rsidRPr="00CE4F23">
              <w:rPr>
                <w:rFonts w:ascii="Times New Roman" w:eastAsia="Times New Roman" w:hAnsi="Times New Roman" w:cs="Times New Roman"/>
                <w:sz w:val="24"/>
                <w:szCs w:val="24"/>
                <w:lang w:val="ro-RO" w:eastAsia="ru-RU"/>
              </w:rPr>
              <w:t xml:space="preserve">a Ministerului Educației, Culturii și Cercetării, proiectul Planului de admitere la studii superioare de doctorat, ciclul III, prevede </w:t>
            </w:r>
            <w:r w:rsidRPr="001A7D7E">
              <w:rPr>
                <w:rFonts w:ascii="Times New Roman" w:eastAsia="Times New Roman" w:hAnsi="Times New Roman" w:cs="Times New Roman"/>
                <w:sz w:val="24"/>
                <w:szCs w:val="24"/>
                <w:lang w:val="ro-RO" w:eastAsia="ru-RU"/>
              </w:rPr>
              <w:t>15</w:t>
            </w:r>
            <w:r w:rsidRPr="00CE4F23">
              <w:rPr>
                <w:rFonts w:ascii="Times New Roman" w:eastAsia="Times New Roman" w:hAnsi="Times New Roman" w:cs="Times New Roman"/>
                <w:sz w:val="24"/>
                <w:szCs w:val="24"/>
                <w:lang w:val="ro-RO" w:eastAsia="ru-RU"/>
              </w:rPr>
              <w:t xml:space="preserve"> locuri cu finanțare de la bugetul de stat pentru străini, în baza tratatelor internaționale la care Republica Moldova este parte.</w:t>
            </w:r>
          </w:p>
          <w:p w:rsidR="00E33D41" w:rsidRDefault="00E33D41" w:rsidP="00874F7B">
            <w:pPr>
              <w:pStyle w:val="a4"/>
              <w:tabs>
                <w:tab w:val="left" w:pos="567"/>
              </w:tabs>
              <w:jc w:val="both"/>
              <w:rPr>
                <w:rFonts w:ascii="Times New Roman" w:hAnsi="Times New Roman" w:cs="Times New Roman"/>
                <w:sz w:val="24"/>
                <w:szCs w:val="24"/>
                <w:lang w:val="ro-RO"/>
              </w:rPr>
            </w:pPr>
            <w:r w:rsidRPr="00CE4F23">
              <w:rPr>
                <w:rFonts w:ascii="Times New Roman" w:eastAsia="Times New Roman" w:hAnsi="Times New Roman" w:cs="Times New Roman"/>
                <w:color w:val="000000"/>
                <w:sz w:val="24"/>
                <w:szCs w:val="24"/>
                <w:lang w:val="ro-RO"/>
              </w:rPr>
              <w:t>Acordarea granturilor doctorale se realizează pe bază de competiţie de proiecte ştiinţifice între Ș</w:t>
            </w:r>
            <w:r w:rsidRPr="00CE4F23">
              <w:rPr>
                <w:rFonts w:ascii="Times New Roman" w:hAnsi="Times New Roman" w:cs="Times New Roman"/>
                <w:color w:val="000000"/>
                <w:sz w:val="24"/>
                <w:szCs w:val="24"/>
                <w:lang w:val="ro-RO"/>
              </w:rPr>
              <w:t>colile doctorale ale instituţiilor de învățământ superior şi ale consorţiilor sau parteneriatelor naţionale şi internaţionale autorizate provizoriu sau acreditate, conform prevederilor cadrului normativ în vigoare</w:t>
            </w:r>
            <w:r w:rsidRPr="00CE4F23">
              <w:rPr>
                <w:rFonts w:ascii="Times New Roman" w:eastAsia="Times New Roman" w:hAnsi="Times New Roman" w:cs="Times New Roman"/>
                <w:color w:val="000000"/>
                <w:sz w:val="24"/>
                <w:szCs w:val="24"/>
                <w:lang w:val="ro-RO"/>
              </w:rPr>
              <w:t xml:space="preserve">, care au depus dosare de participare </w:t>
            </w:r>
            <w:r w:rsidRPr="00CE4F23">
              <w:rPr>
                <w:rFonts w:ascii="Times New Roman" w:hAnsi="Times New Roman" w:cs="Times New Roman"/>
                <w:sz w:val="24"/>
                <w:szCs w:val="24"/>
                <w:lang w:val="ro-RO"/>
              </w:rPr>
              <w:t>în cadrul competiției naționale a granturilor doctorale pentru anul academic 20</w:t>
            </w:r>
            <w:r w:rsidR="001E4837">
              <w:rPr>
                <w:rFonts w:ascii="Times New Roman" w:hAnsi="Times New Roman" w:cs="Times New Roman"/>
                <w:sz w:val="24"/>
                <w:szCs w:val="24"/>
                <w:lang w:val="ro-RO"/>
              </w:rPr>
              <w:t>20</w:t>
            </w:r>
            <w:r w:rsidR="00D63194">
              <w:rPr>
                <w:rFonts w:ascii="Times New Roman" w:hAnsi="Times New Roman" w:cs="Times New Roman"/>
                <w:sz w:val="24"/>
                <w:szCs w:val="24"/>
                <w:lang w:val="ro-RO"/>
              </w:rPr>
              <w:t>-202</w:t>
            </w:r>
            <w:r w:rsidR="001E4837">
              <w:rPr>
                <w:rFonts w:ascii="Times New Roman" w:hAnsi="Times New Roman" w:cs="Times New Roman"/>
                <w:sz w:val="24"/>
                <w:szCs w:val="24"/>
                <w:lang w:val="ro-RO"/>
              </w:rPr>
              <w:t>1</w:t>
            </w:r>
            <w:r w:rsidRPr="00CE4F23">
              <w:rPr>
                <w:rFonts w:ascii="Times New Roman" w:hAnsi="Times New Roman" w:cs="Times New Roman"/>
                <w:sz w:val="24"/>
                <w:szCs w:val="24"/>
                <w:lang w:val="ro-RO"/>
              </w:rPr>
              <w:t>.</w:t>
            </w:r>
          </w:p>
          <w:p w:rsidR="00E33D41" w:rsidRPr="00CE4F23" w:rsidRDefault="00205E78" w:rsidP="00874F7B">
            <w:pPr>
              <w:pStyle w:val="a4"/>
              <w:tabs>
                <w:tab w:val="left" w:pos="567"/>
              </w:tabs>
              <w:jc w:val="both"/>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Dosarele Școlilor doctorale, conducătorilor de doctorat și proiectele științifice au fost validate și evaluate de către un grup de experți naționali din domeniile științifice </w:t>
            </w:r>
            <w:r w:rsidRPr="00CE4F23">
              <w:rPr>
                <w:rFonts w:ascii="Times New Roman" w:eastAsia="Times New Roman" w:hAnsi="Times New Roman" w:cs="Times New Roman"/>
                <w:sz w:val="24"/>
                <w:szCs w:val="24"/>
                <w:lang w:val="ro-RO"/>
              </w:rPr>
              <w:t xml:space="preserve">prevăzute </w:t>
            </w:r>
            <w:r w:rsidRPr="00F75911">
              <w:rPr>
                <w:rFonts w:ascii="Times New Roman" w:eastAsia="Times New Roman" w:hAnsi="Times New Roman" w:cs="Times New Roman"/>
                <w:sz w:val="24"/>
                <w:szCs w:val="24"/>
                <w:lang w:val="ro-RO"/>
              </w:rPr>
              <w:t>de Nomenclatorul specialităților științifice</w:t>
            </w:r>
            <w:r w:rsidR="00F75911" w:rsidRPr="00F75911">
              <w:rPr>
                <w:rFonts w:ascii="Times New Roman" w:eastAsia="Times New Roman" w:hAnsi="Times New Roman" w:cs="Times New Roman"/>
                <w:sz w:val="24"/>
                <w:szCs w:val="24"/>
                <w:lang w:val="ro-RO"/>
              </w:rPr>
              <w:t>.</w:t>
            </w:r>
            <w:r w:rsidR="00F75911">
              <w:rPr>
                <w:rFonts w:ascii="Times New Roman" w:eastAsia="Times New Roman" w:hAnsi="Times New Roman" w:cs="Times New Roman"/>
                <w:sz w:val="24"/>
                <w:szCs w:val="24"/>
                <w:lang w:val="ro-RO"/>
              </w:rPr>
              <w:t xml:space="preserve"> La selectarea experților s-a ținut cont de pregătirea profesională, experiența și expertiza în evaluarea instituțională, activitatea de cercetare în domeniu la nivel național, experiența internațională în cercetare, calitatea de conducător de doctorat și relevanța domeniului științific. </w:t>
            </w:r>
            <w:r w:rsidR="00F13042" w:rsidRPr="00784C6E">
              <w:rPr>
                <w:rFonts w:ascii="Times New Roman" w:hAnsi="Times New Roman"/>
                <w:sz w:val="24"/>
                <w:szCs w:val="24"/>
                <w:lang w:val="ro-RO"/>
              </w:rPr>
              <w:t xml:space="preserve">Astfel, la Ministerul Educației, Culturii și Cercetării au fost depuse </w:t>
            </w:r>
            <w:r w:rsidR="00F13042">
              <w:rPr>
                <w:rFonts w:ascii="Times New Roman" w:hAnsi="Times New Roman"/>
                <w:sz w:val="24"/>
                <w:szCs w:val="24"/>
                <w:lang w:val="ro-RO"/>
              </w:rPr>
              <w:t>dosare</w:t>
            </w:r>
            <w:r w:rsidR="00F13042" w:rsidRPr="00784C6E">
              <w:rPr>
                <w:rFonts w:ascii="Times New Roman" w:hAnsi="Times New Roman"/>
                <w:sz w:val="24"/>
                <w:szCs w:val="24"/>
                <w:lang w:val="ro-RO"/>
              </w:rPr>
              <w:t xml:space="preserve"> din cadrul </w:t>
            </w:r>
            <w:r w:rsidR="00F13042" w:rsidRPr="001A7D7E">
              <w:rPr>
                <w:rFonts w:ascii="Times New Roman" w:hAnsi="Times New Roman"/>
                <w:sz w:val="24"/>
                <w:szCs w:val="24"/>
                <w:lang w:val="ro-RO"/>
              </w:rPr>
              <w:t xml:space="preserve">a </w:t>
            </w:r>
            <w:r w:rsidR="001C31A4" w:rsidRPr="001A7D7E">
              <w:rPr>
                <w:rFonts w:ascii="Times New Roman" w:hAnsi="Times New Roman"/>
                <w:sz w:val="24"/>
                <w:szCs w:val="24"/>
                <w:lang w:val="ro-RO"/>
              </w:rPr>
              <w:t>36</w:t>
            </w:r>
            <w:r w:rsidR="00F13042" w:rsidRPr="001A7D7E">
              <w:rPr>
                <w:rFonts w:ascii="Times New Roman" w:hAnsi="Times New Roman"/>
                <w:sz w:val="24"/>
                <w:szCs w:val="24"/>
                <w:lang w:val="ro-RO"/>
              </w:rPr>
              <w:t xml:space="preserve"> Școli doctorale și 16</w:t>
            </w:r>
            <w:r w:rsidR="00F13042">
              <w:rPr>
                <w:rFonts w:ascii="Times New Roman" w:hAnsi="Times New Roman"/>
                <w:sz w:val="24"/>
                <w:szCs w:val="24"/>
                <w:lang w:val="ro-RO"/>
              </w:rPr>
              <w:t xml:space="preserve"> </w:t>
            </w:r>
            <w:r w:rsidR="00F13042" w:rsidRPr="00784C6E">
              <w:rPr>
                <w:rFonts w:ascii="Times New Roman" w:hAnsi="Times New Roman"/>
                <w:sz w:val="24"/>
                <w:szCs w:val="24"/>
                <w:lang w:val="ro-RO"/>
              </w:rPr>
              <w:t>instituții</w:t>
            </w:r>
            <w:r w:rsidR="00AF7778">
              <w:rPr>
                <w:rFonts w:ascii="Times New Roman" w:hAnsi="Times New Roman"/>
                <w:sz w:val="24"/>
                <w:szCs w:val="24"/>
                <w:lang w:val="ro-RO"/>
              </w:rPr>
              <w:t>,</w:t>
            </w:r>
            <w:r w:rsidR="00F13042" w:rsidRPr="00784C6E">
              <w:rPr>
                <w:rFonts w:ascii="Times New Roman" w:hAnsi="Times New Roman"/>
                <w:sz w:val="24"/>
                <w:szCs w:val="24"/>
                <w:lang w:val="ro-RO"/>
              </w:rPr>
              <w:t xml:space="preserve"> </w:t>
            </w:r>
            <w:r w:rsidR="00AF7778">
              <w:rPr>
                <w:rFonts w:ascii="Times New Roman" w:hAnsi="Times New Roman" w:cs="Times New Roman"/>
                <w:color w:val="000000"/>
                <w:sz w:val="24"/>
                <w:szCs w:val="24"/>
                <w:lang w:val="ro-RO"/>
              </w:rPr>
              <w:t>consorţii și p</w:t>
            </w:r>
            <w:r w:rsidR="00AF7778" w:rsidRPr="00CE4F23">
              <w:rPr>
                <w:rFonts w:ascii="Times New Roman" w:hAnsi="Times New Roman" w:cs="Times New Roman"/>
                <w:color w:val="000000"/>
                <w:sz w:val="24"/>
                <w:szCs w:val="24"/>
                <w:lang w:val="ro-RO"/>
              </w:rPr>
              <w:t xml:space="preserve">arteneriate naţionale </w:t>
            </w:r>
            <w:r w:rsidR="00F13042" w:rsidRPr="00784C6E">
              <w:rPr>
                <w:rFonts w:ascii="Times New Roman" w:hAnsi="Times New Roman"/>
                <w:sz w:val="24"/>
                <w:szCs w:val="24"/>
                <w:lang w:val="ro-RO"/>
              </w:rPr>
              <w:t>organizatoare de studii superioare de doctorat</w:t>
            </w:r>
            <w:r w:rsidR="002C7D2D">
              <w:rPr>
                <w:rFonts w:ascii="Times New Roman" w:hAnsi="Times New Roman"/>
                <w:sz w:val="24"/>
                <w:szCs w:val="24"/>
                <w:lang w:val="ro-RO"/>
              </w:rPr>
              <w:t xml:space="preserve">. </w:t>
            </w:r>
            <w:r w:rsidR="00E33D41" w:rsidRPr="00CE4F23">
              <w:rPr>
                <w:rFonts w:ascii="Times New Roman" w:eastAsia="Times New Roman" w:hAnsi="Times New Roman" w:cs="Times New Roman"/>
                <w:color w:val="000000"/>
                <w:sz w:val="24"/>
                <w:szCs w:val="24"/>
                <w:lang w:val="ro-RO"/>
              </w:rPr>
              <w:t xml:space="preserve">Locurile prin contract, cu achitarea taxei de studii pentru studiile superioare de doctorat, ciclul III, sunt stabilite de către Școala doctorală autorizată provizoriu sau acreditată, </w:t>
            </w:r>
            <w:r w:rsidR="00E33D41" w:rsidRPr="00CE4F23">
              <w:rPr>
                <w:rFonts w:ascii="Times New Roman" w:hAnsi="Times New Roman" w:cs="Times New Roman"/>
                <w:color w:val="000000"/>
                <w:sz w:val="24"/>
                <w:szCs w:val="24"/>
                <w:lang w:val="ro-RO"/>
              </w:rPr>
              <w:t>în conformitate cu prevederile cadrului normativ în vigoare,</w:t>
            </w:r>
            <w:r w:rsidR="00E33D41" w:rsidRPr="00CE4F23">
              <w:rPr>
                <w:rFonts w:ascii="Times New Roman" w:eastAsia="Times New Roman" w:hAnsi="Times New Roman" w:cs="Times New Roman"/>
                <w:color w:val="000000"/>
                <w:sz w:val="24"/>
                <w:szCs w:val="24"/>
                <w:lang w:val="ro-RO"/>
              </w:rPr>
              <w:t xml:space="preserve"> cu informarea Ministerului Educației, Culturii și Cercetării. </w:t>
            </w:r>
          </w:p>
          <w:p w:rsidR="00E33D41" w:rsidRPr="00CE4F23" w:rsidRDefault="00E33D41" w:rsidP="00874F7B">
            <w:pPr>
              <w:pStyle w:val="a3"/>
              <w:spacing w:before="0" w:beforeAutospacing="0" w:after="0" w:afterAutospacing="0"/>
              <w:jc w:val="both"/>
              <w:textAlignment w:val="baseline"/>
              <w:rPr>
                <w:lang w:val="ro-RO"/>
              </w:rPr>
            </w:pPr>
            <w:r w:rsidRPr="00CE4F23">
              <w:rPr>
                <w:lang w:val="ro-RO"/>
              </w:rPr>
              <w:t>Acordarea de granturi doctorale pe bază de competiție de proiecte științifice între Școlile doctorale va contribui la sporirea calității studiilor superioare de doctorat și a învățământului superior în ansamblu.</w:t>
            </w:r>
          </w:p>
        </w:tc>
      </w:tr>
      <w:tr w:rsidR="00E33D41" w:rsidRPr="009361B9" w:rsidTr="00A75AE6">
        <w:tc>
          <w:tcPr>
            <w:tcW w:w="5000" w:type="pct"/>
          </w:tcPr>
          <w:p w:rsidR="00E33D41" w:rsidRPr="00A12F32" w:rsidRDefault="00E33D41" w:rsidP="00874F7B">
            <w:pPr>
              <w:tabs>
                <w:tab w:val="left" w:pos="884"/>
                <w:tab w:val="left" w:pos="1196"/>
              </w:tabs>
              <w:spacing w:after="0" w:line="240" w:lineRule="auto"/>
              <w:jc w:val="both"/>
              <w:rPr>
                <w:rFonts w:ascii="Times New Roman" w:hAnsi="Times New Roman"/>
                <w:b/>
                <w:sz w:val="24"/>
                <w:szCs w:val="24"/>
                <w:lang w:val="ro-MO"/>
              </w:rPr>
            </w:pPr>
            <w:r w:rsidRPr="00A12F32">
              <w:rPr>
                <w:rFonts w:ascii="Times New Roman" w:hAnsi="Times New Roman"/>
                <w:b/>
                <w:sz w:val="24"/>
                <w:szCs w:val="24"/>
                <w:lang w:val="ro-MO"/>
              </w:rPr>
              <w:lastRenderedPageBreak/>
              <w:t>5. Fundamentarea economico-financiară</w:t>
            </w:r>
          </w:p>
        </w:tc>
      </w:tr>
      <w:tr w:rsidR="00E33D41" w:rsidRPr="001855FC" w:rsidTr="00A75AE6">
        <w:tc>
          <w:tcPr>
            <w:tcW w:w="5000" w:type="pct"/>
          </w:tcPr>
          <w:p w:rsidR="00E33D41" w:rsidRPr="00CE4F23" w:rsidRDefault="00E33D41" w:rsidP="00874F7B">
            <w:pPr>
              <w:pStyle w:val="a3"/>
              <w:spacing w:before="0" w:beforeAutospacing="0" w:after="0" w:afterAutospacing="0"/>
              <w:jc w:val="both"/>
              <w:textAlignment w:val="baseline"/>
              <w:rPr>
                <w:lang w:val="ro-RO"/>
              </w:rPr>
            </w:pPr>
            <w:r w:rsidRPr="00CE4F23">
              <w:rPr>
                <w:lang w:val="ro-RO"/>
              </w:rPr>
              <w:t>Mijloacele financiare pentru granturile doctorale se alocă anual prin Legea bugetului de stat. Referitor la limita cheltuielilor prevăzute în acest scop, în Proiectul Planului de admitere la studiile superioare de doctorat, ciclul III, pentru anul academic 20</w:t>
            </w:r>
            <w:r w:rsidR="00F37281">
              <w:rPr>
                <w:lang w:val="ro-RO"/>
              </w:rPr>
              <w:t>20</w:t>
            </w:r>
            <w:r w:rsidRPr="00CE4F23">
              <w:rPr>
                <w:lang w:val="ro-RO"/>
              </w:rPr>
              <w:t>-202</w:t>
            </w:r>
            <w:r w:rsidR="00F37281">
              <w:rPr>
                <w:lang w:val="ro-RO"/>
              </w:rPr>
              <w:t>1</w:t>
            </w:r>
            <w:r w:rsidRPr="00CE4F23">
              <w:rPr>
                <w:lang w:val="ro-RO"/>
              </w:rPr>
              <w:t xml:space="preserve"> se propune a fi incluse 313 locuri cu finanțare de la bugetul de stat.</w:t>
            </w:r>
          </w:p>
          <w:p w:rsidR="00E33D41" w:rsidRPr="00E33D41" w:rsidRDefault="00E33D41" w:rsidP="001C31A4">
            <w:pPr>
              <w:pStyle w:val="a4"/>
              <w:jc w:val="both"/>
              <w:rPr>
                <w:rFonts w:ascii="Times New Roman" w:hAnsi="Times New Roman"/>
                <w:sz w:val="24"/>
                <w:szCs w:val="24"/>
                <w:lang w:val="ro-RO"/>
              </w:rPr>
            </w:pPr>
            <w:r w:rsidRPr="00A01FA1">
              <w:rPr>
                <w:rFonts w:ascii="Times New Roman" w:hAnsi="Times New Roman" w:cs="Times New Roman"/>
                <w:sz w:val="24"/>
                <w:szCs w:val="24"/>
                <w:lang w:val="ro-MO"/>
              </w:rPr>
              <w:t>Redistribuirea alocațiilor pentru anul academic 20</w:t>
            </w:r>
            <w:r w:rsidR="001C31A4" w:rsidRPr="00A01FA1">
              <w:rPr>
                <w:rFonts w:ascii="Times New Roman" w:hAnsi="Times New Roman" w:cs="Times New Roman"/>
                <w:sz w:val="24"/>
                <w:szCs w:val="24"/>
                <w:lang w:val="ro-MO"/>
              </w:rPr>
              <w:t>20</w:t>
            </w:r>
            <w:r w:rsidRPr="00A01FA1">
              <w:rPr>
                <w:rFonts w:ascii="Times New Roman" w:hAnsi="Times New Roman" w:cs="Times New Roman"/>
                <w:sz w:val="24"/>
                <w:szCs w:val="24"/>
                <w:lang w:val="ro-MO"/>
              </w:rPr>
              <w:t>-202</w:t>
            </w:r>
            <w:r w:rsidR="001C31A4" w:rsidRPr="00A01FA1">
              <w:rPr>
                <w:rFonts w:ascii="Times New Roman" w:hAnsi="Times New Roman" w:cs="Times New Roman"/>
                <w:sz w:val="24"/>
                <w:szCs w:val="24"/>
                <w:lang w:val="ro-MO"/>
              </w:rPr>
              <w:t>1</w:t>
            </w:r>
            <w:r w:rsidRPr="00A01FA1">
              <w:rPr>
                <w:rFonts w:ascii="Times New Roman" w:hAnsi="Times New Roman" w:cs="Times New Roman"/>
                <w:sz w:val="24"/>
                <w:szCs w:val="24"/>
                <w:lang w:val="ro-MO"/>
              </w:rPr>
              <w:t xml:space="preserve"> va fi efectuată între autoritățile publice centrale vizate.</w:t>
            </w:r>
          </w:p>
        </w:tc>
      </w:tr>
      <w:tr w:rsidR="00E33D41" w:rsidRPr="009361B9" w:rsidTr="00A75AE6">
        <w:tc>
          <w:tcPr>
            <w:tcW w:w="5000" w:type="pct"/>
          </w:tcPr>
          <w:p w:rsidR="00E33D41" w:rsidRPr="007F0EF4" w:rsidRDefault="00E33D41" w:rsidP="00874F7B">
            <w:pPr>
              <w:tabs>
                <w:tab w:val="left" w:pos="884"/>
                <w:tab w:val="left" w:pos="1196"/>
              </w:tabs>
              <w:spacing w:after="0" w:line="240" w:lineRule="auto"/>
              <w:jc w:val="both"/>
              <w:rPr>
                <w:rFonts w:ascii="Times New Roman" w:hAnsi="Times New Roman"/>
                <w:b/>
                <w:sz w:val="24"/>
                <w:szCs w:val="24"/>
                <w:lang w:val="ro-MO"/>
              </w:rPr>
            </w:pPr>
            <w:r w:rsidRPr="007F0EF4">
              <w:rPr>
                <w:rFonts w:ascii="Times New Roman" w:hAnsi="Times New Roman"/>
                <w:b/>
                <w:sz w:val="24"/>
                <w:szCs w:val="24"/>
                <w:lang w:val="ro-MO"/>
              </w:rPr>
              <w:t>6. Modul de încorporare a actului în cadrul normativ în vigoare</w:t>
            </w:r>
          </w:p>
        </w:tc>
      </w:tr>
      <w:tr w:rsidR="00E33D41" w:rsidRPr="001855FC" w:rsidTr="00A75AE6">
        <w:tc>
          <w:tcPr>
            <w:tcW w:w="5000" w:type="pct"/>
          </w:tcPr>
          <w:p w:rsidR="00E33D41" w:rsidRPr="007F0EF4" w:rsidRDefault="00B3644A" w:rsidP="0027457C">
            <w:pPr>
              <w:tabs>
                <w:tab w:val="left" w:pos="884"/>
                <w:tab w:val="left" w:pos="1196"/>
              </w:tabs>
              <w:spacing w:after="0" w:line="240" w:lineRule="auto"/>
              <w:jc w:val="both"/>
              <w:rPr>
                <w:rFonts w:ascii="Times New Roman" w:hAnsi="Times New Roman"/>
                <w:sz w:val="24"/>
                <w:szCs w:val="24"/>
                <w:lang w:val="ro-MO"/>
              </w:rPr>
            </w:pPr>
            <w:r w:rsidRPr="007F0EF4">
              <w:rPr>
                <w:rFonts w:ascii="Times New Roman" w:hAnsi="Times New Roman"/>
                <w:sz w:val="24"/>
                <w:szCs w:val="24"/>
                <w:lang w:val="ro-RO"/>
              </w:rPr>
              <w:t xml:space="preserve">Proiectul </w:t>
            </w:r>
            <w:r w:rsidR="0027457C" w:rsidRPr="007F0EF4">
              <w:rPr>
                <w:rFonts w:ascii="Times New Roman" w:hAnsi="Times New Roman"/>
                <w:sz w:val="24"/>
                <w:szCs w:val="24"/>
                <w:lang w:val="ro-RO"/>
              </w:rPr>
              <w:t>este elaborat în conformitate cu cadrul normativ în vigoare și nu va necesita abrogarea unor acte normative</w:t>
            </w:r>
            <w:r w:rsidRPr="007F0EF4">
              <w:rPr>
                <w:rFonts w:ascii="Times New Roman" w:hAnsi="Times New Roman"/>
                <w:sz w:val="24"/>
                <w:szCs w:val="24"/>
                <w:lang w:val="ro-RO"/>
              </w:rPr>
              <w:t>.</w:t>
            </w:r>
          </w:p>
        </w:tc>
      </w:tr>
      <w:tr w:rsidR="00E33D41" w:rsidRPr="001855FC" w:rsidTr="00A75AE6">
        <w:tc>
          <w:tcPr>
            <w:tcW w:w="5000" w:type="pct"/>
          </w:tcPr>
          <w:p w:rsidR="00E33D41" w:rsidRPr="002D308A" w:rsidRDefault="00E33D41" w:rsidP="00874F7B">
            <w:pPr>
              <w:tabs>
                <w:tab w:val="left" w:pos="884"/>
                <w:tab w:val="left" w:pos="1196"/>
              </w:tabs>
              <w:spacing w:after="0" w:line="240" w:lineRule="auto"/>
              <w:jc w:val="both"/>
              <w:rPr>
                <w:rFonts w:ascii="Times New Roman" w:hAnsi="Times New Roman"/>
                <w:b/>
                <w:sz w:val="24"/>
                <w:szCs w:val="24"/>
                <w:lang w:val="ro-MO"/>
              </w:rPr>
            </w:pPr>
            <w:r w:rsidRPr="002D308A">
              <w:rPr>
                <w:rFonts w:ascii="Times New Roman" w:hAnsi="Times New Roman"/>
                <w:b/>
                <w:sz w:val="24"/>
                <w:szCs w:val="24"/>
                <w:lang w:val="ro-MO"/>
              </w:rPr>
              <w:t>7. Avizarea şi consultarea publică a proiectului</w:t>
            </w:r>
          </w:p>
        </w:tc>
      </w:tr>
      <w:tr w:rsidR="00E33D41" w:rsidRPr="001855FC" w:rsidTr="00A75AE6">
        <w:tc>
          <w:tcPr>
            <w:tcW w:w="5000" w:type="pct"/>
          </w:tcPr>
          <w:p w:rsidR="00E33D41" w:rsidRPr="002D308A" w:rsidRDefault="00360B17" w:rsidP="00360B17">
            <w:pPr>
              <w:tabs>
                <w:tab w:val="left" w:pos="884"/>
                <w:tab w:val="left" w:pos="1196"/>
              </w:tabs>
              <w:spacing w:after="0" w:line="240" w:lineRule="auto"/>
              <w:jc w:val="both"/>
              <w:rPr>
                <w:rFonts w:ascii="Times New Roman" w:hAnsi="Times New Roman"/>
                <w:sz w:val="24"/>
                <w:szCs w:val="24"/>
                <w:lang w:val="ro-RO"/>
              </w:rPr>
            </w:pPr>
            <w:r w:rsidRPr="002D308A">
              <w:rPr>
                <w:rFonts w:ascii="Times New Roman" w:hAnsi="Times New Roman"/>
                <w:sz w:val="24"/>
                <w:szCs w:val="24"/>
                <w:lang w:val="ro-RO"/>
              </w:rPr>
              <w:t>În vederea respectării prevederilor Legii nr. 239/2008 privind transparența în procesul decizional, p</w:t>
            </w:r>
            <w:r w:rsidR="00836BCA" w:rsidRPr="002D308A">
              <w:rPr>
                <w:rFonts w:ascii="Times New Roman" w:hAnsi="Times New Roman"/>
                <w:sz w:val="24"/>
                <w:szCs w:val="24"/>
                <w:lang w:val="ro-RO"/>
              </w:rPr>
              <w:t xml:space="preserve">roiectul </w:t>
            </w:r>
            <w:proofErr w:type="spellStart"/>
            <w:r w:rsidRPr="002D308A">
              <w:rPr>
                <w:rFonts w:ascii="Times New Roman" w:hAnsi="Times New Roman"/>
                <w:sz w:val="24"/>
                <w:szCs w:val="24"/>
                <w:lang w:val="ro-RO"/>
              </w:rPr>
              <w:t>Hotărîrii</w:t>
            </w:r>
            <w:proofErr w:type="spellEnd"/>
            <w:r w:rsidRPr="002D308A">
              <w:rPr>
                <w:rFonts w:ascii="Times New Roman" w:hAnsi="Times New Roman"/>
                <w:sz w:val="24"/>
                <w:szCs w:val="24"/>
                <w:lang w:val="ro-RO"/>
              </w:rPr>
              <w:t xml:space="preserve"> Guvernului va fi </w:t>
            </w:r>
            <w:r w:rsidR="00836BCA" w:rsidRPr="002D308A">
              <w:rPr>
                <w:rFonts w:ascii="Times New Roman" w:hAnsi="Times New Roman"/>
                <w:sz w:val="24"/>
                <w:szCs w:val="24"/>
                <w:lang w:val="ro-RO"/>
              </w:rPr>
              <w:t xml:space="preserve">plasat </w:t>
            </w:r>
            <w:r w:rsidRPr="002D308A">
              <w:rPr>
                <w:rFonts w:ascii="Times New Roman" w:hAnsi="Times New Roman"/>
                <w:sz w:val="24"/>
                <w:szCs w:val="24"/>
                <w:lang w:val="ro-RO"/>
              </w:rPr>
              <w:t xml:space="preserve">pe pagina web oficială a Ministerului Educației, Culturii și Cercetării, la compartimentul Transparența decizională și pe platforma </w:t>
            </w:r>
            <w:r w:rsidRPr="002D308A">
              <w:rPr>
                <w:rFonts w:ascii="Times New Roman" w:hAnsi="Times New Roman"/>
                <w:sz w:val="24"/>
                <w:szCs w:val="24"/>
                <w:lang w:val="ro-RO"/>
              </w:rPr>
              <w:lastRenderedPageBreak/>
              <w:t xml:space="preserve">guvernamentală </w:t>
            </w:r>
            <w:hyperlink r:id="rId6" w:history="1">
              <w:r w:rsidRPr="002D308A">
                <w:rPr>
                  <w:rStyle w:val="a5"/>
                  <w:rFonts w:ascii="Times New Roman" w:hAnsi="Times New Roman"/>
                  <w:color w:val="auto"/>
                  <w:sz w:val="24"/>
                  <w:szCs w:val="24"/>
                  <w:u w:val="none"/>
                  <w:lang w:val="ro-RO"/>
                </w:rPr>
                <w:t>www.particip.md</w:t>
              </w:r>
            </w:hyperlink>
            <w:r w:rsidR="00836BCA" w:rsidRPr="002D308A">
              <w:rPr>
                <w:rFonts w:ascii="Times New Roman" w:hAnsi="Times New Roman"/>
                <w:sz w:val="24"/>
                <w:szCs w:val="24"/>
                <w:lang w:val="ro-RO"/>
              </w:rPr>
              <w:t>.</w:t>
            </w:r>
          </w:p>
          <w:p w:rsidR="00360B17" w:rsidRPr="002D308A" w:rsidRDefault="00360B17" w:rsidP="00360B17">
            <w:pPr>
              <w:tabs>
                <w:tab w:val="left" w:pos="884"/>
                <w:tab w:val="left" w:pos="1196"/>
              </w:tabs>
              <w:spacing w:after="0" w:line="240" w:lineRule="auto"/>
              <w:jc w:val="both"/>
              <w:rPr>
                <w:rFonts w:ascii="Times New Roman" w:hAnsi="Times New Roman"/>
                <w:sz w:val="24"/>
                <w:szCs w:val="24"/>
                <w:lang w:val="ro-MO"/>
              </w:rPr>
            </w:pPr>
            <w:r w:rsidRPr="002D308A">
              <w:rPr>
                <w:rFonts w:ascii="Times New Roman" w:hAnsi="Times New Roman"/>
                <w:sz w:val="24"/>
                <w:szCs w:val="24"/>
                <w:lang w:val="ro-RO"/>
              </w:rPr>
              <w:t xml:space="preserve">În conformitate cu art.32 și </w:t>
            </w:r>
            <w:r w:rsidR="001855FC">
              <w:rPr>
                <w:rFonts w:ascii="Times New Roman" w:hAnsi="Times New Roman"/>
                <w:sz w:val="24"/>
                <w:szCs w:val="24"/>
                <w:lang w:val="ro-RO"/>
              </w:rPr>
              <w:t xml:space="preserve">art. 34 din Legea nr. 100/2017 </w:t>
            </w:r>
            <w:r w:rsidRPr="002D308A">
              <w:rPr>
                <w:rFonts w:ascii="Times New Roman" w:hAnsi="Times New Roman"/>
                <w:sz w:val="24"/>
                <w:szCs w:val="24"/>
                <w:lang w:val="ro-RO"/>
              </w:rPr>
              <w:t xml:space="preserve">Proiectul urmează a fi supus procedurii </w:t>
            </w:r>
            <w:r w:rsidR="000B6183">
              <w:rPr>
                <w:rFonts w:ascii="Times New Roman" w:hAnsi="Times New Roman"/>
                <w:sz w:val="24"/>
                <w:szCs w:val="24"/>
                <w:lang w:val="ro-RO"/>
              </w:rPr>
              <w:t>de avizare, consultare publică ș</w:t>
            </w:r>
            <w:r w:rsidRPr="002D308A">
              <w:rPr>
                <w:rFonts w:ascii="Times New Roman" w:hAnsi="Times New Roman"/>
                <w:sz w:val="24"/>
                <w:szCs w:val="24"/>
                <w:lang w:val="ro-RO"/>
              </w:rPr>
              <w:t>i expertizare.</w:t>
            </w:r>
          </w:p>
        </w:tc>
      </w:tr>
      <w:tr w:rsidR="00E33D41" w:rsidRPr="009361B9" w:rsidTr="00A75AE6">
        <w:tc>
          <w:tcPr>
            <w:tcW w:w="5000" w:type="pct"/>
          </w:tcPr>
          <w:p w:rsidR="00E33D41" w:rsidRPr="002D308A" w:rsidRDefault="00E33D41" w:rsidP="00874F7B">
            <w:pPr>
              <w:tabs>
                <w:tab w:val="left" w:pos="884"/>
                <w:tab w:val="left" w:pos="1196"/>
              </w:tabs>
              <w:spacing w:after="0" w:line="240" w:lineRule="auto"/>
              <w:jc w:val="both"/>
              <w:rPr>
                <w:rFonts w:ascii="Times New Roman" w:hAnsi="Times New Roman"/>
                <w:b/>
                <w:sz w:val="24"/>
                <w:szCs w:val="24"/>
                <w:lang w:val="ro-MO"/>
              </w:rPr>
            </w:pPr>
            <w:r w:rsidRPr="002D308A">
              <w:rPr>
                <w:rFonts w:ascii="Times New Roman" w:hAnsi="Times New Roman"/>
                <w:b/>
                <w:sz w:val="24"/>
                <w:szCs w:val="24"/>
                <w:lang w:val="ro-MO"/>
              </w:rPr>
              <w:lastRenderedPageBreak/>
              <w:t>8. Constatările expertizei anticorupție</w:t>
            </w:r>
          </w:p>
        </w:tc>
      </w:tr>
      <w:tr w:rsidR="00E33D41" w:rsidRPr="00360B17" w:rsidTr="00A75AE6">
        <w:tc>
          <w:tcPr>
            <w:tcW w:w="5000" w:type="pct"/>
          </w:tcPr>
          <w:p w:rsidR="00E33D41" w:rsidRPr="002D308A" w:rsidRDefault="00836BCA" w:rsidP="00360B17">
            <w:pPr>
              <w:tabs>
                <w:tab w:val="left" w:pos="884"/>
                <w:tab w:val="left" w:pos="1196"/>
              </w:tabs>
              <w:spacing w:after="0" w:line="240" w:lineRule="auto"/>
              <w:jc w:val="both"/>
              <w:rPr>
                <w:rFonts w:ascii="Times New Roman" w:hAnsi="Times New Roman"/>
                <w:sz w:val="24"/>
                <w:szCs w:val="24"/>
                <w:lang w:val="ro-MO"/>
              </w:rPr>
            </w:pPr>
            <w:r w:rsidRPr="002D308A">
              <w:rPr>
                <w:rFonts w:ascii="Times New Roman" w:hAnsi="Times New Roman"/>
                <w:sz w:val="24"/>
                <w:szCs w:val="24"/>
                <w:lang w:val="ro-RO"/>
              </w:rPr>
              <w:t xml:space="preserve">Proiectul </w:t>
            </w:r>
            <w:r w:rsidR="00360B17" w:rsidRPr="002D308A">
              <w:rPr>
                <w:rFonts w:ascii="Times New Roman" w:hAnsi="Times New Roman"/>
                <w:sz w:val="24"/>
                <w:szCs w:val="24"/>
                <w:lang w:val="ro-RO"/>
              </w:rPr>
              <w:t xml:space="preserve">urmează a fi supus </w:t>
            </w:r>
            <w:r w:rsidRPr="002D308A">
              <w:rPr>
                <w:rFonts w:ascii="Times New Roman" w:hAnsi="Times New Roman"/>
                <w:sz w:val="24"/>
                <w:szCs w:val="24"/>
                <w:lang w:val="ro-RO"/>
              </w:rPr>
              <w:t>expertizei anticorupţie</w:t>
            </w:r>
            <w:r w:rsidR="00360B17" w:rsidRPr="002D308A">
              <w:rPr>
                <w:rFonts w:ascii="Times New Roman" w:hAnsi="Times New Roman"/>
                <w:sz w:val="24"/>
                <w:szCs w:val="24"/>
                <w:lang w:val="ro-RO"/>
              </w:rPr>
              <w:t xml:space="preserve"> în cadrul procesului de avizare. </w:t>
            </w:r>
            <w:r w:rsidR="00870F48" w:rsidRPr="002D308A">
              <w:rPr>
                <w:rFonts w:ascii="Times New Roman" w:hAnsi="Times New Roman"/>
                <w:sz w:val="24"/>
                <w:szCs w:val="24"/>
                <w:lang w:val="ro-RO"/>
              </w:rPr>
              <w:t>Informația</w:t>
            </w:r>
            <w:r w:rsidR="00360B17" w:rsidRPr="002D308A">
              <w:rPr>
                <w:rFonts w:ascii="Times New Roman" w:hAnsi="Times New Roman"/>
                <w:sz w:val="24"/>
                <w:szCs w:val="24"/>
                <w:lang w:val="ro-RO"/>
              </w:rPr>
              <w:t xml:space="preserve"> privind rezultatele expertizei anticorupție va fi inclusă după recepționarea expertizei juridice în sinteza obiecțiilor și propunerilor/recomandărilor la prezentul proiect de </w:t>
            </w:r>
            <w:proofErr w:type="spellStart"/>
            <w:r w:rsidR="00360B17" w:rsidRPr="002D308A">
              <w:rPr>
                <w:rFonts w:ascii="Times New Roman" w:hAnsi="Times New Roman"/>
                <w:sz w:val="24"/>
                <w:szCs w:val="24"/>
                <w:lang w:val="ro-RO"/>
              </w:rPr>
              <w:t>hotărîre</w:t>
            </w:r>
            <w:proofErr w:type="spellEnd"/>
            <w:r w:rsidRPr="002D308A">
              <w:rPr>
                <w:rFonts w:ascii="Times New Roman" w:hAnsi="Times New Roman"/>
                <w:sz w:val="24"/>
                <w:szCs w:val="24"/>
                <w:lang w:val="ro-RO"/>
              </w:rPr>
              <w:t>.</w:t>
            </w:r>
          </w:p>
        </w:tc>
      </w:tr>
      <w:tr w:rsidR="00E33D41" w:rsidRPr="009361B9" w:rsidTr="00A75AE6">
        <w:tc>
          <w:tcPr>
            <w:tcW w:w="5000" w:type="pct"/>
          </w:tcPr>
          <w:p w:rsidR="00E33D41" w:rsidRPr="002D308A" w:rsidRDefault="00E33D41" w:rsidP="00874F7B">
            <w:pPr>
              <w:tabs>
                <w:tab w:val="left" w:pos="884"/>
                <w:tab w:val="left" w:pos="1196"/>
              </w:tabs>
              <w:spacing w:after="0" w:line="240" w:lineRule="auto"/>
              <w:jc w:val="both"/>
              <w:rPr>
                <w:rFonts w:ascii="Times New Roman" w:hAnsi="Times New Roman"/>
                <w:b/>
                <w:sz w:val="24"/>
                <w:szCs w:val="24"/>
                <w:lang w:val="ro-MO"/>
              </w:rPr>
            </w:pPr>
            <w:r w:rsidRPr="002D308A">
              <w:rPr>
                <w:rFonts w:ascii="Times New Roman" w:hAnsi="Times New Roman"/>
                <w:b/>
                <w:sz w:val="24"/>
                <w:szCs w:val="24"/>
                <w:lang w:val="ro-MO"/>
              </w:rPr>
              <w:t>9. Constatările expertizei de compatibilitate</w:t>
            </w:r>
          </w:p>
        </w:tc>
      </w:tr>
      <w:tr w:rsidR="00E33D41" w:rsidRPr="001855FC" w:rsidTr="00A75AE6">
        <w:tc>
          <w:tcPr>
            <w:tcW w:w="5000" w:type="pct"/>
          </w:tcPr>
          <w:p w:rsidR="00E33D41" w:rsidRPr="002D308A" w:rsidRDefault="00836BCA" w:rsidP="006F1D6F">
            <w:pPr>
              <w:tabs>
                <w:tab w:val="left" w:pos="884"/>
                <w:tab w:val="left" w:pos="1196"/>
              </w:tabs>
              <w:spacing w:after="0" w:line="240" w:lineRule="auto"/>
              <w:jc w:val="both"/>
              <w:rPr>
                <w:rFonts w:ascii="Times New Roman" w:hAnsi="Times New Roman"/>
                <w:sz w:val="24"/>
                <w:szCs w:val="24"/>
                <w:lang w:val="ro-MO"/>
              </w:rPr>
            </w:pPr>
            <w:r w:rsidRPr="002D308A">
              <w:rPr>
                <w:rFonts w:ascii="Times New Roman" w:hAnsi="Times New Roman"/>
                <w:sz w:val="24"/>
                <w:szCs w:val="24"/>
                <w:lang w:val="ro-RO"/>
              </w:rPr>
              <w:t xml:space="preserve">Proiectul nu </w:t>
            </w:r>
            <w:r w:rsidR="006F1D6F" w:rsidRPr="002D308A">
              <w:rPr>
                <w:rFonts w:ascii="Times New Roman" w:hAnsi="Times New Roman"/>
                <w:sz w:val="24"/>
                <w:szCs w:val="24"/>
                <w:lang w:val="ro-RO"/>
              </w:rPr>
              <w:t xml:space="preserve">necesită efectuarea expertizei de compatibilitate, dat fiind faptul că proiectul de </w:t>
            </w:r>
            <w:proofErr w:type="spellStart"/>
            <w:r w:rsidR="006F1D6F" w:rsidRPr="002D308A">
              <w:rPr>
                <w:rFonts w:ascii="Times New Roman" w:hAnsi="Times New Roman"/>
                <w:sz w:val="24"/>
                <w:szCs w:val="24"/>
                <w:lang w:val="ro-RO"/>
              </w:rPr>
              <w:t>hotărîre</w:t>
            </w:r>
            <w:proofErr w:type="spellEnd"/>
            <w:r w:rsidR="006F1D6F" w:rsidRPr="002D308A">
              <w:rPr>
                <w:rFonts w:ascii="Times New Roman" w:hAnsi="Times New Roman"/>
                <w:sz w:val="24"/>
                <w:szCs w:val="24"/>
                <w:lang w:val="ro-RO"/>
              </w:rPr>
              <w:t xml:space="preserve"> nu prezintă relevanță UE.</w:t>
            </w:r>
          </w:p>
        </w:tc>
      </w:tr>
      <w:tr w:rsidR="00E33D41" w:rsidRPr="009361B9" w:rsidTr="00A75AE6">
        <w:tc>
          <w:tcPr>
            <w:tcW w:w="5000" w:type="pct"/>
          </w:tcPr>
          <w:p w:rsidR="00E33D41" w:rsidRPr="002D308A" w:rsidRDefault="00E33D41" w:rsidP="00874F7B">
            <w:pPr>
              <w:tabs>
                <w:tab w:val="left" w:pos="884"/>
                <w:tab w:val="left" w:pos="1196"/>
              </w:tabs>
              <w:spacing w:after="0" w:line="240" w:lineRule="auto"/>
              <w:jc w:val="both"/>
              <w:rPr>
                <w:rFonts w:ascii="Times New Roman" w:hAnsi="Times New Roman"/>
                <w:b/>
                <w:sz w:val="24"/>
                <w:szCs w:val="24"/>
                <w:lang w:val="ro-MO"/>
              </w:rPr>
            </w:pPr>
            <w:r w:rsidRPr="002D308A">
              <w:rPr>
                <w:rFonts w:ascii="Times New Roman" w:hAnsi="Times New Roman"/>
                <w:b/>
                <w:sz w:val="24"/>
                <w:szCs w:val="24"/>
                <w:lang w:val="ro-MO"/>
              </w:rPr>
              <w:t>10. Constatările expertizei juridice</w:t>
            </w:r>
          </w:p>
        </w:tc>
      </w:tr>
      <w:tr w:rsidR="00E33D41" w:rsidRPr="00443BDD" w:rsidTr="00A75AE6">
        <w:tc>
          <w:tcPr>
            <w:tcW w:w="5000" w:type="pct"/>
          </w:tcPr>
          <w:p w:rsidR="00E33D41" w:rsidRPr="002D308A" w:rsidRDefault="00836BCA" w:rsidP="00443BDD">
            <w:pPr>
              <w:tabs>
                <w:tab w:val="left" w:pos="884"/>
                <w:tab w:val="left" w:pos="1196"/>
              </w:tabs>
              <w:spacing w:after="0" w:line="240" w:lineRule="auto"/>
              <w:jc w:val="both"/>
              <w:rPr>
                <w:rFonts w:ascii="Times New Roman" w:hAnsi="Times New Roman"/>
                <w:sz w:val="24"/>
                <w:szCs w:val="24"/>
                <w:lang w:val="ro-MO"/>
              </w:rPr>
            </w:pPr>
            <w:r w:rsidRPr="002D308A">
              <w:rPr>
                <w:rFonts w:ascii="Times New Roman" w:hAnsi="Times New Roman"/>
                <w:sz w:val="24"/>
                <w:szCs w:val="24"/>
                <w:lang w:val="ro-RO"/>
              </w:rPr>
              <w:t xml:space="preserve">Proiectul </w:t>
            </w:r>
            <w:r w:rsidR="00443BDD" w:rsidRPr="002D308A">
              <w:rPr>
                <w:rFonts w:ascii="Times New Roman" w:hAnsi="Times New Roman"/>
                <w:sz w:val="24"/>
                <w:szCs w:val="24"/>
                <w:lang w:val="ro-RO"/>
              </w:rPr>
              <w:t xml:space="preserve">urmează </w:t>
            </w:r>
            <w:r w:rsidRPr="002D308A">
              <w:rPr>
                <w:rFonts w:ascii="Times New Roman" w:hAnsi="Times New Roman"/>
                <w:sz w:val="24"/>
                <w:szCs w:val="24"/>
                <w:lang w:val="ro-RO"/>
              </w:rPr>
              <w:t xml:space="preserve">a </w:t>
            </w:r>
            <w:r w:rsidR="00443BDD" w:rsidRPr="002D308A">
              <w:rPr>
                <w:rFonts w:ascii="Times New Roman" w:hAnsi="Times New Roman"/>
                <w:sz w:val="24"/>
                <w:szCs w:val="24"/>
                <w:lang w:val="ro-RO"/>
              </w:rPr>
              <w:t xml:space="preserve">fi </w:t>
            </w:r>
            <w:r w:rsidRPr="002D308A">
              <w:rPr>
                <w:rFonts w:ascii="Times New Roman" w:hAnsi="Times New Roman"/>
                <w:sz w:val="24"/>
                <w:szCs w:val="24"/>
                <w:lang w:val="ro-RO"/>
              </w:rPr>
              <w:t>supus expertizei juridice</w:t>
            </w:r>
            <w:r w:rsidR="00443BDD" w:rsidRPr="002D308A">
              <w:rPr>
                <w:rFonts w:ascii="Times New Roman" w:hAnsi="Times New Roman"/>
                <w:sz w:val="24"/>
                <w:szCs w:val="24"/>
                <w:lang w:val="ro-RO"/>
              </w:rPr>
              <w:t xml:space="preserve"> în cadrul procesului de avizare. Informația referitoare la concluziile expertizei juridice va fi inclusă după recepționarea expertizei juridice în sinteza obiecțiilor și propunerilor/recomandărilor la prezentul proiect de </w:t>
            </w:r>
            <w:proofErr w:type="spellStart"/>
            <w:r w:rsidR="00443BDD" w:rsidRPr="002D308A">
              <w:rPr>
                <w:rFonts w:ascii="Times New Roman" w:hAnsi="Times New Roman"/>
                <w:sz w:val="24"/>
                <w:szCs w:val="24"/>
                <w:lang w:val="ro-RO"/>
              </w:rPr>
              <w:t>hotărîre</w:t>
            </w:r>
            <w:proofErr w:type="spellEnd"/>
            <w:r w:rsidRPr="002D308A">
              <w:rPr>
                <w:rFonts w:ascii="Times New Roman" w:hAnsi="Times New Roman"/>
                <w:sz w:val="24"/>
                <w:szCs w:val="24"/>
                <w:lang w:val="ro-RO"/>
              </w:rPr>
              <w:t>.</w:t>
            </w:r>
          </w:p>
        </w:tc>
      </w:tr>
      <w:tr w:rsidR="00E33D41" w:rsidRPr="009361B9" w:rsidTr="00A75AE6">
        <w:tc>
          <w:tcPr>
            <w:tcW w:w="5000" w:type="pct"/>
          </w:tcPr>
          <w:p w:rsidR="00E33D41" w:rsidRPr="002D308A" w:rsidRDefault="00E33D41" w:rsidP="00874F7B">
            <w:pPr>
              <w:tabs>
                <w:tab w:val="left" w:pos="884"/>
                <w:tab w:val="left" w:pos="1196"/>
              </w:tabs>
              <w:spacing w:after="0" w:line="240" w:lineRule="auto"/>
              <w:jc w:val="both"/>
              <w:rPr>
                <w:rFonts w:ascii="Times New Roman" w:hAnsi="Times New Roman"/>
                <w:b/>
                <w:sz w:val="24"/>
                <w:szCs w:val="24"/>
                <w:lang w:val="ro-MO"/>
              </w:rPr>
            </w:pPr>
            <w:r w:rsidRPr="002D308A">
              <w:rPr>
                <w:rFonts w:ascii="Times New Roman" w:hAnsi="Times New Roman"/>
                <w:b/>
                <w:sz w:val="24"/>
                <w:szCs w:val="24"/>
                <w:lang w:val="ro-MO"/>
              </w:rPr>
              <w:t>11. Constatările altor expertize</w:t>
            </w:r>
          </w:p>
        </w:tc>
      </w:tr>
      <w:tr w:rsidR="00E33D41" w:rsidRPr="00E33D41" w:rsidTr="00A75AE6">
        <w:tc>
          <w:tcPr>
            <w:tcW w:w="5000" w:type="pct"/>
          </w:tcPr>
          <w:p w:rsidR="00E33D41" w:rsidRPr="002D308A" w:rsidRDefault="00836BCA" w:rsidP="00874F7B">
            <w:pPr>
              <w:tabs>
                <w:tab w:val="left" w:pos="884"/>
                <w:tab w:val="left" w:pos="1196"/>
              </w:tabs>
              <w:spacing w:after="0" w:line="240" w:lineRule="auto"/>
              <w:jc w:val="both"/>
              <w:rPr>
                <w:rFonts w:ascii="Times New Roman" w:hAnsi="Times New Roman"/>
                <w:sz w:val="24"/>
                <w:szCs w:val="24"/>
                <w:lang w:val="ro-MO"/>
              </w:rPr>
            </w:pPr>
            <w:r w:rsidRPr="002D308A">
              <w:rPr>
                <w:rFonts w:ascii="Times New Roman" w:hAnsi="Times New Roman"/>
                <w:sz w:val="24"/>
                <w:szCs w:val="24"/>
                <w:lang w:val="ro-RO"/>
              </w:rPr>
              <w:t>Proiectul nu a fost supus altor expertize.</w:t>
            </w:r>
          </w:p>
        </w:tc>
      </w:tr>
    </w:tbl>
    <w:p w:rsidR="00E33D41" w:rsidRPr="009361B9" w:rsidRDefault="00E33D41" w:rsidP="00874F7B">
      <w:pPr>
        <w:tabs>
          <w:tab w:val="left" w:pos="884"/>
          <w:tab w:val="left" w:pos="1196"/>
        </w:tabs>
        <w:spacing w:after="0" w:line="240" w:lineRule="auto"/>
        <w:jc w:val="both"/>
        <w:rPr>
          <w:rFonts w:ascii="Times New Roman" w:hAnsi="Times New Roman"/>
          <w:bCs/>
          <w:sz w:val="24"/>
          <w:szCs w:val="24"/>
          <w:vertAlign w:val="superscript"/>
          <w:lang w:val="ro-M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E33D41" w:rsidRDefault="001C770D" w:rsidP="00E11993">
      <w:pPr>
        <w:tabs>
          <w:tab w:val="left" w:pos="884"/>
          <w:tab w:val="left" w:pos="1196"/>
        </w:tabs>
        <w:spacing w:after="0" w:line="240" w:lineRule="auto"/>
        <w:ind w:firstLine="540"/>
        <w:jc w:val="right"/>
        <w:rPr>
          <w:rFonts w:ascii="Times New Roman" w:hAnsi="Times New Roman"/>
          <w:b/>
          <w:color w:val="000000"/>
          <w:sz w:val="28"/>
          <w:szCs w:val="28"/>
          <w:lang w:val="ro-RO"/>
        </w:rPr>
      </w:pPr>
      <w:r>
        <w:rPr>
          <w:rFonts w:ascii="Times New Roman" w:hAnsi="Times New Roman"/>
          <w:b/>
          <w:color w:val="000000"/>
          <w:sz w:val="28"/>
          <w:szCs w:val="28"/>
          <w:lang w:val="ro-RO"/>
        </w:rPr>
        <w:t>Igor ȘAROV</w:t>
      </w:r>
    </w:p>
    <w:p w:rsidR="00E11993" w:rsidRDefault="00E11993" w:rsidP="00E11993">
      <w:pPr>
        <w:tabs>
          <w:tab w:val="left" w:pos="884"/>
          <w:tab w:val="left" w:pos="1196"/>
        </w:tabs>
        <w:spacing w:after="0" w:line="240" w:lineRule="auto"/>
        <w:ind w:firstLine="540"/>
        <w:jc w:val="right"/>
        <w:rPr>
          <w:rFonts w:ascii="Times New Roman" w:hAnsi="Times New Roman"/>
          <w:b/>
          <w:color w:val="000000"/>
          <w:sz w:val="28"/>
          <w:szCs w:val="28"/>
          <w:lang w:val="ro-RO"/>
        </w:rPr>
      </w:pPr>
      <w:r>
        <w:rPr>
          <w:rFonts w:ascii="Times New Roman" w:hAnsi="Times New Roman"/>
          <w:b/>
          <w:color w:val="000000"/>
          <w:sz w:val="28"/>
          <w:szCs w:val="28"/>
          <w:lang w:val="ro-RO"/>
        </w:rPr>
        <w:t>Ministru</w:t>
      </w:r>
    </w:p>
    <w:p w:rsidR="00456EA1" w:rsidRDefault="00456EA1"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p w:rsidR="00456EA1" w:rsidRDefault="00456EA1" w:rsidP="00E11993">
      <w:pPr>
        <w:tabs>
          <w:tab w:val="left" w:pos="884"/>
          <w:tab w:val="left" w:pos="1196"/>
        </w:tabs>
        <w:spacing w:after="0" w:line="240" w:lineRule="auto"/>
        <w:ind w:firstLine="540"/>
        <w:jc w:val="right"/>
        <w:rPr>
          <w:rFonts w:ascii="Times New Roman" w:hAnsi="Times New Roman"/>
          <w:b/>
          <w:color w:val="000000"/>
          <w:sz w:val="28"/>
          <w:szCs w:val="28"/>
          <w:lang w:val="ro-RO"/>
        </w:rPr>
      </w:pPr>
    </w:p>
    <w:sectPr w:rsidR="00456EA1" w:rsidSect="00B2764A">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665A5"/>
    <w:multiLevelType w:val="hybridMultilevel"/>
    <w:tmpl w:val="61F8F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3D41"/>
    <w:rsid w:val="000318ED"/>
    <w:rsid w:val="000B6183"/>
    <w:rsid w:val="000D23DF"/>
    <w:rsid w:val="001064F4"/>
    <w:rsid w:val="0013032F"/>
    <w:rsid w:val="001855FC"/>
    <w:rsid w:val="00191B0A"/>
    <w:rsid w:val="001A7D7E"/>
    <w:rsid w:val="001C31A4"/>
    <w:rsid w:val="001C770D"/>
    <w:rsid w:val="001E4837"/>
    <w:rsid w:val="001F1B3D"/>
    <w:rsid w:val="00205E78"/>
    <w:rsid w:val="00212FB9"/>
    <w:rsid w:val="002249C6"/>
    <w:rsid w:val="0027457C"/>
    <w:rsid w:val="002751F4"/>
    <w:rsid w:val="002C7D2D"/>
    <w:rsid w:val="002D308A"/>
    <w:rsid w:val="002F75B9"/>
    <w:rsid w:val="003152E7"/>
    <w:rsid w:val="00325D78"/>
    <w:rsid w:val="00360B17"/>
    <w:rsid w:val="00370A96"/>
    <w:rsid w:val="003B0740"/>
    <w:rsid w:val="003F03C5"/>
    <w:rsid w:val="004011E1"/>
    <w:rsid w:val="00416B91"/>
    <w:rsid w:val="004307B0"/>
    <w:rsid w:val="00443BDD"/>
    <w:rsid w:val="00456EA1"/>
    <w:rsid w:val="004847C5"/>
    <w:rsid w:val="004A24B1"/>
    <w:rsid w:val="004D7B50"/>
    <w:rsid w:val="00500176"/>
    <w:rsid w:val="005E7ED9"/>
    <w:rsid w:val="0061413A"/>
    <w:rsid w:val="00664213"/>
    <w:rsid w:val="00681A5A"/>
    <w:rsid w:val="00694C12"/>
    <w:rsid w:val="00697BF8"/>
    <w:rsid w:val="006B7633"/>
    <w:rsid w:val="006D2489"/>
    <w:rsid w:val="006F1D6F"/>
    <w:rsid w:val="007212A5"/>
    <w:rsid w:val="00775162"/>
    <w:rsid w:val="00780674"/>
    <w:rsid w:val="007F0EF4"/>
    <w:rsid w:val="00813520"/>
    <w:rsid w:val="00836BCA"/>
    <w:rsid w:val="00870F48"/>
    <w:rsid w:val="00874F7B"/>
    <w:rsid w:val="0088217F"/>
    <w:rsid w:val="008E546F"/>
    <w:rsid w:val="00937ECD"/>
    <w:rsid w:val="00984DA7"/>
    <w:rsid w:val="00985BFC"/>
    <w:rsid w:val="009A239E"/>
    <w:rsid w:val="009E2AB9"/>
    <w:rsid w:val="009F7DAD"/>
    <w:rsid w:val="00A01FA1"/>
    <w:rsid w:val="00A12F1F"/>
    <w:rsid w:val="00A12F32"/>
    <w:rsid w:val="00A26FAB"/>
    <w:rsid w:val="00A3085E"/>
    <w:rsid w:val="00A40BF5"/>
    <w:rsid w:val="00AB0E2B"/>
    <w:rsid w:val="00AC0383"/>
    <w:rsid w:val="00AF7778"/>
    <w:rsid w:val="00B3644A"/>
    <w:rsid w:val="00B57C2A"/>
    <w:rsid w:val="00B745D8"/>
    <w:rsid w:val="00B96179"/>
    <w:rsid w:val="00BA28A5"/>
    <w:rsid w:val="00C00532"/>
    <w:rsid w:val="00C8784E"/>
    <w:rsid w:val="00C92961"/>
    <w:rsid w:val="00CB5C40"/>
    <w:rsid w:val="00CD3A93"/>
    <w:rsid w:val="00CD4405"/>
    <w:rsid w:val="00CE4F23"/>
    <w:rsid w:val="00D54789"/>
    <w:rsid w:val="00D63194"/>
    <w:rsid w:val="00DB6EAA"/>
    <w:rsid w:val="00DB7575"/>
    <w:rsid w:val="00DD3791"/>
    <w:rsid w:val="00E11993"/>
    <w:rsid w:val="00E33D41"/>
    <w:rsid w:val="00E54ABE"/>
    <w:rsid w:val="00EE25AE"/>
    <w:rsid w:val="00F00928"/>
    <w:rsid w:val="00F13042"/>
    <w:rsid w:val="00F37281"/>
    <w:rsid w:val="00F75911"/>
    <w:rsid w:val="00F81010"/>
    <w:rsid w:val="00F906B6"/>
    <w:rsid w:val="00FD4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D41"/>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E33D41"/>
  </w:style>
  <w:style w:type="paragraph" w:styleId="a3">
    <w:name w:val="Normal (Web)"/>
    <w:basedOn w:val="a"/>
    <w:uiPriority w:val="99"/>
    <w:rsid w:val="00E33D41"/>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a4">
    <w:name w:val="No Spacing"/>
    <w:uiPriority w:val="1"/>
    <w:qFormat/>
    <w:rsid w:val="00E33D41"/>
    <w:pPr>
      <w:spacing w:after="0" w:line="240" w:lineRule="auto"/>
    </w:pPr>
    <w:rPr>
      <w:rFonts w:eastAsiaTheme="minorHAnsi"/>
      <w:lang w:eastAsia="en-US"/>
    </w:rPr>
  </w:style>
  <w:style w:type="character" w:styleId="a5">
    <w:name w:val="Hyperlink"/>
    <w:rsid w:val="00B3644A"/>
    <w:rPr>
      <w:color w:val="0563C1"/>
      <w:u w:val="single"/>
    </w:rPr>
  </w:style>
</w:styles>
</file>

<file path=word/webSettings.xml><?xml version="1.0" encoding="utf-8"?>
<w:webSettings xmlns:r="http://schemas.openxmlformats.org/officeDocument/2006/relationships" xmlns:w="http://schemas.openxmlformats.org/wordprocessingml/2006/main">
  <w:divs>
    <w:div w:id="104663250">
      <w:bodyDiv w:val="1"/>
      <w:marLeft w:val="0"/>
      <w:marRight w:val="0"/>
      <w:marTop w:val="0"/>
      <w:marBottom w:val="0"/>
      <w:divBdr>
        <w:top w:val="none" w:sz="0" w:space="0" w:color="auto"/>
        <w:left w:val="none" w:sz="0" w:space="0" w:color="auto"/>
        <w:bottom w:val="none" w:sz="0" w:space="0" w:color="auto"/>
        <w:right w:val="none" w:sz="0" w:space="0" w:color="auto"/>
      </w:divBdr>
    </w:div>
    <w:div w:id="14438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001FA-8637-4E55-B779-BDE72180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Dediu</dc:creator>
  <cp:keywords/>
  <dc:description/>
  <cp:lastModifiedBy>Dediu</cp:lastModifiedBy>
  <cp:revision>120</cp:revision>
  <cp:lastPrinted>2020-07-04T06:22:00Z</cp:lastPrinted>
  <dcterms:created xsi:type="dcterms:W3CDTF">2019-07-11T05:46:00Z</dcterms:created>
  <dcterms:modified xsi:type="dcterms:W3CDTF">2020-07-07T13:30:00Z</dcterms:modified>
</cp:coreProperties>
</file>