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1D" w:rsidRPr="00A45392" w:rsidRDefault="005B101D" w:rsidP="005B101D">
      <w:pPr>
        <w:pStyle w:val="Heading2"/>
        <w:numPr>
          <w:ilvl w:val="0"/>
          <w:numId w:val="0"/>
        </w:numPr>
        <w:ind w:left="357" w:hanging="357"/>
        <w:rPr>
          <w:color w:val="0070C0"/>
          <w:lang w:val="ru-RU"/>
        </w:rPr>
      </w:pPr>
      <w:bookmarkStart w:id="0" w:name="_Toc32964799"/>
    </w:p>
    <w:p w:rsidR="005B101D" w:rsidRDefault="005B101D" w:rsidP="005B101D">
      <w:pPr>
        <w:pStyle w:val="Heading2"/>
        <w:numPr>
          <w:ilvl w:val="0"/>
          <w:numId w:val="0"/>
        </w:numPr>
        <w:ind w:left="357" w:hanging="357"/>
        <w:rPr>
          <w:color w:val="0070C0"/>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614DB4" w:rsidRPr="00614DB4" w:rsidRDefault="00614DB4" w:rsidP="00614DB4">
      <w:pPr>
        <w:spacing w:after="0" w:line="280" w:lineRule="atLeast"/>
        <w:ind w:left="851"/>
        <w:jc w:val="center"/>
        <w:rPr>
          <w:rFonts w:ascii="Times New Roman" w:eastAsia="Times New Roman" w:hAnsi="Times New Roman" w:cs="Times New Roman"/>
          <w:b/>
          <w:bCs/>
          <w:sz w:val="36"/>
          <w:szCs w:val="36"/>
          <w:lang w:val="ro-RO" w:eastAsia="nl-NL" w:bidi="en-US"/>
        </w:rPr>
      </w:pPr>
      <w:r w:rsidRPr="00614DB4">
        <w:rPr>
          <w:rFonts w:ascii="Times New Roman" w:eastAsia="Times New Roman" w:hAnsi="Times New Roman" w:cs="Times New Roman"/>
          <w:b/>
          <w:bCs/>
          <w:sz w:val="36"/>
          <w:szCs w:val="36"/>
          <w:lang w:val="ro-RO" w:eastAsia="nl-NL" w:bidi="en-US"/>
        </w:rPr>
        <w:t>ANALIZA</w:t>
      </w:r>
    </w:p>
    <w:p w:rsidR="00614DB4" w:rsidRDefault="005B101D" w:rsidP="00614DB4">
      <w:pPr>
        <w:spacing w:after="0" w:line="280" w:lineRule="atLeast"/>
        <w:ind w:left="851"/>
        <w:jc w:val="center"/>
        <w:rPr>
          <w:rFonts w:ascii="Times New Roman" w:eastAsia="Times New Roman" w:hAnsi="Times New Roman" w:cs="Times New Roman"/>
          <w:b/>
          <w:bCs/>
          <w:sz w:val="36"/>
          <w:szCs w:val="36"/>
          <w:lang w:val="ro-RO" w:eastAsia="nl-NL" w:bidi="en-US"/>
        </w:rPr>
      </w:pPr>
      <w:r w:rsidRPr="00614DB4">
        <w:rPr>
          <w:rFonts w:ascii="Times New Roman" w:eastAsia="Times New Roman" w:hAnsi="Times New Roman" w:cs="Times New Roman"/>
          <w:b/>
          <w:bCs/>
          <w:sz w:val="36"/>
          <w:szCs w:val="36"/>
          <w:lang w:val="ro-RO" w:eastAsia="nl-NL" w:bidi="en-US"/>
        </w:rPr>
        <w:t xml:space="preserve">ex-ante a Măsurii de intervenție aferentă Obiectivului Specific nr. 3.3 din Strategia Națională de Dezvoltare Agricolă și Rurală 2014-2020 privind crearea și funcționarea Grupurilor de Acțiune Locală și implementarea Programului LEADER </w:t>
      </w:r>
    </w:p>
    <w:p w:rsidR="005B101D" w:rsidRPr="00614DB4" w:rsidRDefault="005B101D" w:rsidP="00614DB4">
      <w:pPr>
        <w:spacing w:after="0" w:line="280" w:lineRule="atLeast"/>
        <w:ind w:left="851"/>
        <w:jc w:val="center"/>
        <w:rPr>
          <w:rFonts w:ascii="Times New Roman" w:eastAsia="Times New Roman" w:hAnsi="Times New Roman" w:cs="Times New Roman"/>
          <w:b/>
          <w:bCs/>
          <w:sz w:val="36"/>
          <w:szCs w:val="36"/>
          <w:lang w:val="ro-RO" w:eastAsia="nl-NL" w:bidi="en-US"/>
        </w:rPr>
      </w:pPr>
      <w:r w:rsidRPr="00614DB4">
        <w:rPr>
          <w:rFonts w:ascii="Times New Roman" w:eastAsia="Times New Roman" w:hAnsi="Times New Roman" w:cs="Times New Roman"/>
          <w:b/>
          <w:bCs/>
          <w:sz w:val="36"/>
          <w:szCs w:val="36"/>
          <w:lang w:val="ro-RO" w:eastAsia="nl-NL" w:bidi="en-US"/>
        </w:rPr>
        <w:t>în Republica Moldova</w:t>
      </w: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4B3372" w:rsidRDefault="004B3372" w:rsidP="005B101D">
      <w:pPr>
        <w:rPr>
          <w:lang w:val="ro-RO"/>
        </w:rPr>
      </w:pPr>
    </w:p>
    <w:p w:rsidR="004B3372" w:rsidRDefault="004B3372" w:rsidP="005B101D">
      <w:pPr>
        <w:rPr>
          <w:lang w:val="ro-RO"/>
        </w:rPr>
      </w:pPr>
    </w:p>
    <w:p w:rsidR="004B3372" w:rsidRDefault="004B3372" w:rsidP="005B101D">
      <w:pPr>
        <w:rPr>
          <w:lang w:val="ro-RO"/>
        </w:rPr>
      </w:pPr>
    </w:p>
    <w:p w:rsidR="007F0A8B" w:rsidRDefault="007F0A8B" w:rsidP="005B101D">
      <w:pPr>
        <w:rPr>
          <w:lang w:val="ro-RO"/>
        </w:rPr>
      </w:pPr>
    </w:p>
    <w:p w:rsidR="005B101D" w:rsidRPr="00614DB4" w:rsidRDefault="00614DB4" w:rsidP="007F0A8B">
      <w:pPr>
        <w:jc w:val="center"/>
        <w:rPr>
          <w:rFonts w:ascii="Times New Roman" w:hAnsi="Times New Roman" w:cs="Times New Roman"/>
          <w:b/>
          <w:sz w:val="32"/>
          <w:szCs w:val="32"/>
          <w:lang w:val="ro-RO"/>
        </w:rPr>
      </w:pPr>
      <w:r>
        <w:rPr>
          <w:rFonts w:ascii="Times New Roman" w:hAnsi="Times New Roman" w:cs="Times New Roman"/>
          <w:b/>
          <w:sz w:val="32"/>
          <w:szCs w:val="32"/>
          <w:lang w:val="ro-RO"/>
        </w:rPr>
        <w:t>Raport de Analiză</w:t>
      </w:r>
      <w:r w:rsidR="004B3372" w:rsidRPr="00614DB4">
        <w:rPr>
          <w:rFonts w:ascii="Times New Roman" w:hAnsi="Times New Roman" w:cs="Times New Roman"/>
          <w:b/>
          <w:sz w:val="32"/>
          <w:szCs w:val="32"/>
          <w:lang w:val="ro-RO"/>
        </w:rPr>
        <w:t xml:space="preserve"> - 2020</w:t>
      </w:r>
    </w:p>
    <w:p w:rsidR="005B101D" w:rsidRPr="005B101D" w:rsidRDefault="005B101D" w:rsidP="005B101D">
      <w:pPr>
        <w:rPr>
          <w:lang w:val="ro-RO"/>
        </w:rPr>
      </w:pPr>
    </w:p>
    <w:p w:rsidR="005B101D" w:rsidRDefault="005B101D" w:rsidP="005B101D">
      <w:pPr>
        <w:rPr>
          <w:lang w:val="ro-RO"/>
        </w:rPr>
      </w:pPr>
    </w:p>
    <w:sdt>
      <w:sdtPr>
        <w:rPr>
          <w:b w:val="0"/>
          <w:bCs/>
          <w:caps w:val="0"/>
          <w:smallCaps/>
          <w:color w:val="auto"/>
          <w:sz w:val="20"/>
          <w:szCs w:val="20"/>
          <w:lang w:val="ro-RO"/>
        </w:rPr>
        <w:id w:val="1208618736"/>
        <w:docPartObj>
          <w:docPartGallery w:val="Table of Contents"/>
          <w:docPartUnique/>
        </w:docPartObj>
      </w:sdtPr>
      <w:sdtEndPr>
        <w:rPr>
          <w:bCs w:val="0"/>
          <w:smallCaps w:val="0"/>
          <w:sz w:val="22"/>
          <w:szCs w:val="22"/>
        </w:rPr>
      </w:sdtEndPr>
      <w:sdtContent>
        <w:p w:rsidR="004B3372" w:rsidRDefault="004B3372" w:rsidP="004B3372">
          <w:pPr>
            <w:pStyle w:val="TOCHeading"/>
            <w:spacing w:after="0"/>
            <w:rPr>
              <w:b w:val="0"/>
              <w:bCs/>
              <w:caps w:val="0"/>
              <w:smallCaps/>
              <w:color w:val="auto"/>
              <w:sz w:val="20"/>
              <w:szCs w:val="20"/>
              <w:lang w:val="ro-RO"/>
            </w:rPr>
          </w:pPr>
        </w:p>
        <w:p w:rsidR="004B3372" w:rsidRPr="001C3B31" w:rsidRDefault="004B3372" w:rsidP="004B3372">
          <w:pPr>
            <w:pStyle w:val="TOCHeading"/>
            <w:spacing w:after="0"/>
            <w:rPr>
              <w:lang w:val="ro-RO"/>
            </w:rPr>
          </w:pPr>
          <w:r w:rsidRPr="001C3B31">
            <w:rPr>
              <w:lang w:val="ro-RO"/>
            </w:rPr>
            <w:t>cuprins</w:t>
          </w:r>
        </w:p>
        <w:p w:rsidR="004B3372" w:rsidRPr="002239F2" w:rsidRDefault="004B3372" w:rsidP="004B3372">
          <w:pPr>
            <w:pStyle w:val="TOC1"/>
            <w:rPr>
              <w:rFonts w:eastAsiaTheme="minorEastAsia" w:cstheme="minorBidi"/>
              <w:b w:val="0"/>
              <w:iCs w:val="0"/>
              <w:noProof w:val="0"/>
            </w:rPr>
          </w:pPr>
          <w:r w:rsidRPr="001C3B31">
            <w:rPr>
              <w:noProof w:val="0"/>
            </w:rPr>
            <w:fldChar w:fldCharType="begin"/>
          </w:r>
          <w:r w:rsidRPr="001C3B31">
            <w:rPr>
              <w:noProof w:val="0"/>
            </w:rPr>
            <w:instrText xml:space="preserve"> TOC \o "1-3" \h \z \u </w:instrText>
          </w:r>
          <w:r w:rsidRPr="001C3B31">
            <w:rPr>
              <w:noProof w:val="0"/>
            </w:rPr>
            <w:fldChar w:fldCharType="separate"/>
          </w:r>
          <w:hyperlink w:anchor="_Toc32964797" w:history="1">
            <w:r w:rsidRPr="002239F2">
              <w:rPr>
                <w:rStyle w:val="Hyperlink"/>
                <w:noProof w:val="0"/>
              </w:rPr>
              <w:t>Lista acronimelor</w:t>
            </w:r>
            <w:r w:rsidRPr="002239F2">
              <w:rPr>
                <w:noProof w:val="0"/>
                <w:webHidden/>
              </w:rPr>
              <w:tab/>
            </w:r>
            <w:r w:rsidRPr="002239F2">
              <w:rPr>
                <w:noProof w:val="0"/>
                <w:webHidden/>
              </w:rPr>
              <w:fldChar w:fldCharType="begin"/>
            </w:r>
            <w:r w:rsidRPr="002239F2">
              <w:rPr>
                <w:noProof w:val="0"/>
                <w:webHidden/>
              </w:rPr>
              <w:instrText xml:space="preserve"> PAGEREF _Toc32964797 \h </w:instrText>
            </w:r>
            <w:r w:rsidRPr="002239F2">
              <w:rPr>
                <w:noProof w:val="0"/>
                <w:webHidden/>
              </w:rPr>
            </w:r>
            <w:r w:rsidRPr="002239F2">
              <w:rPr>
                <w:noProof w:val="0"/>
                <w:webHidden/>
              </w:rPr>
              <w:fldChar w:fldCharType="separate"/>
            </w:r>
            <w:r w:rsidRPr="002239F2">
              <w:rPr>
                <w:noProof w:val="0"/>
                <w:webHidden/>
              </w:rPr>
              <w:t>3</w:t>
            </w:r>
            <w:r w:rsidRPr="002239F2">
              <w:rPr>
                <w:noProof w:val="0"/>
                <w:webHidden/>
              </w:rPr>
              <w:fldChar w:fldCharType="end"/>
            </w:r>
          </w:hyperlink>
        </w:p>
        <w:p w:rsidR="004B3372" w:rsidRPr="002239F2" w:rsidRDefault="007F0A8B" w:rsidP="004B3372">
          <w:pPr>
            <w:pStyle w:val="TOC1"/>
            <w:rPr>
              <w:rFonts w:eastAsiaTheme="minorEastAsia" w:cstheme="minorBidi"/>
              <w:b w:val="0"/>
              <w:iCs w:val="0"/>
              <w:noProof w:val="0"/>
            </w:rPr>
          </w:pPr>
          <w:hyperlink w:anchor="_Toc32964798" w:history="1">
            <w:r w:rsidR="004B3372" w:rsidRPr="002239F2">
              <w:rPr>
                <w:rStyle w:val="Hyperlink"/>
                <w:noProof w:val="0"/>
              </w:rPr>
              <w:t>SUMAR EXECUTIV</w:t>
            </w:r>
            <w:r w:rsidR="004B3372" w:rsidRPr="002239F2">
              <w:rPr>
                <w:noProof w:val="0"/>
                <w:webHidden/>
              </w:rPr>
              <w:tab/>
            </w:r>
            <w:r w:rsidR="004B3372" w:rsidRPr="002239F2">
              <w:rPr>
                <w:noProof w:val="0"/>
                <w:webHidden/>
              </w:rPr>
              <w:fldChar w:fldCharType="begin"/>
            </w:r>
            <w:r w:rsidR="004B3372" w:rsidRPr="002239F2">
              <w:rPr>
                <w:noProof w:val="0"/>
                <w:webHidden/>
              </w:rPr>
              <w:instrText xml:space="preserve"> PAGEREF _Toc32964798 \h </w:instrText>
            </w:r>
            <w:r w:rsidR="004B3372" w:rsidRPr="002239F2">
              <w:rPr>
                <w:noProof w:val="0"/>
                <w:webHidden/>
              </w:rPr>
            </w:r>
            <w:r w:rsidR="004B3372" w:rsidRPr="002239F2">
              <w:rPr>
                <w:noProof w:val="0"/>
                <w:webHidden/>
              </w:rPr>
              <w:fldChar w:fldCharType="separate"/>
            </w:r>
            <w:r w:rsidR="004B3372" w:rsidRPr="002239F2">
              <w:rPr>
                <w:noProof w:val="0"/>
                <w:webHidden/>
              </w:rPr>
              <w:t>4</w:t>
            </w:r>
            <w:r w:rsidR="004B3372" w:rsidRPr="002239F2">
              <w:rPr>
                <w:noProof w:val="0"/>
                <w:webHidden/>
              </w:rPr>
              <w:fldChar w:fldCharType="end"/>
            </w:r>
          </w:hyperlink>
        </w:p>
        <w:p w:rsidR="004B3372" w:rsidRPr="002239F2" w:rsidRDefault="007F0A8B" w:rsidP="004B3372">
          <w:pPr>
            <w:pStyle w:val="TOC2"/>
            <w:tabs>
              <w:tab w:val="right" w:leader="dot" w:pos="9435"/>
            </w:tabs>
            <w:rPr>
              <w:rFonts w:eastAsiaTheme="minorEastAsia" w:cstheme="minorBidi"/>
              <w:b w:val="0"/>
              <w:sz w:val="24"/>
              <w:szCs w:val="24"/>
              <w:lang w:val="ro-RO"/>
            </w:rPr>
          </w:pPr>
          <w:hyperlink w:anchor="_Toc32964799" w:history="1">
            <w:r w:rsidR="004B3372" w:rsidRPr="002239F2">
              <w:rPr>
                <w:rStyle w:val="Hyperlink"/>
                <w:lang w:val="ro-RO"/>
              </w:rPr>
              <w:t xml:space="preserve">Concluziile și recomandările </w:t>
            </w:r>
            <w:r w:rsidR="002C5771">
              <w:rPr>
                <w:rStyle w:val="Hyperlink"/>
                <w:lang w:val="ro-RO"/>
              </w:rPr>
              <w:t>Analizei</w:t>
            </w:r>
            <w:r w:rsidR="004B3372" w:rsidRPr="002239F2">
              <w:rPr>
                <w:rStyle w:val="Hyperlink"/>
                <w:lang w:val="ro-RO"/>
              </w:rPr>
              <w:t xml:space="preserve"> ex-ante</w:t>
            </w:r>
            <w:r w:rsidR="004B3372" w:rsidRPr="002239F2">
              <w:rPr>
                <w:webHidden/>
                <w:lang w:val="ro-RO"/>
              </w:rPr>
              <w:tab/>
            </w:r>
            <w:r w:rsidR="004B3372" w:rsidRPr="002239F2">
              <w:rPr>
                <w:webHidden/>
                <w:lang w:val="ro-RO"/>
              </w:rPr>
              <w:fldChar w:fldCharType="begin"/>
            </w:r>
            <w:r w:rsidR="004B3372" w:rsidRPr="002239F2">
              <w:rPr>
                <w:webHidden/>
                <w:lang w:val="ro-RO"/>
              </w:rPr>
              <w:instrText xml:space="preserve"> PAGEREF _Toc32964799 \h </w:instrText>
            </w:r>
            <w:r w:rsidR="004B3372" w:rsidRPr="002239F2">
              <w:rPr>
                <w:webHidden/>
                <w:lang w:val="ro-RO"/>
              </w:rPr>
            </w:r>
            <w:r w:rsidR="004B3372" w:rsidRPr="002239F2">
              <w:rPr>
                <w:webHidden/>
                <w:lang w:val="ro-RO"/>
              </w:rPr>
              <w:fldChar w:fldCharType="separate"/>
            </w:r>
            <w:r w:rsidR="004B3372" w:rsidRPr="002239F2">
              <w:rPr>
                <w:webHidden/>
                <w:lang w:val="ro-RO"/>
              </w:rPr>
              <w:t>4</w:t>
            </w:r>
            <w:r w:rsidR="004B3372" w:rsidRPr="002239F2">
              <w:rPr>
                <w:webHidden/>
                <w:lang w:val="ro-RO"/>
              </w:rPr>
              <w:fldChar w:fldCharType="end"/>
            </w:r>
          </w:hyperlink>
        </w:p>
        <w:p w:rsidR="004B3372" w:rsidRPr="002239F2" w:rsidRDefault="007F0A8B" w:rsidP="004B3372">
          <w:pPr>
            <w:pStyle w:val="TOC1"/>
            <w:rPr>
              <w:rFonts w:eastAsiaTheme="minorEastAsia" w:cstheme="minorBidi"/>
              <w:b w:val="0"/>
              <w:iCs w:val="0"/>
              <w:noProof w:val="0"/>
            </w:rPr>
          </w:pPr>
          <w:hyperlink w:anchor="_Toc32964802" w:history="1">
            <w:r w:rsidR="004B3372" w:rsidRPr="002239F2">
              <w:rPr>
                <w:rStyle w:val="Hyperlink"/>
                <w:rFonts w:cs="Arial"/>
                <w:noProof w:val="0"/>
              </w:rPr>
              <w:t>1.</w:t>
            </w:r>
            <w:r w:rsidR="004B3372" w:rsidRPr="002239F2">
              <w:rPr>
                <w:rFonts w:eastAsiaTheme="minorEastAsia" w:cstheme="minorBidi"/>
                <w:b w:val="0"/>
                <w:iCs w:val="0"/>
                <w:noProof w:val="0"/>
              </w:rPr>
              <w:tab/>
            </w:r>
            <w:r w:rsidR="004B3372" w:rsidRPr="002239F2">
              <w:rPr>
                <w:rStyle w:val="Hyperlink"/>
                <w:rFonts w:cs="Arial"/>
                <w:noProof w:val="0"/>
              </w:rPr>
              <w:t>Cadrul metodologic</w:t>
            </w:r>
            <w:r w:rsidR="004B3372" w:rsidRPr="002239F2">
              <w:rPr>
                <w:noProof w:val="0"/>
                <w:webHidden/>
              </w:rPr>
              <w:tab/>
            </w:r>
            <w:r w:rsidR="004B3372" w:rsidRPr="002239F2">
              <w:rPr>
                <w:noProof w:val="0"/>
                <w:webHidden/>
              </w:rPr>
              <w:fldChar w:fldCharType="begin"/>
            </w:r>
            <w:r w:rsidR="004B3372" w:rsidRPr="002239F2">
              <w:rPr>
                <w:noProof w:val="0"/>
                <w:webHidden/>
              </w:rPr>
              <w:instrText xml:space="preserve"> PAGEREF _Toc32964802 \h </w:instrText>
            </w:r>
            <w:r w:rsidR="004B3372" w:rsidRPr="002239F2">
              <w:rPr>
                <w:noProof w:val="0"/>
                <w:webHidden/>
              </w:rPr>
            </w:r>
            <w:r w:rsidR="004B3372" w:rsidRPr="002239F2">
              <w:rPr>
                <w:noProof w:val="0"/>
                <w:webHidden/>
              </w:rPr>
              <w:fldChar w:fldCharType="separate"/>
            </w:r>
            <w:r w:rsidR="004B3372" w:rsidRPr="002239F2">
              <w:rPr>
                <w:noProof w:val="0"/>
                <w:webHidden/>
              </w:rPr>
              <w:t>6</w:t>
            </w:r>
            <w:r w:rsidR="004B3372" w:rsidRPr="002239F2">
              <w:rPr>
                <w:noProof w:val="0"/>
                <w:webHidden/>
              </w:rPr>
              <w:fldChar w:fldCharType="end"/>
            </w:r>
          </w:hyperlink>
        </w:p>
        <w:p w:rsidR="004B3372" w:rsidRPr="002239F2" w:rsidRDefault="007F0A8B" w:rsidP="004B3372">
          <w:pPr>
            <w:pStyle w:val="TOC2"/>
            <w:tabs>
              <w:tab w:val="left" w:pos="880"/>
              <w:tab w:val="right" w:leader="dot" w:pos="9435"/>
            </w:tabs>
            <w:rPr>
              <w:rFonts w:eastAsiaTheme="minorEastAsia" w:cstheme="minorBidi"/>
              <w:b w:val="0"/>
              <w:sz w:val="24"/>
              <w:szCs w:val="24"/>
              <w:lang w:val="ro-RO"/>
            </w:rPr>
          </w:pPr>
          <w:hyperlink w:anchor="_Toc32964803" w:history="1">
            <w:r w:rsidR="004B3372" w:rsidRPr="002239F2">
              <w:rPr>
                <w:rStyle w:val="Hyperlink"/>
                <w:lang w:val="ro-RO"/>
              </w:rPr>
              <w:t>1.1.</w:t>
            </w:r>
            <w:r w:rsidR="004B3372" w:rsidRPr="002239F2">
              <w:rPr>
                <w:rFonts w:eastAsiaTheme="minorEastAsia" w:cstheme="minorBidi"/>
                <w:b w:val="0"/>
                <w:sz w:val="24"/>
                <w:szCs w:val="24"/>
                <w:lang w:val="ro-RO"/>
              </w:rPr>
              <w:tab/>
            </w:r>
            <w:r w:rsidR="004B3372" w:rsidRPr="002239F2">
              <w:rPr>
                <w:rStyle w:val="Hyperlink"/>
                <w:lang w:val="ro-RO"/>
              </w:rPr>
              <w:t>Dimensiunile și Întrebările de Evaluare</w:t>
            </w:r>
            <w:r w:rsidR="004B3372" w:rsidRPr="002239F2">
              <w:rPr>
                <w:webHidden/>
                <w:lang w:val="ro-RO"/>
              </w:rPr>
              <w:tab/>
            </w:r>
            <w:r w:rsidR="004B3372" w:rsidRPr="002239F2">
              <w:rPr>
                <w:webHidden/>
                <w:lang w:val="ro-RO"/>
              </w:rPr>
              <w:fldChar w:fldCharType="begin"/>
            </w:r>
            <w:r w:rsidR="004B3372" w:rsidRPr="002239F2">
              <w:rPr>
                <w:webHidden/>
                <w:lang w:val="ro-RO"/>
              </w:rPr>
              <w:instrText xml:space="preserve"> PAGEREF _Toc32964803 \h </w:instrText>
            </w:r>
            <w:r w:rsidR="004B3372" w:rsidRPr="002239F2">
              <w:rPr>
                <w:webHidden/>
                <w:lang w:val="ro-RO"/>
              </w:rPr>
            </w:r>
            <w:r w:rsidR="004B3372" w:rsidRPr="002239F2">
              <w:rPr>
                <w:webHidden/>
                <w:lang w:val="ro-RO"/>
              </w:rPr>
              <w:fldChar w:fldCharType="separate"/>
            </w:r>
            <w:r w:rsidR="004B3372" w:rsidRPr="002239F2">
              <w:rPr>
                <w:webHidden/>
                <w:lang w:val="ro-RO"/>
              </w:rPr>
              <w:t>6</w:t>
            </w:r>
            <w:r w:rsidR="004B3372" w:rsidRPr="002239F2">
              <w:rPr>
                <w:webHidden/>
                <w:lang w:val="ro-RO"/>
              </w:rPr>
              <w:fldChar w:fldCharType="end"/>
            </w:r>
          </w:hyperlink>
        </w:p>
        <w:p w:rsidR="004B3372" w:rsidRPr="002239F2" w:rsidRDefault="007F0A8B" w:rsidP="004B3372">
          <w:pPr>
            <w:pStyle w:val="TOC2"/>
            <w:tabs>
              <w:tab w:val="left" w:pos="880"/>
              <w:tab w:val="right" w:leader="dot" w:pos="9435"/>
            </w:tabs>
            <w:rPr>
              <w:rFonts w:eastAsiaTheme="minorEastAsia" w:cstheme="minorBidi"/>
              <w:sz w:val="24"/>
              <w:szCs w:val="24"/>
              <w:lang w:val="ro-RO"/>
            </w:rPr>
          </w:pPr>
          <w:hyperlink w:anchor="_Toc32964804" w:history="1">
            <w:r w:rsidR="004B3372" w:rsidRPr="002239F2">
              <w:rPr>
                <w:rStyle w:val="Hyperlink"/>
                <w:lang w:val="ro-RO"/>
              </w:rPr>
              <w:t>1.2.</w:t>
            </w:r>
            <w:r w:rsidR="004B3372" w:rsidRPr="002239F2">
              <w:rPr>
                <w:rFonts w:eastAsiaTheme="minorEastAsia" w:cstheme="minorBidi"/>
                <w:b w:val="0"/>
                <w:sz w:val="24"/>
                <w:szCs w:val="24"/>
                <w:lang w:val="ro-RO"/>
              </w:rPr>
              <w:tab/>
            </w:r>
            <w:r w:rsidR="004B3372" w:rsidRPr="002239F2">
              <w:rPr>
                <w:rStyle w:val="Hyperlink"/>
                <w:lang w:val="ro-RO"/>
              </w:rPr>
              <w:t>Metodele și Instrumentele de cercetare</w:t>
            </w:r>
            <w:r w:rsidR="004B3372" w:rsidRPr="002239F2">
              <w:rPr>
                <w:webHidden/>
                <w:lang w:val="ro-RO"/>
              </w:rPr>
              <w:tab/>
            </w:r>
            <w:r w:rsidR="004B3372" w:rsidRPr="002239F2">
              <w:rPr>
                <w:webHidden/>
                <w:lang w:val="ro-RO"/>
              </w:rPr>
              <w:fldChar w:fldCharType="begin"/>
            </w:r>
            <w:r w:rsidR="004B3372" w:rsidRPr="002239F2">
              <w:rPr>
                <w:webHidden/>
                <w:lang w:val="ro-RO"/>
              </w:rPr>
              <w:instrText xml:space="preserve"> PAGEREF _Toc32964804 \h </w:instrText>
            </w:r>
            <w:r w:rsidR="004B3372" w:rsidRPr="002239F2">
              <w:rPr>
                <w:webHidden/>
                <w:lang w:val="ro-RO"/>
              </w:rPr>
            </w:r>
            <w:r w:rsidR="004B3372" w:rsidRPr="002239F2">
              <w:rPr>
                <w:webHidden/>
                <w:lang w:val="ro-RO"/>
              </w:rPr>
              <w:fldChar w:fldCharType="separate"/>
            </w:r>
            <w:r w:rsidR="004B3372" w:rsidRPr="002239F2">
              <w:rPr>
                <w:webHidden/>
                <w:lang w:val="ro-RO"/>
              </w:rPr>
              <w:t>7</w:t>
            </w:r>
            <w:r w:rsidR="004B3372" w:rsidRPr="002239F2">
              <w:rPr>
                <w:webHidden/>
                <w:lang w:val="ro-RO"/>
              </w:rPr>
              <w:fldChar w:fldCharType="end"/>
            </w:r>
          </w:hyperlink>
        </w:p>
        <w:p w:rsidR="004B3372" w:rsidRPr="002239F2" w:rsidRDefault="007F0A8B" w:rsidP="004B3372">
          <w:pPr>
            <w:pStyle w:val="TOC1"/>
            <w:rPr>
              <w:rFonts w:eastAsiaTheme="minorEastAsia" w:cstheme="minorBidi"/>
              <w:b w:val="0"/>
              <w:iCs w:val="0"/>
              <w:noProof w:val="0"/>
            </w:rPr>
          </w:pPr>
          <w:hyperlink w:anchor="_Toc32964806" w:history="1">
            <w:r w:rsidR="004B3372" w:rsidRPr="002239F2">
              <w:rPr>
                <w:rStyle w:val="Hyperlink"/>
                <w:noProof w:val="0"/>
              </w:rPr>
              <w:t>2.</w:t>
            </w:r>
            <w:r w:rsidR="004B3372" w:rsidRPr="002239F2">
              <w:rPr>
                <w:rFonts w:eastAsiaTheme="minorEastAsia" w:cstheme="minorBidi"/>
                <w:b w:val="0"/>
                <w:iCs w:val="0"/>
                <w:noProof w:val="0"/>
              </w:rPr>
              <w:tab/>
            </w:r>
            <w:r w:rsidR="004B3372" w:rsidRPr="002239F2">
              <w:rPr>
                <w:rStyle w:val="Hyperlink"/>
                <w:noProof w:val="0"/>
              </w:rPr>
              <w:t>Descrierea Contextului</w:t>
            </w:r>
            <w:r w:rsidR="004B3372" w:rsidRPr="002239F2">
              <w:rPr>
                <w:noProof w:val="0"/>
                <w:webHidden/>
              </w:rPr>
              <w:tab/>
            </w:r>
            <w:r w:rsidR="004B3372" w:rsidRPr="002239F2">
              <w:rPr>
                <w:noProof w:val="0"/>
                <w:webHidden/>
              </w:rPr>
              <w:fldChar w:fldCharType="begin"/>
            </w:r>
            <w:r w:rsidR="004B3372" w:rsidRPr="002239F2">
              <w:rPr>
                <w:noProof w:val="0"/>
                <w:webHidden/>
              </w:rPr>
              <w:instrText xml:space="preserve"> PAGEREF _Toc32964806 \h </w:instrText>
            </w:r>
            <w:r w:rsidR="004B3372" w:rsidRPr="002239F2">
              <w:rPr>
                <w:noProof w:val="0"/>
                <w:webHidden/>
              </w:rPr>
            </w:r>
            <w:r w:rsidR="004B3372" w:rsidRPr="002239F2">
              <w:rPr>
                <w:noProof w:val="0"/>
                <w:webHidden/>
              </w:rPr>
              <w:fldChar w:fldCharType="separate"/>
            </w:r>
            <w:r w:rsidR="004B3372" w:rsidRPr="002239F2">
              <w:rPr>
                <w:noProof w:val="0"/>
                <w:webHidden/>
              </w:rPr>
              <w:t>9</w:t>
            </w:r>
            <w:r w:rsidR="004B3372" w:rsidRPr="002239F2">
              <w:rPr>
                <w:noProof w:val="0"/>
                <w:webHidden/>
              </w:rPr>
              <w:fldChar w:fldCharType="end"/>
            </w:r>
          </w:hyperlink>
        </w:p>
        <w:p w:rsidR="004B3372" w:rsidRPr="002239F2" w:rsidRDefault="007F0A8B" w:rsidP="004B3372">
          <w:pPr>
            <w:pStyle w:val="TOC2"/>
            <w:tabs>
              <w:tab w:val="left" w:pos="880"/>
              <w:tab w:val="right" w:leader="dot" w:pos="9435"/>
            </w:tabs>
            <w:rPr>
              <w:rFonts w:eastAsiaTheme="minorEastAsia" w:cstheme="minorBidi"/>
              <w:b w:val="0"/>
              <w:sz w:val="24"/>
              <w:szCs w:val="24"/>
              <w:lang w:val="ro-RO"/>
            </w:rPr>
          </w:pPr>
          <w:hyperlink w:anchor="_Toc32964807" w:history="1">
            <w:r w:rsidR="004B3372" w:rsidRPr="002239F2">
              <w:rPr>
                <w:rStyle w:val="Hyperlink"/>
                <w:lang w:val="ro-RO"/>
              </w:rPr>
              <w:t>2.1.</w:t>
            </w:r>
            <w:r w:rsidR="004B3372" w:rsidRPr="002239F2">
              <w:rPr>
                <w:rFonts w:eastAsiaTheme="minorEastAsia" w:cstheme="minorBidi"/>
                <w:b w:val="0"/>
                <w:sz w:val="24"/>
                <w:szCs w:val="24"/>
                <w:lang w:val="ro-RO"/>
              </w:rPr>
              <w:tab/>
            </w:r>
            <w:r w:rsidR="004B3372" w:rsidRPr="002239F2">
              <w:rPr>
                <w:rStyle w:val="Hyperlink"/>
                <w:lang w:val="ro-RO"/>
              </w:rPr>
              <w:t>Descrierea problemei</w:t>
            </w:r>
            <w:r w:rsidR="004B3372" w:rsidRPr="002239F2">
              <w:rPr>
                <w:webHidden/>
                <w:lang w:val="ro-RO"/>
              </w:rPr>
              <w:tab/>
            </w:r>
            <w:r w:rsidR="004B3372" w:rsidRPr="002239F2">
              <w:rPr>
                <w:webHidden/>
                <w:lang w:val="ro-RO"/>
              </w:rPr>
              <w:fldChar w:fldCharType="begin"/>
            </w:r>
            <w:r w:rsidR="004B3372" w:rsidRPr="002239F2">
              <w:rPr>
                <w:webHidden/>
                <w:lang w:val="ro-RO"/>
              </w:rPr>
              <w:instrText xml:space="preserve"> PAGEREF _Toc32964807 \h </w:instrText>
            </w:r>
            <w:r w:rsidR="004B3372" w:rsidRPr="002239F2">
              <w:rPr>
                <w:webHidden/>
                <w:lang w:val="ro-RO"/>
              </w:rPr>
            </w:r>
            <w:r w:rsidR="004B3372" w:rsidRPr="002239F2">
              <w:rPr>
                <w:webHidden/>
                <w:lang w:val="ro-RO"/>
              </w:rPr>
              <w:fldChar w:fldCharType="separate"/>
            </w:r>
            <w:r w:rsidR="004B3372" w:rsidRPr="002239F2">
              <w:rPr>
                <w:webHidden/>
                <w:lang w:val="ro-RO"/>
              </w:rPr>
              <w:t>9</w:t>
            </w:r>
            <w:r w:rsidR="004B3372" w:rsidRPr="002239F2">
              <w:rPr>
                <w:webHidden/>
                <w:lang w:val="ro-RO"/>
              </w:rPr>
              <w:fldChar w:fldCharType="end"/>
            </w:r>
          </w:hyperlink>
        </w:p>
        <w:p w:rsidR="004B3372" w:rsidRPr="002239F2" w:rsidRDefault="007F0A8B" w:rsidP="004B3372">
          <w:pPr>
            <w:pStyle w:val="TOC1"/>
            <w:rPr>
              <w:rFonts w:eastAsiaTheme="minorEastAsia" w:cstheme="minorBidi"/>
              <w:b w:val="0"/>
              <w:iCs w:val="0"/>
              <w:noProof w:val="0"/>
            </w:rPr>
          </w:pPr>
          <w:hyperlink w:anchor="_Toc32964808" w:history="1">
            <w:r w:rsidR="004B3372" w:rsidRPr="002239F2">
              <w:rPr>
                <w:rStyle w:val="Hyperlink"/>
                <w:noProof w:val="0"/>
              </w:rPr>
              <w:t>3.</w:t>
            </w:r>
            <w:r w:rsidR="004B3372" w:rsidRPr="002239F2">
              <w:rPr>
                <w:rFonts w:eastAsiaTheme="minorEastAsia" w:cstheme="minorBidi"/>
                <w:b w:val="0"/>
                <w:iCs w:val="0"/>
                <w:noProof w:val="0"/>
              </w:rPr>
              <w:tab/>
            </w:r>
            <w:r w:rsidR="004B3372" w:rsidRPr="002239F2">
              <w:rPr>
                <w:rStyle w:val="Hyperlink"/>
                <w:noProof w:val="0"/>
              </w:rPr>
              <w:t>Analiza dimensiunilor de evaluare</w:t>
            </w:r>
            <w:r w:rsidR="004B3372" w:rsidRPr="002239F2">
              <w:rPr>
                <w:noProof w:val="0"/>
                <w:webHidden/>
              </w:rPr>
              <w:tab/>
            </w:r>
            <w:r w:rsidR="004B3372" w:rsidRPr="002239F2">
              <w:rPr>
                <w:noProof w:val="0"/>
                <w:webHidden/>
              </w:rPr>
              <w:fldChar w:fldCharType="begin"/>
            </w:r>
            <w:r w:rsidR="004B3372" w:rsidRPr="002239F2">
              <w:rPr>
                <w:noProof w:val="0"/>
                <w:webHidden/>
              </w:rPr>
              <w:instrText xml:space="preserve"> PAGEREF _Toc32964808 \h </w:instrText>
            </w:r>
            <w:r w:rsidR="004B3372" w:rsidRPr="002239F2">
              <w:rPr>
                <w:noProof w:val="0"/>
                <w:webHidden/>
              </w:rPr>
            </w:r>
            <w:r w:rsidR="004B3372" w:rsidRPr="002239F2">
              <w:rPr>
                <w:noProof w:val="0"/>
                <w:webHidden/>
              </w:rPr>
              <w:fldChar w:fldCharType="separate"/>
            </w:r>
            <w:r w:rsidR="004B3372" w:rsidRPr="002239F2">
              <w:rPr>
                <w:noProof w:val="0"/>
                <w:webHidden/>
              </w:rPr>
              <w:t>12</w:t>
            </w:r>
            <w:r w:rsidR="004B3372" w:rsidRPr="002239F2">
              <w:rPr>
                <w:noProof w:val="0"/>
                <w:webHidden/>
              </w:rPr>
              <w:fldChar w:fldCharType="end"/>
            </w:r>
          </w:hyperlink>
        </w:p>
        <w:p w:rsidR="004B3372" w:rsidRPr="002239F2" w:rsidRDefault="007F0A8B" w:rsidP="004B3372">
          <w:pPr>
            <w:pStyle w:val="TOC2"/>
            <w:tabs>
              <w:tab w:val="left" w:pos="880"/>
              <w:tab w:val="right" w:leader="dot" w:pos="9435"/>
            </w:tabs>
            <w:rPr>
              <w:rFonts w:eastAsiaTheme="minorEastAsia" w:cstheme="minorBidi"/>
              <w:b w:val="0"/>
              <w:sz w:val="24"/>
              <w:szCs w:val="24"/>
              <w:lang w:val="ro-RO"/>
            </w:rPr>
          </w:pPr>
          <w:hyperlink w:anchor="_Toc32964809" w:history="1">
            <w:r w:rsidR="004B3372" w:rsidRPr="002239F2">
              <w:rPr>
                <w:rStyle w:val="Hyperlink"/>
                <w:lang w:val="ro-RO"/>
              </w:rPr>
              <w:t>3.1.</w:t>
            </w:r>
            <w:r w:rsidR="004B3372" w:rsidRPr="002239F2">
              <w:rPr>
                <w:rFonts w:eastAsiaTheme="minorEastAsia" w:cstheme="minorBidi"/>
                <w:b w:val="0"/>
                <w:sz w:val="24"/>
                <w:szCs w:val="24"/>
                <w:lang w:val="ro-RO"/>
              </w:rPr>
              <w:tab/>
            </w:r>
            <w:r w:rsidR="004B3372" w:rsidRPr="002239F2">
              <w:rPr>
                <w:rStyle w:val="Hyperlink"/>
                <w:lang w:val="ro-RO"/>
              </w:rPr>
              <w:t>Structura Propunerii de Politică Publică</w:t>
            </w:r>
            <w:r w:rsidR="004B3372" w:rsidRPr="002239F2">
              <w:rPr>
                <w:webHidden/>
                <w:lang w:val="ro-RO"/>
              </w:rPr>
              <w:tab/>
            </w:r>
            <w:r w:rsidR="004B3372" w:rsidRPr="002239F2">
              <w:rPr>
                <w:webHidden/>
                <w:lang w:val="ro-RO"/>
              </w:rPr>
              <w:fldChar w:fldCharType="begin"/>
            </w:r>
            <w:r w:rsidR="004B3372" w:rsidRPr="002239F2">
              <w:rPr>
                <w:webHidden/>
                <w:lang w:val="ro-RO"/>
              </w:rPr>
              <w:instrText xml:space="preserve"> PAGEREF _Toc32964809 \h </w:instrText>
            </w:r>
            <w:r w:rsidR="004B3372" w:rsidRPr="002239F2">
              <w:rPr>
                <w:webHidden/>
                <w:lang w:val="ro-RO"/>
              </w:rPr>
            </w:r>
            <w:r w:rsidR="004B3372" w:rsidRPr="002239F2">
              <w:rPr>
                <w:webHidden/>
                <w:lang w:val="ro-RO"/>
              </w:rPr>
              <w:fldChar w:fldCharType="separate"/>
            </w:r>
            <w:r w:rsidR="004B3372" w:rsidRPr="002239F2">
              <w:rPr>
                <w:webHidden/>
                <w:lang w:val="ro-RO"/>
              </w:rPr>
              <w:t>12</w:t>
            </w:r>
            <w:r w:rsidR="004B3372" w:rsidRPr="002239F2">
              <w:rPr>
                <w:webHidden/>
                <w:lang w:val="ro-RO"/>
              </w:rPr>
              <w:fldChar w:fldCharType="end"/>
            </w:r>
          </w:hyperlink>
        </w:p>
        <w:p w:rsidR="004B3372" w:rsidRPr="002239F2" w:rsidRDefault="007F0A8B" w:rsidP="004B3372">
          <w:pPr>
            <w:pStyle w:val="TOC2"/>
            <w:tabs>
              <w:tab w:val="left" w:pos="880"/>
              <w:tab w:val="right" w:leader="dot" w:pos="9435"/>
            </w:tabs>
            <w:rPr>
              <w:rFonts w:eastAsiaTheme="minorEastAsia" w:cstheme="minorBidi"/>
              <w:b w:val="0"/>
              <w:sz w:val="24"/>
              <w:szCs w:val="24"/>
              <w:lang w:val="ro-RO"/>
            </w:rPr>
          </w:pPr>
          <w:hyperlink w:anchor="_Toc32964810" w:history="1">
            <w:r w:rsidR="004B3372" w:rsidRPr="002239F2">
              <w:rPr>
                <w:rStyle w:val="Hyperlink"/>
                <w:lang w:val="ro-RO"/>
              </w:rPr>
              <w:t>3.2.</w:t>
            </w:r>
            <w:r w:rsidR="004B3372" w:rsidRPr="002239F2">
              <w:rPr>
                <w:rFonts w:eastAsiaTheme="minorEastAsia" w:cstheme="minorBidi"/>
                <w:b w:val="0"/>
                <w:sz w:val="24"/>
                <w:szCs w:val="24"/>
                <w:lang w:val="ro-RO"/>
              </w:rPr>
              <w:tab/>
            </w:r>
            <w:r w:rsidR="004B3372" w:rsidRPr="002239F2">
              <w:rPr>
                <w:rStyle w:val="Hyperlink"/>
                <w:lang w:val="ro-RO"/>
              </w:rPr>
              <w:t>Relevanța Propunerii de Politică Publică</w:t>
            </w:r>
            <w:r w:rsidR="004B3372" w:rsidRPr="002239F2">
              <w:rPr>
                <w:webHidden/>
                <w:lang w:val="ro-RO"/>
              </w:rPr>
              <w:tab/>
            </w:r>
            <w:r w:rsidR="004B3372" w:rsidRPr="002239F2">
              <w:rPr>
                <w:webHidden/>
                <w:lang w:val="ro-RO"/>
              </w:rPr>
              <w:fldChar w:fldCharType="begin"/>
            </w:r>
            <w:r w:rsidR="004B3372" w:rsidRPr="002239F2">
              <w:rPr>
                <w:webHidden/>
                <w:lang w:val="ro-RO"/>
              </w:rPr>
              <w:instrText xml:space="preserve"> PAGEREF _Toc32964810 \h </w:instrText>
            </w:r>
            <w:r w:rsidR="004B3372" w:rsidRPr="002239F2">
              <w:rPr>
                <w:webHidden/>
                <w:lang w:val="ro-RO"/>
              </w:rPr>
            </w:r>
            <w:r w:rsidR="004B3372" w:rsidRPr="002239F2">
              <w:rPr>
                <w:webHidden/>
                <w:lang w:val="ro-RO"/>
              </w:rPr>
              <w:fldChar w:fldCharType="separate"/>
            </w:r>
            <w:r w:rsidR="004B3372" w:rsidRPr="002239F2">
              <w:rPr>
                <w:webHidden/>
                <w:lang w:val="ro-RO"/>
              </w:rPr>
              <w:t>12</w:t>
            </w:r>
            <w:r w:rsidR="004B3372" w:rsidRPr="002239F2">
              <w:rPr>
                <w:webHidden/>
                <w:lang w:val="ro-RO"/>
              </w:rPr>
              <w:fldChar w:fldCharType="end"/>
            </w:r>
          </w:hyperlink>
        </w:p>
        <w:p w:rsidR="004B3372" w:rsidRPr="002239F2" w:rsidRDefault="007F0A8B" w:rsidP="004B3372">
          <w:pPr>
            <w:pStyle w:val="TOC2"/>
            <w:tabs>
              <w:tab w:val="left" w:pos="880"/>
              <w:tab w:val="right" w:leader="dot" w:pos="9435"/>
            </w:tabs>
            <w:rPr>
              <w:rFonts w:eastAsiaTheme="minorEastAsia" w:cstheme="minorBidi"/>
              <w:b w:val="0"/>
              <w:sz w:val="24"/>
              <w:szCs w:val="24"/>
              <w:lang w:val="ro-RO"/>
            </w:rPr>
          </w:pPr>
          <w:hyperlink w:anchor="_Toc32964811" w:history="1">
            <w:r w:rsidR="004B3372" w:rsidRPr="002239F2">
              <w:rPr>
                <w:rStyle w:val="Hyperlink"/>
                <w:lang w:val="ro-RO"/>
              </w:rPr>
              <w:t>3.3.</w:t>
            </w:r>
            <w:r w:rsidR="004B3372" w:rsidRPr="002239F2">
              <w:rPr>
                <w:rFonts w:eastAsiaTheme="minorEastAsia" w:cstheme="minorBidi"/>
                <w:b w:val="0"/>
                <w:sz w:val="24"/>
                <w:szCs w:val="24"/>
                <w:lang w:val="ro-RO"/>
              </w:rPr>
              <w:tab/>
            </w:r>
            <w:r w:rsidR="004B3372" w:rsidRPr="002239F2">
              <w:rPr>
                <w:rStyle w:val="Hyperlink"/>
                <w:lang w:val="ro-RO"/>
              </w:rPr>
              <w:t>Eficacitatea Propunerii de Politică Publică</w:t>
            </w:r>
            <w:r w:rsidR="004B3372" w:rsidRPr="002239F2">
              <w:rPr>
                <w:webHidden/>
                <w:lang w:val="ro-RO"/>
              </w:rPr>
              <w:tab/>
            </w:r>
            <w:r w:rsidR="004B3372" w:rsidRPr="002239F2">
              <w:rPr>
                <w:webHidden/>
                <w:lang w:val="ro-RO"/>
              </w:rPr>
              <w:fldChar w:fldCharType="begin"/>
            </w:r>
            <w:r w:rsidR="004B3372" w:rsidRPr="002239F2">
              <w:rPr>
                <w:webHidden/>
                <w:lang w:val="ro-RO"/>
              </w:rPr>
              <w:instrText xml:space="preserve"> PAGEREF _Toc32964811 \h </w:instrText>
            </w:r>
            <w:r w:rsidR="004B3372" w:rsidRPr="002239F2">
              <w:rPr>
                <w:webHidden/>
                <w:lang w:val="ro-RO"/>
              </w:rPr>
            </w:r>
            <w:r w:rsidR="004B3372" w:rsidRPr="002239F2">
              <w:rPr>
                <w:webHidden/>
                <w:lang w:val="ro-RO"/>
              </w:rPr>
              <w:fldChar w:fldCharType="separate"/>
            </w:r>
            <w:r w:rsidR="004B3372" w:rsidRPr="002239F2">
              <w:rPr>
                <w:webHidden/>
                <w:lang w:val="ro-RO"/>
              </w:rPr>
              <w:t>15</w:t>
            </w:r>
            <w:r w:rsidR="004B3372" w:rsidRPr="002239F2">
              <w:rPr>
                <w:webHidden/>
                <w:lang w:val="ro-RO"/>
              </w:rPr>
              <w:fldChar w:fldCharType="end"/>
            </w:r>
          </w:hyperlink>
        </w:p>
        <w:p w:rsidR="004B3372" w:rsidRPr="002239F2" w:rsidRDefault="007F0A8B" w:rsidP="004B3372">
          <w:pPr>
            <w:pStyle w:val="TOC2"/>
            <w:tabs>
              <w:tab w:val="left" w:pos="880"/>
              <w:tab w:val="right" w:leader="dot" w:pos="9435"/>
            </w:tabs>
            <w:rPr>
              <w:rFonts w:eastAsiaTheme="minorEastAsia" w:cstheme="minorBidi"/>
              <w:b w:val="0"/>
              <w:sz w:val="24"/>
              <w:szCs w:val="24"/>
              <w:lang w:val="ro-RO"/>
            </w:rPr>
          </w:pPr>
          <w:hyperlink w:anchor="_Toc32964812" w:history="1">
            <w:r w:rsidR="004B3372" w:rsidRPr="002239F2">
              <w:rPr>
                <w:rStyle w:val="Hyperlink"/>
                <w:lang w:val="ro-RO"/>
              </w:rPr>
              <w:t>3.4.</w:t>
            </w:r>
            <w:r w:rsidR="004B3372" w:rsidRPr="002239F2">
              <w:rPr>
                <w:rFonts w:eastAsiaTheme="minorEastAsia" w:cstheme="minorBidi"/>
                <w:b w:val="0"/>
                <w:sz w:val="24"/>
                <w:szCs w:val="24"/>
                <w:lang w:val="ro-RO"/>
              </w:rPr>
              <w:tab/>
            </w:r>
            <w:r w:rsidR="004B3372" w:rsidRPr="002239F2">
              <w:rPr>
                <w:rStyle w:val="Hyperlink"/>
                <w:lang w:val="ro-RO"/>
              </w:rPr>
              <w:t>Eficiența Propunerii de Politică Publică</w:t>
            </w:r>
            <w:r w:rsidR="004B3372" w:rsidRPr="002239F2">
              <w:rPr>
                <w:webHidden/>
                <w:lang w:val="ro-RO"/>
              </w:rPr>
              <w:tab/>
            </w:r>
            <w:r w:rsidR="004B3372" w:rsidRPr="002239F2">
              <w:rPr>
                <w:webHidden/>
                <w:lang w:val="ro-RO"/>
              </w:rPr>
              <w:fldChar w:fldCharType="begin"/>
            </w:r>
            <w:r w:rsidR="004B3372" w:rsidRPr="002239F2">
              <w:rPr>
                <w:webHidden/>
                <w:lang w:val="ro-RO"/>
              </w:rPr>
              <w:instrText xml:space="preserve"> PAGEREF _Toc32964812 \h </w:instrText>
            </w:r>
            <w:r w:rsidR="004B3372" w:rsidRPr="002239F2">
              <w:rPr>
                <w:webHidden/>
                <w:lang w:val="ro-RO"/>
              </w:rPr>
            </w:r>
            <w:r w:rsidR="004B3372" w:rsidRPr="002239F2">
              <w:rPr>
                <w:webHidden/>
                <w:lang w:val="ro-RO"/>
              </w:rPr>
              <w:fldChar w:fldCharType="separate"/>
            </w:r>
            <w:r w:rsidR="004B3372" w:rsidRPr="002239F2">
              <w:rPr>
                <w:webHidden/>
                <w:lang w:val="ro-RO"/>
              </w:rPr>
              <w:t>19</w:t>
            </w:r>
            <w:r w:rsidR="004B3372" w:rsidRPr="002239F2">
              <w:rPr>
                <w:webHidden/>
                <w:lang w:val="ro-RO"/>
              </w:rPr>
              <w:fldChar w:fldCharType="end"/>
            </w:r>
          </w:hyperlink>
        </w:p>
        <w:p w:rsidR="004B3372" w:rsidRPr="001C3B31" w:rsidRDefault="007F0A8B" w:rsidP="004B3372">
          <w:pPr>
            <w:pStyle w:val="TOC2"/>
            <w:tabs>
              <w:tab w:val="left" w:pos="880"/>
              <w:tab w:val="right" w:leader="dot" w:pos="9435"/>
            </w:tabs>
            <w:rPr>
              <w:rFonts w:eastAsiaTheme="minorEastAsia" w:cstheme="minorBidi"/>
              <w:b w:val="0"/>
              <w:sz w:val="24"/>
              <w:szCs w:val="24"/>
              <w:lang w:val="ro-RO"/>
            </w:rPr>
          </w:pPr>
          <w:hyperlink w:anchor="_Toc32964813" w:history="1">
            <w:r w:rsidR="004B3372" w:rsidRPr="002239F2">
              <w:rPr>
                <w:rStyle w:val="Hyperlink"/>
                <w:lang w:val="ro-RO"/>
              </w:rPr>
              <w:t>3.5.</w:t>
            </w:r>
            <w:r w:rsidR="004B3372" w:rsidRPr="002239F2">
              <w:rPr>
                <w:rFonts w:eastAsiaTheme="minorEastAsia" w:cstheme="minorBidi"/>
                <w:b w:val="0"/>
                <w:sz w:val="24"/>
                <w:szCs w:val="24"/>
                <w:lang w:val="ro-RO"/>
              </w:rPr>
              <w:tab/>
            </w:r>
            <w:r w:rsidR="004B3372" w:rsidRPr="002239F2">
              <w:rPr>
                <w:rStyle w:val="Hyperlink"/>
                <w:lang w:val="ro-RO"/>
              </w:rPr>
              <w:t>Impactul Propunerii de Politică Publică</w:t>
            </w:r>
            <w:r w:rsidR="004B3372" w:rsidRPr="002239F2">
              <w:rPr>
                <w:webHidden/>
                <w:lang w:val="ro-RO"/>
              </w:rPr>
              <w:tab/>
            </w:r>
            <w:r w:rsidR="004B3372" w:rsidRPr="002239F2">
              <w:rPr>
                <w:webHidden/>
                <w:lang w:val="ro-RO"/>
              </w:rPr>
              <w:fldChar w:fldCharType="begin"/>
            </w:r>
            <w:r w:rsidR="004B3372" w:rsidRPr="002239F2">
              <w:rPr>
                <w:webHidden/>
                <w:lang w:val="ro-RO"/>
              </w:rPr>
              <w:instrText xml:space="preserve"> PAGEREF _Toc32964813 \h </w:instrText>
            </w:r>
            <w:r w:rsidR="004B3372" w:rsidRPr="002239F2">
              <w:rPr>
                <w:webHidden/>
                <w:lang w:val="ro-RO"/>
              </w:rPr>
            </w:r>
            <w:r w:rsidR="004B3372" w:rsidRPr="002239F2">
              <w:rPr>
                <w:webHidden/>
                <w:lang w:val="ro-RO"/>
              </w:rPr>
              <w:fldChar w:fldCharType="separate"/>
            </w:r>
            <w:r w:rsidR="004B3372" w:rsidRPr="002239F2">
              <w:rPr>
                <w:webHidden/>
                <w:lang w:val="ro-RO"/>
              </w:rPr>
              <w:t>22</w:t>
            </w:r>
            <w:r w:rsidR="004B3372" w:rsidRPr="002239F2">
              <w:rPr>
                <w:webHidden/>
                <w:lang w:val="ro-RO"/>
              </w:rPr>
              <w:fldChar w:fldCharType="end"/>
            </w:r>
          </w:hyperlink>
        </w:p>
        <w:p w:rsidR="004B3372" w:rsidRPr="001C3B31" w:rsidRDefault="007F0A8B" w:rsidP="004B3372">
          <w:pPr>
            <w:pStyle w:val="TOC1"/>
            <w:rPr>
              <w:rFonts w:eastAsiaTheme="minorEastAsia" w:cstheme="minorBidi"/>
              <w:b w:val="0"/>
              <w:iCs w:val="0"/>
              <w:noProof w:val="0"/>
            </w:rPr>
          </w:pPr>
          <w:hyperlink w:anchor="_Toc32964821" w:history="1">
            <w:r w:rsidR="004B3372" w:rsidRPr="001C3B31">
              <w:rPr>
                <w:rStyle w:val="Hyperlink"/>
                <w:noProof w:val="0"/>
              </w:rPr>
              <w:t>4.</w:t>
            </w:r>
            <w:r w:rsidR="004B3372" w:rsidRPr="001C3B31">
              <w:rPr>
                <w:rFonts w:eastAsiaTheme="minorEastAsia" w:cstheme="minorBidi"/>
                <w:b w:val="0"/>
                <w:iCs w:val="0"/>
                <w:noProof w:val="0"/>
              </w:rPr>
              <w:tab/>
            </w:r>
            <w:r w:rsidR="004B3372" w:rsidRPr="002239F2">
              <w:rPr>
                <w:rStyle w:val="Hyperlink"/>
                <w:noProof w:val="0"/>
              </w:rPr>
              <w:t>Analiza</w:t>
            </w:r>
            <w:r w:rsidR="004B3372" w:rsidRPr="00BD193A">
              <w:rPr>
                <w:rStyle w:val="Hyperlink"/>
                <w:noProof w:val="0"/>
                <w:color w:val="00B050"/>
              </w:rPr>
              <w:t xml:space="preserve"> </w:t>
            </w:r>
            <w:r w:rsidR="004B3372" w:rsidRPr="001C3B31">
              <w:rPr>
                <w:rStyle w:val="Hyperlink"/>
                <w:noProof w:val="0"/>
              </w:rPr>
              <w:t>Cost-Beneficiu</w:t>
            </w:r>
            <w:r w:rsidR="004B3372" w:rsidRPr="001C3B31">
              <w:rPr>
                <w:noProof w:val="0"/>
                <w:webHidden/>
              </w:rPr>
              <w:tab/>
            </w:r>
            <w:r w:rsidR="004B3372" w:rsidRPr="001C3B31">
              <w:rPr>
                <w:noProof w:val="0"/>
                <w:webHidden/>
              </w:rPr>
              <w:fldChar w:fldCharType="begin"/>
            </w:r>
            <w:r w:rsidR="004B3372" w:rsidRPr="001C3B31">
              <w:rPr>
                <w:noProof w:val="0"/>
                <w:webHidden/>
              </w:rPr>
              <w:instrText xml:space="preserve"> PAGEREF _Toc32964821 \h </w:instrText>
            </w:r>
            <w:r w:rsidR="004B3372" w:rsidRPr="001C3B31">
              <w:rPr>
                <w:noProof w:val="0"/>
                <w:webHidden/>
              </w:rPr>
            </w:r>
            <w:r w:rsidR="004B3372" w:rsidRPr="001C3B31">
              <w:rPr>
                <w:noProof w:val="0"/>
                <w:webHidden/>
              </w:rPr>
              <w:fldChar w:fldCharType="separate"/>
            </w:r>
            <w:r w:rsidR="004B3372" w:rsidRPr="001C3B31">
              <w:rPr>
                <w:noProof w:val="0"/>
                <w:webHidden/>
              </w:rPr>
              <w:t>35</w:t>
            </w:r>
            <w:r w:rsidR="004B3372" w:rsidRPr="001C3B31">
              <w:rPr>
                <w:noProof w:val="0"/>
                <w:webHidden/>
              </w:rPr>
              <w:fldChar w:fldCharType="end"/>
            </w:r>
          </w:hyperlink>
        </w:p>
        <w:p w:rsidR="004B3372" w:rsidRPr="001C3B31" w:rsidRDefault="007F0A8B" w:rsidP="004B3372">
          <w:pPr>
            <w:pStyle w:val="TOC2"/>
            <w:tabs>
              <w:tab w:val="left" w:pos="880"/>
              <w:tab w:val="right" w:leader="dot" w:pos="9435"/>
            </w:tabs>
            <w:rPr>
              <w:rFonts w:eastAsiaTheme="minorEastAsia" w:cstheme="minorBidi"/>
              <w:b w:val="0"/>
              <w:sz w:val="24"/>
              <w:szCs w:val="24"/>
              <w:lang w:val="ro-RO"/>
            </w:rPr>
          </w:pPr>
          <w:hyperlink w:anchor="_Toc32964822" w:history="1">
            <w:r w:rsidR="004B3372" w:rsidRPr="001C3B31">
              <w:rPr>
                <w:rStyle w:val="Hyperlink"/>
                <w:lang w:val="ro-RO"/>
              </w:rPr>
              <w:t>4.1.</w:t>
            </w:r>
            <w:r w:rsidR="004B3372" w:rsidRPr="001C3B31">
              <w:rPr>
                <w:rFonts w:eastAsiaTheme="minorEastAsia" w:cstheme="minorBidi"/>
                <w:b w:val="0"/>
                <w:sz w:val="24"/>
                <w:szCs w:val="24"/>
                <w:lang w:val="ro-RO"/>
              </w:rPr>
              <w:tab/>
            </w:r>
            <w:r w:rsidR="004B3372" w:rsidRPr="001C3B31">
              <w:rPr>
                <w:rStyle w:val="Hyperlink"/>
                <w:lang w:val="ro-RO"/>
              </w:rPr>
              <w:t>Scenariile analizate</w:t>
            </w:r>
            <w:r w:rsidR="004B3372" w:rsidRPr="001C3B31">
              <w:rPr>
                <w:webHidden/>
                <w:lang w:val="ro-RO"/>
              </w:rPr>
              <w:tab/>
            </w:r>
            <w:r w:rsidR="004B3372" w:rsidRPr="001C3B31">
              <w:rPr>
                <w:webHidden/>
                <w:lang w:val="ro-RO"/>
              </w:rPr>
              <w:fldChar w:fldCharType="begin"/>
            </w:r>
            <w:r w:rsidR="004B3372" w:rsidRPr="001C3B31">
              <w:rPr>
                <w:webHidden/>
                <w:lang w:val="ro-RO"/>
              </w:rPr>
              <w:instrText xml:space="preserve"> PAGEREF _Toc32964822 \h </w:instrText>
            </w:r>
            <w:r w:rsidR="004B3372" w:rsidRPr="001C3B31">
              <w:rPr>
                <w:webHidden/>
                <w:lang w:val="ro-RO"/>
              </w:rPr>
            </w:r>
            <w:r w:rsidR="004B3372" w:rsidRPr="001C3B31">
              <w:rPr>
                <w:webHidden/>
                <w:lang w:val="ro-RO"/>
              </w:rPr>
              <w:fldChar w:fldCharType="separate"/>
            </w:r>
            <w:r w:rsidR="004B3372" w:rsidRPr="001C3B31">
              <w:rPr>
                <w:webHidden/>
                <w:lang w:val="ro-RO"/>
              </w:rPr>
              <w:t>35</w:t>
            </w:r>
            <w:r w:rsidR="004B3372" w:rsidRPr="001C3B31">
              <w:rPr>
                <w:webHidden/>
                <w:lang w:val="ro-RO"/>
              </w:rPr>
              <w:fldChar w:fldCharType="end"/>
            </w:r>
          </w:hyperlink>
        </w:p>
        <w:p w:rsidR="004B3372" w:rsidRPr="001C3B31" w:rsidRDefault="007F0A8B" w:rsidP="004B3372">
          <w:pPr>
            <w:pStyle w:val="TOC2"/>
            <w:tabs>
              <w:tab w:val="left" w:pos="880"/>
              <w:tab w:val="right" w:leader="dot" w:pos="9435"/>
            </w:tabs>
            <w:rPr>
              <w:rFonts w:eastAsiaTheme="minorEastAsia" w:cstheme="minorBidi"/>
              <w:b w:val="0"/>
              <w:sz w:val="24"/>
              <w:szCs w:val="24"/>
              <w:lang w:val="ro-RO"/>
            </w:rPr>
          </w:pPr>
          <w:hyperlink w:anchor="_Toc32964825" w:history="1">
            <w:r w:rsidR="004B3372" w:rsidRPr="001C3B31">
              <w:rPr>
                <w:rStyle w:val="Hyperlink"/>
                <w:lang w:val="ro-RO"/>
              </w:rPr>
              <w:t>4.2.</w:t>
            </w:r>
            <w:r w:rsidR="004B3372" w:rsidRPr="001C3B31">
              <w:rPr>
                <w:rFonts w:eastAsiaTheme="minorEastAsia" w:cstheme="minorBidi"/>
                <w:b w:val="0"/>
                <w:sz w:val="24"/>
                <w:szCs w:val="24"/>
                <w:lang w:val="ro-RO"/>
              </w:rPr>
              <w:tab/>
            </w:r>
            <w:r w:rsidR="004B3372" w:rsidRPr="001C3B31">
              <w:rPr>
                <w:rStyle w:val="Hyperlink"/>
                <w:lang w:val="ro-RO"/>
              </w:rPr>
              <w:t>Analiza incrementală</w:t>
            </w:r>
            <w:r w:rsidR="004B3372" w:rsidRPr="001C3B31">
              <w:rPr>
                <w:webHidden/>
                <w:lang w:val="ro-RO"/>
              </w:rPr>
              <w:tab/>
            </w:r>
            <w:r w:rsidR="004B3372" w:rsidRPr="001C3B31">
              <w:rPr>
                <w:webHidden/>
                <w:lang w:val="ro-RO"/>
              </w:rPr>
              <w:fldChar w:fldCharType="begin"/>
            </w:r>
            <w:r w:rsidR="004B3372" w:rsidRPr="001C3B31">
              <w:rPr>
                <w:webHidden/>
                <w:lang w:val="ro-RO"/>
              </w:rPr>
              <w:instrText xml:space="preserve"> PAGEREF _Toc32964825 \h </w:instrText>
            </w:r>
            <w:r w:rsidR="004B3372" w:rsidRPr="001C3B31">
              <w:rPr>
                <w:webHidden/>
                <w:lang w:val="ro-RO"/>
              </w:rPr>
            </w:r>
            <w:r w:rsidR="004B3372" w:rsidRPr="001C3B31">
              <w:rPr>
                <w:webHidden/>
                <w:lang w:val="ro-RO"/>
              </w:rPr>
              <w:fldChar w:fldCharType="separate"/>
            </w:r>
            <w:r w:rsidR="004B3372" w:rsidRPr="001C3B31">
              <w:rPr>
                <w:webHidden/>
                <w:lang w:val="ro-RO"/>
              </w:rPr>
              <w:t>35</w:t>
            </w:r>
            <w:r w:rsidR="004B3372" w:rsidRPr="001C3B31">
              <w:rPr>
                <w:webHidden/>
                <w:lang w:val="ro-RO"/>
              </w:rPr>
              <w:fldChar w:fldCharType="end"/>
            </w:r>
          </w:hyperlink>
        </w:p>
        <w:p w:rsidR="004B3372" w:rsidRPr="001C3B31" w:rsidRDefault="007F0A8B" w:rsidP="004B3372">
          <w:pPr>
            <w:pStyle w:val="TOC2"/>
            <w:tabs>
              <w:tab w:val="left" w:pos="880"/>
              <w:tab w:val="right" w:leader="dot" w:pos="9435"/>
            </w:tabs>
            <w:rPr>
              <w:rFonts w:eastAsiaTheme="minorEastAsia" w:cstheme="minorBidi"/>
              <w:b w:val="0"/>
              <w:sz w:val="24"/>
              <w:szCs w:val="24"/>
              <w:lang w:val="ro-RO"/>
            </w:rPr>
          </w:pPr>
          <w:hyperlink w:anchor="_Toc32964826" w:history="1">
            <w:r w:rsidR="004B3372" w:rsidRPr="001C3B31">
              <w:rPr>
                <w:rStyle w:val="Hyperlink"/>
                <w:lang w:val="ro-RO"/>
              </w:rPr>
              <w:t>4.3.</w:t>
            </w:r>
            <w:r w:rsidR="004B3372" w:rsidRPr="001C3B31">
              <w:rPr>
                <w:rFonts w:eastAsiaTheme="minorEastAsia" w:cstheme="minorBidi"/>
                <w:b w:val="0"/>
                <w:sz w:val="24"/>
                <w:szCs w:val="24"/>
                <w:lang w:val="ro-RO"/>
              </w:rPr>
              <w:tab/>
            </w:r>
            <w:r w:rsidR="004B3372" w:rsidRPr="001C3B31">
              <w:rPr>
                <w:rStyle w:val="Hyperlink"/>
                <w:lang w:val="ro-RO"/>
              </w:rPr>
              <w:t>Identificarea beneficiilor și a costurilor</w:t>
            </w:r>
            <w:r w:rsidR="004B3372" w:rsidRPr="001C3B31">
              <w:rPr>
                <w:webHidden/>
                <w:lang w:val="ro-RO"/>
              </w:rPr>
              <w:tab/>
            </w:r>
            <w:r w:rsidR="004B3372" w:rsidRPr="001C3B31">
              <w:rPr>
                <w:webHidden/>
                <w:lang w:val="ro-RO"/>
              </w:rPr>
              <w:fldChar w:fldCharType="begin"/>
            </w:r>
            <w:r w:rsidR="004B3372" w:rsidRPr="001C3B31">
              <w:rPr>
                <w:webHidden/>
                <w:lang w:val="ro-RO"/>
              </w:rPr>
              <w:instrText xml:space="preserve"> PAGEREF _Toc32964826 \h </w:instrText>
            </w:r>
            <w:r w:rsidR="004B3372" w:rsidRPr="001C3B31">
              <w:rPr>
                <w:webHidden/>
                <w:lang w:val="ro-RO"/>
              </w:rPr>
            </w:r>
            <w:r w:rsidR="004B3372" w:rsidRPr="001C3B31">
              <w:rPr>
                <w:webHidden/>
                <w:lang w:val="ro-RO"/>
              </w:rPr>
              <w:fldChar w:fldCharType="separate"/>
            </w:r>
            <w:r w:rsidR="004B3372" w:rsidRPr="001C3B31">
              <w:rPr>
                <w:webHidden/>
                <w:lang w:val="ro-RO"/>
              </w:rPr>
              <w:t>36</w:t>
            </w:r>
            <w:r w:rsidR="004B3372" w:rsidRPr="001C3B31">
              <w:rPr>
                <w:webHidden/>
                <w:lang w:val="ro-RO"/>
              </w:rPr>
              <w:fldChar w:fldCharType="end"/>
            </w:r>
          </w:hyperlink>
        </w:p>
        <w:p w:rsidR="004B3372" w:rsidRPr="001C3B31" w:rsidRDefault="007F0A8B" w:rsidP="004B3372">
          <w:pPr>
            <w:pStyle w:val="TOC2"/>
            <w:tabs>
              <w:tab w:val="left" w:pos="880"/>
              <w:tab w:val="right" w:leader="dot" w:pos="9435"/>
            </w:tabs>
            <w:rPr>
              <w:rFonts w:eastAsiaTheme="minorEastAsia" w:cstheme="minorBidi"/>
              <w:b w:val="0"/>
              <w:sz w:val="24"/>
              <w:szCs w:val="24"/>
              <w:lang w:val="ro-RO"/>
            </w:rPr>
          </w:pPr>
          <w:hyperlink w:anchor="_Toc32964830" w:history="1">
            <w:r w:rsidR="004B3372" w:rsidRPr="001C3B31">
              <w:rPr>
                <w:rStyle w:val="Hyperlink"/>
                <w:lang w:val="ro-RO"/>
              </w:rPr>
              <w:t>4.4.</w:t>
            </w:r>
            <w:r w:rsidR="004B3372" w:rsidRPr="001C3B31">
              <w:rPr>
                <w:rFonts w:eastAsiaTheme="minorEastAsia" w:cstheme="minorBidi"/>
                <w:b w:val="0"/>
                <w:sz w:val="24"/>
                <w:szCs w:val="24"/>
                <w:lang w:val="ro-RO"/>
              </w:rPr>
              <w:tab/>
            </w:r>
            <w:r w:rsidR="004B3372" w:rsidRPr="001C3B31">
              <w:rPr>
                <w:rStyle w:val="Hyperlink"/>
                <w:lang w:val="ro-RO"/>
              </w:rPr>
              <w:t>Instrumentele de evaluare a impactului economic</w:t>
            </w:r>
            <w:r w:rsidR="004B3372" w:rsidRPr="001C3B31">
              <w:rPr>
                <w:webHidden/>
                <w:lang w:val="ro-RO"/>
              </w:rPr>
              <w:tab/>
            </w:r>
            <w:r w:rsidR="004B3372" w:rsidRPr="001C3B31">
              <w:rPr>
                <w:webHidden/>
                <w:lang w:val="ro-RO"/>
              </w:rPr>
              <w:fldChar w:fldCharType="begin"/>
            </w:r>
            <w:r w:rsidR="004B3372" w:rsidRPr="001C3B31">
              <w:rPr>
                <w:webHidden/>
                <w:lang w:val="ro-RO"/>
              </w:rPr>
              <w:instrText xml:space="preserve"> PAGEREF _Toc32964830 \h </w:instrText>
            </w:r>
            <w:r w:rsidR="004B3372" w:rsidRPr="001C3B31">
              <w:rPr>
                <w:webHidden/>
                <w:lang w:val="ro-RO"/>
              </w:rPr>
            </w:r>
            <w:r w:rsidR="004B3372" w:rsidRPr="001C3B31">
              <w:rPr>
                <w:webHidden/>
                <w:lang w:val="ro-RO"/>
              </w:rPr>
              <w:fldChar w:fldCharType="separate"/>
            </w:r>
            <w:r w:rsidR="004B3372" w:rsidRPr="001C3B31">
              <w:rPr>
                <w:webHidden/>
                <w:lang w:val="ro-RO"/>
              </w:rPr>
              <w:t>37</w:t>
            </w:r>
            <w:r w:rsidR="004B3372" w:rsidRPr="001C3B31">
              <w:rPr>
                <w:webHidden/>
                <w:lang w:val="ro-RO"/>
              </w:rPr>
              <w:fldChar w:fldCharType="end"/>
            </w:r>
          </w:hyperlink>
        </w:p>
        <w:p w:rsidR="004B3372" w:rsidRPr="001C3B31" w:rsidRDefault="007F0A8B" w:rsidP="004B3372">
          <w:pPr>
            <w:pStyle w:val="TOC1"/>
            <w:rPr>
              <w:rFonts w:eastAsiaTheme="minorEastAsia" w:cstheme="minorBidi"/>
              <w:b w:val="0"/>
              <w:iCs w:val="0"/>
              <w:noProof w:val="0"/>
            </w:rPr>
          </w:pPr>
          <w:hyperlink w:anchor="_Toc32964836" w:history="1">
            <w:r w:rsidR="004B3372" w:rsidRPr="001C3B31">
              <w:rPr>
                <w:rStyle w:val="Hyperlink"/>
                <w:noProof w:val="0"/>
              </w:rPr>
              <w:t>5.</w:t>
            </w:r>
            <w:r w:rsidR="004B3372" w:rsidRPr="001C3B31">
              <w:rPr>
                <w:rFonts w:eastAsiaTheme="minorEastAsia" w:cstheme="minorBidi"/>
                <w:b w:val="0"/>
                <w:iCs w:val="0"/>
                <w:noProof w:val="0"/>
              </w:rPr>
              <w:tab/>
            </w:r>
            <w:r w:rsidR="004B3372" w:rsidRPr="001C3B31">
              <w:rPr>
                <w:rStyle w:val="Hyperlink"/>
                <w:noProof w:val="0"/>
              </w:rPr>
              <w:t>Rezultatele Analizei Cost-Beneficiu</w:t>
            </w:r>
            <w:r w:rsidR="004B3372" w:rsidRPr="001C3B31">
              <w:rPr>
                <w:noProof w:val="0"/>
                <w:webHidden/>
              </w:rPr>
              <w:tab/>
            </w:r>
            <w:r w:rsidR="004B3372" w:rsidRPr="001C3B31">
              <w:rPr>
                <w:noProof w:val="0"/>
                <w:webHidden/>
              </w:rPr>
              <w:fldChar w:fldCharType="begin"/>
            </w:r>
            <w:r w:rsidR="004B3372" w:rsidRPr="001C3B31">
              <w:rPr>
                <w:noProof w:val="0"/>
                <w:webHidden/>
              </w:rPr>
              <w:instrText xml:space="preserve"> PAGEREF _Toc32964836 \h </w:instrText>
            </w:r>
            <w:r w:rsidR="004B3372" w:rsidRPr="001C3B31">
              <w:rPr>
                <w:noProof w:val="0"/>
                <w:webHidden/>
              </w:rPr>
            </w:r>
            <w:r w:rsidR="004B3372" w:rsidRPr="001C3B31">
              <w:rPr>
                <w:noProof w:val="0"/>
                <w:webHidden/>
              </w:rPr>
              <w:fldChar w:fldCharType="separate"/>
            </w:r>
            <w:r w:rsidR="004B3372" w:rsidRPr="001C3B31">
              <w:rPr>
                <w:noProof w:val="0"/>
                <w:webHidden/>
              </w:rPr>
              <w:t>39</w:t>
            </w:r>
            <w:r w:rsidR="004B3372" w:rsidRPr="001C3B31">
              <w:rPr>
                <w:noProof w:val="0"/>
                <w:webHidden/>
              </w:rPr>
              <w:fldChar w:fldCharType="end"/>
            </w:r>
          </w:hyperlink>
        </w:p>
        <w:p w:rsidR="004B3372" w:rsidRPr="001C3B31" w:rsidRDefault="007F0A8B" w:rsidP="004B3372">
          <w:pPr>
            <w:pStyle w:val="TOC2"/>
            <w:tabs>
              <w:tab w:val="left" w:pos="880"/>
              <w:tab w:val="right" w:leader="dot" w:pos="9435"/>
            </w:tabs>
            <w:rPr>
              <w:rFonts w:eastAsiaTheme="minorEastAsia" w:cstheme="minorBidi"/>
              <w:b w:val="0"/>
              <w:sz w:val="24"/>
              <w:szCs w:val="24"/>
              <w:lang w:val="ro-RO"/>
            </w:rPr>
          </w:pPr>
          <w:hyperlink w:anchor="_Toc32964837" w:history="1">
            <w:r w:rsidR="004B3372" w:rsidRPr="001C3B31">
              <w:rPr>
                <w:rStyle w:val="Hyperlink"/>
                <w:lang w:val="ro-RO"/>
              </w:rPr>
              <w:t>5.1.</w:t>
            </w:r>
            <w:r w:rsidR="004B3372" w:rsidRPr="001C3B31">
              <w:rPr>
                <w:rFonts w:eastAsiaTheme="minorEastAsia" w:cstheme="minorBidi"/>
                <w:b w:val="0"/>
                <w:sz w:val="24"/>
                <w:szCs w:val="24"/>
                <w:lang w:val="ro-RO"/>
              </w:rPr>
              <w:tab/>
            </w:r>
            <w:r w:rsidR="004B3372" w:rsidRPr="001C3B31">
              <w:rPr>
                <w:rStyle w:val="Hyperlink"/>
                <w:lang w:val="ro-RO"/>
              </w:rPr>
              <w:t>Scenariul „politica implementată”</w:t>
            </w:r>
            <w:r w:rsidR="004B3372" w:rsidRPr="001C3B31">
              <w:rPr>
                <w:webHidden/>
                <w:lang w:val="ro-RO"/>
              </w:rPr>
              <w:tab/>
            </w:r>
            <w:r w:rsidR="004B3372" w:rsidRPr="001C3B31">
              <w:rPr>
                <w:webHidden/>
                <w:lang w:val="ro-RO"/>
              </w:rPr>
              <w:fldChar w:fldCharType="begin"/>
            </w:r>
            <w:r w:rsidR="004B3372" w:rsidRPr="001C3B31">
              <w:rPr>
                <w:webHidden/>
                <w:lang w:val="ro-RO"/>
              </w:rPr>
              <w:instrText xml:space="preserve"> PAGEREF _Toc32964837 \h </w:instrText>
            </w:r>
            <w:r w:rsidR="004B3372" w:rsidRPr="001C3B31">
              <w:rPr>
                <w:webHidden/>
                <w:lang w:val="ro-RO"/>
              </w:rPr>
            </w:r>
            <w:r w:rsidR="004B3372" w:rsidRPr="001C3B31">
              <w:rPr>
                <w:webHidden/>
                <w:lang w:val="ro-RO"/>
              </w:rPr>
              <w:fldChar w:fldCharType="separate"/>
            </w:r>
            <w:r w:rsidR="004B3372" w:rsidRPr="001C3B31">
              <w:rPr>
                <w:webHidden/>
                <w:lang w:val="ro-RO"/>
              </w:rPr>
              <w:t>39</w:t>
            </w:r>
            <w:r w:rsidR="004B3372" w:rsidRPr="001C3B31">
              <w:rPr>
                <w:webHidden/>
                <w:lang w:val="ro-RO"/>
              </w:rPr>
              <w:fldChar w:fldCharType="end"/>
            </w:r>
          </w:hyperlink>
        </w:p>
        <w:p w:rsidR="004B3372" w:rsidRPr="001C3B31" w:rsidRDefault="007F0A8B" w:rsidP="004B3372">
          <w:pPr>
            <w:pStyle w:val="TOC2"/>
            <w:tabs>
              <w:tab w:val="left" w:pos="880"/>
              <w:tab w:val="right" w:leader="dot" w:pos="9435"/>
            </w:tabs>
            <w:rPr>
              <w:rFonts w:eastAsiaTheme="minorEastAsia" w:cstheme="minorBidi"/>
              <w:b w:val="0"/>
              <w:sz w:val="24"/>
              <w:szCs w:val="24"/>
              <w:lang w:val="ro-RO"/>
            </w:rPr>
          </w:pPr>
          <w:hyperlink w:anchor="_Toc32964849" w:history="1">
            <w:r w:rsidR="004B3372" w:rsidRPr="001C3B31">
              <w:rPr>
                <w:rStyle w:val="Hyperlink"/>
                <w:lang w:val="ro-RO"/>
              </w:rPr>
              <w:t>5.2.</w:t>
            </w:r>
            <w:r w:rsidR="004B3372" w:rsidRPr="001C3B31">
              <w:rPr>
                <w:rFonts w:eastAsiaTheme="minorEastAsia" w:cstheme="minorBidi"/>
                <w:b w:val="0"/>
                <w:sz w:val="24"/>
                <w:szCs w:val="24"/>
                <w:lang w:val="ro-RO"/>
              </w:rPr>
              <w:tab/>
            </w:r>
            <w:r w:rsidR="004B3372" w:rsidRPr="001C3B31">
              <w:rPr>
                <w:rStyle w:val="Hyperlink"/>
                <w:lang w:val="ro-RO"/>
              </w:rPr>
              <w:t>Scenariul „Status Quo”</w:t>
            </w:r>
            <w:r w:rsidR="004B3372" w:rsidRPr="001C3B31">
              <w:rPr>
                <w:webHidden/>
                <w:lang w:val="ro-RO"/>
              </w:rPr>
              <w:tab/>
            </w:r>
            <w:r w:rsidR="004B3372" w:rsidRPr="001C3B31">
              <w:rPr>
                <w:webHidden/>
                <w:lang w:val="ro-RO"/>
              </w:rPr>
              <w:fldChar w:fldCharType="begin"/>
            </w:r>
            <w:r w:rsidR="004B3372" w:rsidRPr="001C3B31">
              <w:rPr>
                <w:webHidden/>
                <w:lang w:val="ro-RO"/>
              </w:rPr>
              <w:instrText xml:space="preserve"> PAGEREF _Toc32964849 \h </w:instrText>
            </w:r>
            <w:r w:rsidR="004B3372" w:rsidRPr="001C3B31">
              <w:rPr>
                <w:webHidden/>
                <w:lang w:val="ro-RO"/>
              </w:rPr>
            </w:r>
            <w:r w:rsidR="004B3372" w:rsidRPr="001C3B31">
              <w:rPr>
                <w:webHidden/>
                <w:lang w:val="ro-RO"/>
              </w:rPr>
              <w:fldChar w:fldCharType="separate"/>
            </w:r>
            <w:r w:rsidR="004B3372" w:rsidRPr="001C3B31">
              <w:rPr>
                <w:webHidden/>
                <w:lang w:val="ro-RO"/>
              </w:rPr>
              <w:t>47</w:t>
            </w:r>
            <w:r w:rsidR="004B3372" w:rsidRPr="001C3B31">
              <w:rPr>
                <w:webHidden/>
                <w:lang w:val="ro-RO"/>
              </w:rPr>
              <w:fldChar w:fldCharType="end"/>
            </w:r>
          </w:hyperlink>
        </w:p>
        <w:p w:rsidR="004B3372" w:rsidRPr="001C3B31" w:rsidRDefault="007F0A8B" w:rsidP="004B3372">
          <w:pPr>
            <w:pStyle w:val="TOC2"/>
            <w:tabs>
              <w:tab w:val="left" w:pos="880"/>
              <w:tab w:val="right" w:leader="dot" w:pos="9435"/>
            </w:tabs>
            <w:rPr>
              <w:rFonts w:eastAsiaTheme="minorEastAsia" w:cstheme="minorBidi"/>
              <w:b w:val="0"/>
              <w:sz w:val="24"/>
              <w:szCs w:val="24"/>
              <w:lang w:val="ro-RO"/>
            </w:rPr>
          </w:pPr>
          <w:hyperlink w:anchor="_Toc32964853" w:history="1">
            <w:r w:rsidR="004B3372" w:rsidRPr="001C3B31">
              <w:rPr>
                <w:rStyle w:val="Hyperlink"/>
                <w:lang w:val="ro-RO"/>
              </w:rPr>
              <w:t>5.3.</w:t>
            </w:r>
            <w:r w:rsidR="004B3372" w:rsidRPr="001C3B31">
              <w:rPr>
                <w:rFonts w:eastAsiaTheme="minorEastAsia" w:cstheme="minorBidi"/>
                <w:b w:val="0"/>
                <w:sz w:val="24"/>
                <w:szCs w:val="24"/>
                <w:lang w:val="ro-RO"/>
              </w:rPr>
              <w:tab/>
            </w:r>
            <w:r w:rsidR="004B3372" w:rsidRPr="001C3B31">
              <w:rPr>
                <w:rStyle w:val="Hyperlink"/>
                <w:lang w:val="ro-RO"/>
              </w:rPr>
              <w:t>Compararea scenariilor. Concluzii și recomandări</w:t>
            </w:r>
            <w:r w:rsidR="004B3372" w:rsidRPr="001C3B31">
              <w:rPr>
                <w:webHidden/>
                <w:lang w:val="ro-RO"/>
              </w:rPr>
              <w:tab/>
            </w:r>
            <w:r w:rsidR="004B3372" w:rsidRPr="001C3B31">
              <w:rPr>
                <w:webHidden/>
                <w:lang w:val="ro-RO"/>
              </w:rPr>
              <w:fldChar w:fldCharType="begin"/>
            </w:r>
            <w:r w:rsidR="004B3372" w:rsidRPr="001C3B31">
              <w:rPr>
                <w:webHidden/>
                <w:lang w:val="ro-RO"/>
              </w:rPr>
              <w:instrText xml:space="preserve"> PAGEREF _Toc32964853 \h </w:instrText>
            </w:r>
            <w:r w:rsidR="004B3372" w:rsidRPr="001C3B31">
              <w:rPr>
                <w:webHidden/>
                <w:lang w:val="ro-RO"/>
              </w:rPr>
            </w:r>
            <w:r w:rsidR="004B3372" w:rsidRPr="001C3B31">
              <w:rPr>
                <w:webHidden/>
                <w:lang w:val="ro-RO"/>
              </w:rPr>
              <w:fldChar w:fldCharType="separate"/>
            </w:r>
            <w:r w:rsidR="004B3372" w:rsidRPr="001C3B31">
              <w:rPr>
                <w:webHidden/>
                <w:lang w:val="ro-RO"/>
              </w:rPr>
              <w:t>49</w:t>
            </w:r>
            <w:r w:rsidR="004B3372" w:rsidRPr="001C3B31">
              <w:rPr>
                <w:webHidden/>
                <w:lang w:val="ro-RO"/>
              </w:rPr>
              <w:fldChar w:fldCharType="end"/>
            </w:r>
          </w:hyperlink>
        </w:p>
        <w:p w:rsidR="004B3372" w:rsidRDefault="004B3372" w:rsidP="004B3372">
          <w:pPr>
            <w:rPr>
              <w:lang w:val="ro-RO"/>
            </w:rPr>
          </w:pPr>
          <w:r w:rsidRPr="001C3B31">
            <w:rPr>
              <w:lang w:val="ro-RO"/>
            </w:rPr>
            <w:fldChar w:fldCharType="end"/>
          </w:r>
        </w:p>
      </w:sdtContent>
    </w:sdt>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4B3372" w:rsidRPr="001C3B31" w:rsidRDefault="004B3372" w:rsidP="004B3372">
      <w:pPr>
        <w:pStyle w:val="Heading1"/>
        <w:numPr>
          <w:ilvl w:val="0"/>
          <w:numId w:val="0"/>
        </w:numPr>
        <w:rPr>
          <w:lang w:val="ro-RO"/>
        </w:rPr>
      </w:pPr>
      <w:bookmarkStart w:id="1" w:name="_Toc32964797"/>
      <w:r w:rsidRPr="001C3B31">
        <w:rPr>
          <w:lang w:val="ro-RO"/>
        </w:rPr>
        <w:t>Lista acronimelor</w:t>
      </w:r>
      <w:bookmarkEnd w:id="1"/>
    </w:p>
    <w:p w:rsidR="004B3372" w:rsidRPr="004B3372" w:rsidRDefault="004B3372" w:rsidP="004B3372">
      <w:pPr>
        <w:rPr>
          <w:sz w:val="24"/>
          <w:szCs w:val="24"/>
          <w:lang w:val="ro-RO"/>
        </w:rPr>
      </w:pPr>
      <w:r w:rsidRPr="004B3372">
        <w:rPr>
          <w:sz w:val="24"/>
          <w:szCs w:val="24"/>
          <w:lang w:val="ro-RO"/>
        </w:rPr>
        <w:t>ADR – Agenția de Dezvoltare Regională</w:t>
      </w:r>
    </w:p>
    <w:p w:rsidR="004B3372" w:rsidRPr="004B3372" w:rsidRDefault="004B3372" w:rsidP="004B3372">
      <w:pPr>
        <w:rPr>
          <w:sz w:val="24"/>
          <w:szCs w:val="24"/>
          <w:lang w:val="ro-RO"/>
        </w:rPr>
      </w:pPr>
      <w:r w:rsidRPr="004B3372">
        <w:rPr>
          <w:sz w:val="24"/>
          <w:szCs w:val="24"/>
          <w:lang w:val="ro-RO"/>
        </w:rPr>
        <w:t>AIPA – Agenția pentru Intervenții și Plăți în Agricultură</w:t>
      </w:r>
    </w:p>
    <w:p w:rsidR="004B3372" w:rsidRPr="004B3372" w:rsidRDefault="004B3372" w:rsidP="004B3372">
      <w:pPr>
        <w:rPr>
          <w:sz w:val="24"/>
          <w:szCs w:val="24"/>
          <w:lang w:val="ro-RO"/>
        </w:rPr>
      </w:pPr>
      <w:r w:rsidRPr="004B3372">
        <w:rPr>
          <w:sz w:val="24"/>
          <w:szCs w:val="24"/>
          <w:lang w:val="ro-RO"/>
        </w:rPr>
        <w:t>APC – Autoritate Publică Centrală</w:t>
      </w:r>
    </w:p>
    <w:p w:rsidR="004B3372" w:rsidRPr="004B3372" w:rsidRDefault="004B3372" w:rsidP="004B3372">
      <w:pPr>
        <w:rPr>
          <w:sz w:val="24"/>
          <w:szCs w:val="24"/>
          <w:lang w:val="ro-RO"/>
        </w:rPr>
      </w:pPr>
      <w:r w:rsidRPr="004B3372">
        <w:rPr>
          <w:sz w:val="24"/>
          <w:szCs w:val="24"/>
          <w:lang w:val="ro-RO"/>
        </w:rPr>
        <w:t>APL – Autoritate Publică Locală</w:t>
      </w:r>
    </w:p>
    <w:p w:rsidR="004B3372" w:rsidRPr="004B3372" w:rsidRDefault="004B3372" w:rsidP="004B3372">
      <w:pPr>
        <w:rPr>
          <w:sz w:val="24"/>
          <w:szCs w:val="24"/>
          <w:lang w:val="ro-RO"/>
        </w:rPr>
      </w:pPr>
      <w:r w:rsidRPr="004B3372">
        <w:rPr>
          <w:sz w:val="24"/>
          <w:szCs w:val="24"/>
          <w:lang w:val="ro-RO"/>
        </w:rPr>
        <w:t>FNDAMR - Fondul Național de Dezvoltare a Agriculturii și Mediului Rural din Moldova</w:t>
      </w:r>
    </w:p>
    <w:p w:rsidR="004B3372" w:rsidRPr="004B3372" w:rsidRDefault="004B3372" w:rsidP="004B3372">
      <w:pPr>
        <w:rPr>
          <w:sz w:val="24"/>
          <w:szCs w:val="24"/>
          <w:lang w:val="ro-RO"/>
        </w:rPr>
      </w:pPr>
      <w:r w:rsidRPr="004B3372">
        <w:rPr>
          <w:sz w:val="24"/>
          <w:szCs w:val="24"/>
          <w:lang w:val="ro-RO"/>
        </w:rPr>
        <w:t>GAL – Grup de Acțiune Locală</w:t>
      </w:r>
    </w:p>
    <w:p w:rsidR="004B3372" w:rsidRPr="004B3372" w:rsidRDefault="004B3372" w:rsidP="004B3372">
      <w:pPr>
        <w:rPr>
          <w:rFonts w:ascii="Calibri" w:hAnsi="Calibri" w:cstheme="minorHAnsi"/>
          <w:sz w:val="24"/>
          <w:szCs w:val="24"/>
          <w:lang w:val="ro-RO"/>
        </w:rPr>
      </w:pPr>
      <w:r w:rsidRPr="004B3372">
        <w:rPr>
          <w:rFonts w:ascii="Calibri" w:hAnsi="Calibri" w:cstheme="minorHAnsi"/>
          <w:sz w:val="24"/>
          <w:szCs w:val="24"/>
          <w:lang w:val="ro-RO"/>
        </w:rPr>
        <w:t>MADRM – Ministerul Agriculturii Dezvoltării Regionale și Mediului</w:t>
      </w:r>
    </w:p>
    <w:p w:rsidR="004B3372" w:rsidRPr="004B3372" w:rsidRDefault="004B3372" w:rsidP="004B3372">
      <w:pPr>
        <w:rPr>
          <w:rFonts w:ascii="Calibri" w:hAnsi="Calibri" w:cstheme="minorHAnsi"/>
          <w:sz w:val="24"/>
          <w:szCs w:val="24"/>
          <w:lang w:val="ro-RO"/>
        </w:rPr>
      </w:pPr>
      <w:r w:rsidRPr="004B3372">
        <w:rPr>
          <w:rFonts w:ascii="Calibri" w:hAnsi="Calibri" w:cstheme="minorHAnsi"/>
          <w:sz w:val="24"/>
          <w:szCs w:val="24"/>
          <w:lang w:val="ro-RO"/>
        </w:rPr>
        <w:t>MEI – Ministerul Economiei și Infrastructurii</w:t>
      </w:r>
    </w:p>
    <w:p w:rsidR="004B3372" w:rsidRPr="004B3372" w:rsidRDefault="004B3372" w:rsidP="004B3372">
      <w:pPr>
        <w:rPr>
          <w:sz w:val="24"/>
          <w:szCs w:val="24"/>
          <w:lang w:val="ro-RO"/>
        </w:rPr>
      </w:pPr>
      <w:r w:rsidRPr="004B3372">
        <w:rPr>
          <w:sz w:val="24"/>
          <w:szCs w:val="24"/>
          <w:lang w:val="ro-RO"/>
        </w:rPr>
        <w:t>MF  - Ministerul Finanțelor</w:t>
      </w:r>
    </w:p>
    <w:p w:rsidR="004B3372" w:rsidRPr="004B3372" w:rsidRDefault="004B3372" w:rsidP="004B3372">
      <w:pPr>
        <w:rPr>
          <w:sz w:val="24"/>
          <w:szCs w:val="24"/>
          <w:lang w:val="ro-RO"/>
        </w:rPr>
      </w:pPr>
      <w:r w:rsidRPr="004B3372">
        <w:rPr>
          <w:sz w:val="24"/>
          <w:szCs w:val="24"/>
          <w:lang w:val="ro-RO"/>
        </w:rPr>
        <w:t>MJ – Ministerul Justiției</w:t>
      </w:r>
    </w:p>
    <w:p w:rsidR="004B3372" w:rsidRPr="004B3372" w:rsidRDefault="004B3372" w:rsidP="004B3372">
      <w:pPr>
        <w:rPr>
          <w:sz w:val="24"/>
          <w:szCs w:val="24"/>
          <w:lang w:val="ro-RO"/>
        </w:rPr>
      </w:pPr>
      <w:r w:rsidRPr="004B3372">
        <w:rPr>
          <w:sz w:val="24"/>
          <w:szCs w:val="24"/>
          <w:lang w:val="ro-RO"/>
        </w:rPr>
        <w:t>ONG – Organizație Nonguvernamentală</w:t>
      </w:r>
    </w:p>
    <w:p w:rsidR="004B3372" w:rsidRPr="004B3372" w:rsidRDefault="004B3372" w:rsidP="004B3372">
      <w:pPr>
        <w:rPr>
          <w:sz w:val="24"/>
          <w:szCs w:val="24"/>
          <w:lang w:val="ro-RO"/>
        </w:rPr>
      </w:pPr>
      <w:r w:rsidRPr="004B3372">
        <w:rPr>
          <w:sz w:val="24"/>
          <w:szCs w:val="24"/>
          <w:lang w:val="ro-RO"/>
        </w:rPr>
        <w:t>PPP – Propunere de Politică Publică</w:t>
      </w:r>
    </w:p>
    <w:p w:rsidR="004B3372" w:rsidRPr="004B3372" w:rsidRDefault="004B3372" w:rsidP="004B3372">
      <w:pPr>
        <w:rPr>
          <w:sz w:val="24"/>
          <w:szCs w:val="24"/>
          <w:lang w:val="ro-RO"/>
        </w:rPr>
      </w:pPr>
      <w:r w:rsidRPr="004B3372">
        <w:rPr>
          <w:sz w:val="24"/>
          <w:szCs w:val="24"/>
          <w:lang w:val="ro-RO"/>
        </w:rPr>
        <w:t>SNDAR  - Strategia Națională de Dezvoltare Agricolă și Rurală</w:t>
      </w:r>
    </w:p>
    <w:p w:rsidR="004B3372" w:rsidRPr="004B3372" w:rsidRDefault="004B3372" w:rsidP="004B3372">
      <w:pPr>
        <w:rPr>
          <w:sz w:val="24"/>
          <w:szCs w:val="24"/>
          <w:lang w:val="ro-RO"/>
        </w:rPr>
      </w:pPr>
      <w:r w:rsidRPr="004B3372">
        <w:rPr>
          <w:sz w:val="24"/>
          <w:szCs w:val="24"/>
          <w:lang w:val="ro-RO"/>
        </w:rPr>
        <w:t>SNDR – Strategia Națională de Dezvoltare Regională</w:t>
      </w:r>
    </w:p>
    <w:p w:rsidR="004B3372" w:rsidRPr="004B3372" w:rsidRDefault="004B3372" w:rsidP="004B3372">
      <w:pPr>
        <w:rPr>
          <w:sz w:val="24"/>
          <w:szCs w:val="24"/>
          <w:lang w:val="ro-RO"/>
        </w:rPr>
      </w:pPr>
      <w:r w:rsidRPr="004B3372">
        <w:rPr>
          <w:sz w:val="24"/>
          <w:szCs w:val="24"/>
          <w:lang w:val="ro-RO"/>
        </w:rPr>
        <w:t>SDL – Strategie de Dezvoltare Locală</w:t>
      </w: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Default="005B101D" w:rsidP="005B101D">
      <w:pPr>
        <w:rPr>
          <w:lang w:val="ro-RO"/>
        </w:rPr>
      </w:pPr>
    </w:p>
    <w:p w:rsidR="005B101D" w:rsidRPr="005B101D" w:rsidRDefault="005B101D" w:rsidP="005B101D">
      <w:pPr>
        <w:rPr>
          <w:lang w:val="ro-RO"/>
        </w:rPr>
      </w:pPr>
    </w:p>
    <w:p w:rsidR="005B101D" w:rsidRDefault="005B101D" w:rsidP="005B101D">
      <w:pPr>
        <w:pStyle w:val="Heading2"/>
        <w:numPr>
          <w:ilvl w:val="0"/>
          <w:numId w:val="0"/>
        </w:numPr>
        <w:ind w:left="357" w:hanging="357"/>
        <w:rPr>
          <w:color w:val="0070C0"/>
          <w:lang w:val="ro-RO"/>
        </w:rPr>
      </w:pPr>
    </w:p>
    <w:p w:rsidR="004B3372" w:rsidRPr="004B3372" w:rsidRDefault="004B3372" w:rsidP="004B3372">
      <w:pPr>
        <w:rPr>
          <w:lang w:val="ro-RO"/>
        </w:rPr>
      </w:pPr>
    </w:p>
    <w:p w:rsidR="004B3372" w:rsidRPr="001C3B31" w:rsidRDefault="004B3372" w:rsidP="004B3372">
      <w:pPr>
        <w:pStyle w:val="Heading1"/>
        <w:numPr>
          <w:ilvl w:val="0"/>
          <w:numId w:val="0"/>
        </w:numPr>
        <w:spacing w:before="240" w:after="0"/>
        <w:ind w:left="357" w:hanging="357"/>
        <w:rPr>
          <w:lang w:val="ro-RO"/>
        </w:rPr>
      </w:pPr>
      <w:bookmarkStart w:id="2" w:name="_Toc32964798"/>
      <w:r w:rsidRPr="001C3B31">
        <w:rPr>
          <w:lang w:val="ro-RO"/>
        </w:rPr>
        <w:lastRenderedPageBreak/>
        <w:t>SUMAR EXECUTIV</w:t>
      </w:r>
      <w:bookmarkEnd w:id="2"/>
    </w:p>
    <w:p w:rsidR="005B101D" w:rsidRPr="004B3372" w:rsidRDefault="005B101D" w:rsidP="004B3372">
      <w:pPr>
        <w:pStyle w:val="Heading2"/>
        <w:numPr>
          <w:ilvl w:val="0"/>
          <w:numId w:val="0"/>
        </w:numPr>
        <w:spacing w:before="240"/>
        <w:ind w:left="357" w:hanging="357"/>
        <w:rPr>
          <w:b/>
          <w:color w:val="0070C0"/>
          <w:lang w:val="ro-RO"/>
        </w:rPr>
      </w:pPr>
      <w:r w:rsidRPr="004B3372">
        <w:rPr>
          <w:b/>
          <w:color w:val="0070C0"/>
          <w:lang w:val="ro-RO"/>
        </w:rPr>
        <w:t xml:space="preserve">Concluziile  și recomandările </w:t>
      </w:r>
      <w:r w:rsidR="002C5771">
        <w:rPr>
          <w:b/>
          <w:color w:val="0070C0"/>
          <w:lang w:val="ro-RO"/>
        </w:rPr>
        <w:t>ANALIZEI</w:t>
      </w:r>
      <w:r w:rsidRPr="004B3372">
        <w:rPr>
          <w:b/>
          <w:color w:val="0070C0"/>
          <w:lang w:val="ro-RO"/>
        </w:rPr>
        <w:t xml:space="preserve"> ex-ante</w:t>
      </w:r>
      <w:bookmarkEnd w:id="0"/>
    </w:p>
    <w:p w:rsidR="005B101D" w:rsidRPr="005B101D" w:rsidRDefault="005B101D" w:rsidP="005B101D">
      <w:pPr>
        <w:pStyle w:val="Heading3"/>
        <w:numPr>
          <w:ilvl w:val="0"/>
          <w:numId w:val="0"/>
        </w:numPr>
        <w:ind w:left="357" w:hanging="357"/>
        <w:rPr>
          <w:b/>
          <w:color w:val="0070C0"/>
          <w:lang w:val="en-US"/>
        </w:rPr>
      </w:pPr>
      <w:bookmarkStart w:id="3" w:name="_Toc32964800"/>
      <w:r w:rsidRPr="005B101D">
        <w:rPr>
          <w:b/>
          <w:color w:val="0070C0"/>
          <w:lang w:val="ro-RO"/>
        </w:rPr>
        <w:t>Concluzii</w:t>
      </w:r>
      <w:bookmarkEnd w:id="3"/>
      <w:r w:rsidRPr="005B101D">
        <w:rPr>
          <w:b/>
          <w:color w:val="0070C0"/>
          <w:lang w:val="ro-RO"/>
        </w:rPr>
        <w:t>.</w:t>
      </w:r>
    </w:p>
    <w:p w:rsidR="005B101D" w:rsidRPr="001225CF" w:rsidRDefault="005B101D" w:rsidP="005B101D">
      <w:pPr>
        <w:spacing w:after="0" w:line="276" w:lineRule="auto"/>
        <w:rPr>
          <w:rFonts w:ascii="Calibri" w:hAnsi="Calibri" w:cs="Calibri"/>
          <w:lang w:val="ro-RO"/>
        </w:rPr>
      </w:pPr>
      <w:r w:rsidRPr="001C3B31">
        <w:rPr>
          <w:rFonts w:ascii="Calibri" w:hAnsi="Calibri" w:cs="Calibri"/>
          <w:b/>
          <w:color w:val="000000" w:themeColor="text1"/>
          <w:lang w:val="ro-RO"/>
        </w:rPr>
        <w:t>C 1:</w:t>
      </w:r>
      <w:r w:rsidRPr="001C3B31">
        <w:rPr>
          <w:rFonts w:ascii="Calibri" w:hAnsi="Calibri" w:cs="Calibri"/>
          <w:color w:val="000000" w:themeColor="text1"/>
          <w:lang w:val="ro-RO"/>
        </w:rPr>
        <w:t xml:space="preserve"> Analiza validează atât actualitatea</w:t>
      </w:r>
      <w:r>
        <w:rPr>
          <w:rFonts w:ascii="Calibri" w:hAnsi="Calibri" w:cs="Calibri"/>
          <w:color w:val="000000" w:themeColor="text1"/>
          <w:lang w:val="ro-RO"/>
        </w:rPr>
        <w:t>,</w:t>
      </w:r>
      <w:r w:rsidRPr="001C3B31">
        <w:rPr>
          <w:rFonts w:ascii="Calibri" w:hAnsi="Calibri" w:cs="Calibri"/>
          <w:color w:val="000000" w:themeColor="text1"/>
          <w:lang w:val="ro-RO"/>
        </w:rPr>
        <w:t xml:space="preserve"> cât și gravitatea problemei, relevând </w:t>
      </w:r>
      <w:r>
        <w:rPr>
          <w:rFonts w:ascii="Calibri" w:hAnsi="Calibri" w:cs="Calibri"/>
          <w:color w:val="000000" w:themeColor="text1"/>
          <w:lang w:val="ro-RO"/>
        </w:rPr>
        <w:t xml:space="preserve">absența unor programe de stat menite să finanțeze </w:t>
      </w:r>
      <w:r w:rsidRPr="001225CF">
        <w:rPr>
          <w:rFonts w:ascii="Calibri" w:hAnsi="Calibri" w:cs="Calibri"/>
          <w:lang w:val="ro-RO"/>
        </w:rPr>
        <w:t xml:space="preserve">domeniul respectiv. Propunerea de Politică Publică </w:t>
      </w:r>
      <w:r w:rsidR="004B3372">
        <w:rPr>
          <w:rFonts w:ascii="Calibri" w:hAnsi="Calibri" w:cs="Calibri"/>
          <w:lang w:val="ro-RO"/>
        </w:rPr>
        <w:t xml:space="preserve">propusă </w:t>
      </w:r>
      <w:r w:rsidRPr="001225CF">
        <w:rPr>
          <w:rFonts w:ascii="Calibri" w:hAnsi="Calibri" w:cs="Calibri"/>
          <w:lang w:val="ro-RO"/>
        </w:rPr>
        <w:t>(în continuare – PPP) reprezintă o soluție optimă pentru redresarea problemelor ce încetinesc progresul privind îmbunătățirea nivelului de muncă și trai în mediul rural, în special prin mecanismele aplicate de LEADER, care consolidează cooperarea comunitară, dar și modul de diversificare a economiei locale.</w:t>
      </w:r>
    </w:p>
    <w:p w:rsidR="005B101D" w:rsidRPr="001225CF" w:rsidRDefault="005B101D" w:rsidP="005B101D">
      <w:pPr>
        <w:spacing w:after="0" w:line="276" w:lineRule="auto"/>
        <w:rPr>
          <w:rFonts w:ascii="Calibri" w:hAnsi="Calibri" w:cs="Calibri"/>
          <w:lang w:val="ro-RO"/>
        </w:rPr>
      </w:pPr>
      <w:r w:rsidRPr="001225CF">
        <w:rPr>
          <w:rFonts w:ascii="Calibri" w:hAnsi="Calibri" w:cs="Calibri"/>
          <w:b/>
          <w:lang w:val="ro-RO"/>
        </w:rPr>
        <w:t>C 2:</w:t>
      </w:r>
      <w:r w:rsidRPr="001225CF">
        <w:rPr>
          <w:rFonts w:ascii="Calibri" w:hAnsi="Calibri" w:cs="Calibri"/>
          <w:lang w:val="ro-RO"/>
        </w:rPr>
        <w:t xml:space="preserve"> Formularea actuală a măsurii de intervenție asigură o coerență internă adecvată, astfel încât prin implementarea acțiunilor aferente Măsurii de intervenție este fezabilă atingerea obiectivelor setate de politica publică propusă. </w:t>
      </w:r>
    </w:p>
    <w:p w:rsidR="005B101D" w:rsidRPr="001225CF" w:rsidRDefault="005B101D" w:rsidP="005B101D">
      <w:pPr>
        <w:spacing w:after="0" w:line="276" w:lineRule="auto"/>
        <w:rPr>
          <w:rFonts w:ascii="Calibri" w:hAnsi="Calibri" w:cs="Calibri"/>
          <w:lang w:val="ro-RO"/>
        </w:rPr>
      </w:pPr>
      <w:r w:rsidRPr="001225CF">
        <w:rPr>
          <w:rFonts w:ascii="Calibri" w:hAnsi="Calibri" w:cs="Calibri"/>
          <w:b/>
          <w:lang w:val="ro-RO"/>
        </w:rPr>
        <w:t>C 3:</w:t>
      </w:r>
      <w:r w:rsidRPr="001225CF">
        <w:rPr>
          <w:rFonts w:ascii="Calibri" w:hAnsi="Calibri" w:cs="Calibri"/>
          <w:lang w:val="ro-RO"/>
        </w:rPr>
        <w:t xml:space="preserve"> Măsura de intervenție propusă este coerentă cu Cadrul de Politici Sectorial, contribuind la atingerea indicatorilor prevăzuți în SNDAR 2014-2020 și Planul de Acțiuni pentru implementarea SNDAR 2014-2020. </w:t>
      </w:r>
    </w:p>
    <w:p w:rsidR="005B101D" w:rsidRPr="001225CF" w:rsidRDefault="005B101D" w:rsidP="005B101D">
      <w:pPr>
        <w:spacing w:line="276" w:lineRule="auto"/>
        <w:rPr>
          <w:lang w:val="ro-RO"/>
        </w:rPr>
      </w:pPr>
      <w:r w:rsidRPr="001225CF">
        <w:rPr>
          <w:b/>
          <w:lang w:val="ro-RO"/>
        </w:rPr>
        <w:t xml:space="preserve">C 4: </w:t>
      </w:r>
      <w:r w:rsidRPr="001225CF">
        <w:rPr>
          <w:lang w:val="ro-RO"/>
        </w:rPr>
        <w:t>Analiza programelor de finanțare a Grupurilor de Acțiune Locală existente este insuficientă pentru a asigura un sprijin complex al tuturor inițiativelor locale. Totuși experiența programelor existente denotă un grad înalt de absorbție a finanțării, cât și atingerea indicatorilor setați, ceea ce aparent ar conduce la dezvoltarea zonelor rurale și diminuarea problemelor stringente din mediul rural.</w:t>
      </w:r>
    </w:p>
    <w:p w:rsidR="005B101D" w:rsidRPr="001C3B31" w:rsidRDefault="005B101D" w:rsidP="005B101D">
      <w:pPr>
        <w:spacing w:line="276" w:lineRule="auto"/>
        <w:rPr>
          <w:lang w:val="ro-RO"/>
        </w:rPr>
      </w:pPr>
      <w:r w:rsidRPr="001C3B31">
        <w:rPr>
          <w:b/>
          <w:bCs/>
          <w:lang w:val="ro-RO"/>
        </w:rPr>
        <w:t>C5:</w:t>
      </w:r>
      <w:r w:rsidRPr="001C3B31">
        <w:rPr>
          <w:lang w:val="ro-RO"/>
        </w:rPr>
        <w:t xml:space="preserve"> Toate cele 100 de proiecte analizate</w:t>
      </w:r>
      <w:r>
        <w:rPr>
          <w:lang w:val="ro-RO"/>
        </w:rPr>
        <w:t>,</w:t>
      </w:r>
      <w:r w:rsidRPr="001C3B31">
        <w:rPr>
          <w:lang w:val="ro-RO"/>
        </w:rPr>
        <w:t xml:space="preserve"> implementate de către GAL-uri cu finanțarea în anul 2019</w:t>
      </w:r>
      <w:r>
        <w:rPr>
          <w:lang w:val="ro-RO"/>
        </w:rPr>
        <w:t>,</w:t>
      </w:r>
      <w:r w:rsidRPr="001C3B31">
        <w:rPr>
          <w:lang w:val="ro-RO"/>
        </w:rPr>
        <w:t xml:space="preserve"> au atins indicatorii stabiliți, ceea ce denotă o înaltă eficacitate</w:t>
      </w:r>
      <w:r w:rsidRPr="001225CF">
        <w:rPr>
          <w:color w:val="FF0000"/>
          <w:lang w:val="ro-RO"/>
        </w:rPr>
        <w:t xml:space="preserve"> </w:t>
      </w:r>
      <w:r w:rsidRPr="001C3B31">
        <w:rPr>
          <w:lang w:val="ro-RO"/>
        </w:rPr>
        <w:t xml:space="preserve">a proiectelor implementate prin intermediul GAL-urilor. </w:t>
      </w:r>
    </w:p>
    <w:p w:rsidR="005B101D" w:rsidRPr="001225CF" w:rsidRDefault="005B101D" w:rsidP="005B101D">
      <w:pPr>
        <w:spacing w:line="276" w:lineRule="auto"/>
        <w:rPr>
          <w:bCs/>
          <w:lang w:val="ro-RO"/>
        </w:rPr>
      </w:pPr>
      <w:r w:rsidRPr="001C3B31">
        <w:rPr>
          <w:b/>
          <w:lang w:val="ro-RO"/>
        </w:rPr>
        <w:t xml:space="preserve">C 6 : </w:t>
      </w:r>
      <w:r w:rsidRPr="001C3B31">
        <w:rPr>
          <w:bCs/>
          <w:lang w:val="ro-RO"/>
        </w:rPr>
        <w:t>Deși în Republica Moldova nu există un program de susținere a GAL-urilor din surse publice, iar finanțarea din surse externe este realizată doar în cadrul unor proiecte specifice, GAL-urile existente au reușit să-și construiască o identitate la nivel local</w:t>
      </w:r>
      <w:r>
        <w:rPr>
          <w:bCs/>
          <w:lang w:val="ro-RO"/>
        </w:rPr>
        <w:t xml:space="preserve">, </w:t>
      </w:r>
      <w:r w:rsidRPr="001C3B31">
        <w:rPr>
          <w:bCs/>
          <w:lang w:val="ro-RO"/>
        </w:rPr>
        <w:t xml:space="preserve"> </w:t>
      </w:r>
      <w:r w:rsidRPr="001225CF">
        <w:rPr>
          <w:bCs/>
          <w:lang w:val="ro-RO"/>
        </w:rPr>
        <w:t>demonstrând capacitate deplină de acțiune în vederea implementării Strategiilor de Dezvoltare Locală.</w:t>
      </w:r>
    </w:p>
    <w:p w:rsidR="005B101D" w:rsidRPr="001C3B31" w:rsidRDefault="005B101D" w:rsidP="005B101D">
      <w:pPr>
        <w:spacing w:line="276" w:lineRule="auto"/>
        <w:rPr>
          <w:bCs/>
          <w:lang w:val="ro-RO"/>
        </w:rPr>
      </w:pPr>
      <w:r w:rsidRPr="001C3B31">
        <w:rPr>
          <w:b/>
          <w:lang w:val="ro-RO"/>
        </w:rPr>
        <w:t>C7:</w:t>
      </w:r>
      <w:r w:rsidRPr="001C3B31">
        <w:rPr>
          <w:bCs/>
          <w:lang w:val="ro-RO"/>
        </w:rPr>
        <w:t xml:space="preserve"> Principiul implementării proiectelor finanțate prin intermediul GAL-ur</w:t>
      </w:r>
      <w:r>
        <w:rPr>
          <w:bCs/>
          <w:lang w:val="ro-RO"/>
        </w:rPr>
        <w:t>i</w:t>
      </w:r>
      <w:r w:rsidRPr="001C3B31">
        <w:rPr>
          <w:bCs/>
          <w:lang w:val="ro-RO"/>
        </w:rPr>
        <w:t xml:space="preserve">lor este condiționat de </w:t>
      </w:r>
      <w:r w:rsidRPr="001225CF">
        <w:rPr>
          <w:bCs/>
          <w:lang w:val="ro-RO"/>
        </w:rPr>
        <w:t>cofinanțarea</w:t>
      </w:r>
      <w:r w:rsidRPr="005A1176">
        <w:rPr>
          <w:bCs/>
          <w:color w:val="00B050"/>
          <w:lang w:val="ro-RO"/>
        </w:rPr>
        <w:t xml:space="preserve"> </w:t>
      </w:r>
      <w:r w:rsidRPr="001C3B31">
        <w:rPr>
          <w:bCs/>
          <w:lang w:val="ro-RO"/>
        </w:rPr>
        <w:t>proiectelor de către beneficiar, acest element reprezentând un important factor în vederea asigurării eficienței proiectelor. În acest sens, se constată că în cazul GAL-urilor existente, ponderea medie a cofinanțării este de peste 50</w:t>
      </w:r>
      <w:r>
        <w:rPr>
          <w:bCs/>
          <w:lang w:val="ro-RO"/>
        </w:rPr>
        <w:t xml:space="preserve"> </w:t>
      </w:r>
      <w:r w:rsidRPr="001C3B31">
        <w:rPr>
          <w:bCs/>
          <w:lang w:val="ro-RO"/>
        </w:rPr>
        <w:t>%, în condițiile în care minimul solicitat în acest sens este de doar 30</w:t>
      </w:r>
      <w:r>
        <w:rPr>
          <w:bCs/>
          <w:lang w:val="ro-RO"/>
        </w:rPr>
        <w:t xml:space="preserve"> </w:t>
      </w:r>
      <w:r w:rsidRPr="001C3B31">
        <w:rPr>
          <w:bCs/>
          <w:lang w:val="ro-RO"/>
        </w:rPr>
        <w:t xml:space="preserve">%. </w:t>
      </w:r>
    </w:p>
    <w:p w:rsidR="005B101D" w:rsidRPr="001C3B31" w:rsidRDefault="005B101D" w:rsidP="005B101D">
      <w:pPr>
        <w:spacing w:line="276" w:lineRule="auto"/>
        <w:rPr>
          <w:color w:val="000000" w:themeColor="text1"/>
          <w:lang w:val="ro-RO"/>
        </w:rPr>
      </w:pPr>
      <w:r w:rsidRPr="001C3B31">
        <w:rPr>
          <w:b/>
          <w:bCs/>
          <w:color w:val="000000" w:themeColor="text1"/>
          <w:lang w:val="ro-RO"/>
        </w:rPr>
        <w:t>C8:</w:t>
      </w:r>
      <w:r w:rsidRPr="001C3B31">
        <w:rPr>
          <w:color w:val="000000" w:themeColor="text1"/>
          <w:lang w:val="ro-RO"/>
        </w:rPr>
        <w:t xml:space="preserve"> </w:t>
      </w:r>
      <w:r w:rsidRPr="001225CF">
        <w:rPr>
          <w:lang w:val="ro-RO"/>
        </w:rPr>
        <w:t xml:space="preserve">Analiza dimensiunii de eficiență a Măsurii de intervenție denotă un grad înalt al probabilității atingerii rezultatelor preconizate prin resursele alocate din FNDAMR, astfel, în condițiile unei implementări corespunzătoare a resursele financiare alocate, ar putea fi atinși indicatorii setați în planul de acțiuni al SNDAR. În același timp, procesul absorbției finanțării este condiționat de o serie de factori, precum capacitatea GAL-urilor de organizare </w:t>
      </w:r>
      <w:r>
        <w:rPr>
          <w:lang w:val="ro-RO"/>
        </w:rPr>
        <w:t xml:space="preserve">a </w:t>
      </w:r>
      <w:r w:rsidRPr="001225CF">
        <w:rPr>
          <w:lang w:val="ro-RO"/>
        </w:rPr>
        <w:t>implement</w:t>
      </w:r>
      <w:r>
        <w:rPr>
          <w:lang w:val="ro-RO"/>
        </w:rPr>
        <w:t>ării</w:t>
      </w:r>
      <w:r w:rsidRPr="001225CF">
        <w:rPr>
          <w:lang w:val="ro-RO"/>
        </w:rPr>
        <w:t xml:space="preserve"> proiectelor, dar și </w:t>
      </w:r>
      <w:r>
        <w:rPr>
          <w:lang w:val="ro-RO"/>
        </w:rPr>
        <w:t xml:space="preserve">de </w:t>
      </w:r>
      <w:r w:rsidRPr="001225CF">
        <w:rPr>
          <w:lang w:val="ro-RO"/>
        </w:rPr>
        <w:t>asigurare</w:t>
      </w:r>
      <w:r>
        <w:rPr>
          <w:lang w:val="ro-RO"/>
        </w:rPr>
        <w:t xml:space="preserve"> </w:t>
      </w:r>
      <w:r w:rsidRPr="001225CF">
        <w:rPr>
          <w:lang w:val="ro-RO"/>
        </w:rPr>
        <w:t xml:space="preserve">a bunei administrări a tuturor proceselor conexe implementării proiectelor. </w:t>
      </w:r>
    </w:p>
    <w:p w:rsidR="005B101D" w:rsidRPr="001C3B31" w:rsidRDefault="005B101D" w:rsidP="005B101D">
      <w:pPr>
        <w:spacing w:line="276" w:lineRule="auto"/>
        <w:rPr>
          <w:color w:val="000000" w:themeColor="text1"/>
          <w:lang w:val="ro-RO"/>
        </w:rPr>
      </w:pPr>
      <w:r w:rsidRPr="001C3B31">
        <w:rPr>
          <w:b/>
          <w:bCs/>
          <w:color w:val="000000" w:themeColor="text1"/>
          <w:lang w:val="ro-RO"/>
        </w:rPr>
        <w:t>C9:</w:t>
      </w:r>
      <w:r w:rsidRPr="001C3B31">
        <w:rPr>
          <w:color w:val="000000" w:themeColor="text1"/>
          <w:lang w:val="ro-RO"/>
        </w:rPr>
        <w:t xml:space="preserve"> Analiza efectuată denotă suficiența de personal calificat pentru implementarea proiectelor la nivel local, totuși</w:t>
      </w:r>
      <w:r>
        <w:rPr>
          <w:color w:val="000000" w:themeColor="text1"/>
          <w:lang w:val="ro-RO"/>
        </w:rPr>
        <w:t>,</w:t>
      </w:r>
      <w:r w:rsidRPr="001C3B31">
        <w:rPr>
          <w:color w:val="000000" w:themeColor="text1"/>
          <w:lang w:val="ro-RO"/>
        </w:rPr>
        <w:t xml:space="preserve"> în cazul creșterii valorii finanțării</w:t>
      </w:r>
      <w:r>
        <w:rPr>
          <w:color w:val="000000" w:themeColor="text1"/>
          <w:lang w:val="ro-RO"/>
        </w:rPr>
        <w:t>,</w:t>
      </w:r>
      <w:r w:rsidRPr="001C3B31">
        <w:rPr>
          <w:color w:val="000000" w:themeColor="text1"/>
          <w:lang w:val="ro-RO"/>
        </w:rPr>
        <w:t xml:space="preserve"> dar și complexității proiectelor, se constată lipsa în unele </w:t>
      </w:r>
      <w:r>
        <w:rPr>
          <w:color w:val="000000" w:themeColor="text1"/>
          <w:lang w:val="ro-RO"/>
        </w:rPr>
        <w:t>regiuni</w:t>
      </w:r>
      <w:r w:rsidRPr="001C3B31">
        <w:rPr>
          <w:color w:val="000000" w:themeColor="text1"/>
          <w:lang w:val="ro-RO"/>
        </w:rPr>
        <w:t xml:space="preserve"> a profesioniștilor specializați în anumite domenii specifice</w:t>
      </w:r>
      <w:r>
        <w:rPr>
          <w:color w:val="000000" w:themeColor="text1"/>
          <w:lang w:val="ro-RO"/>
        </w:rPr>
        <w:t>,</w:t>
      </w:r>
      <w:r w:rsidRPr="001C3B31">
        <w:rPr>
          <w:color w:val="000000" w:themeColor="text1"/>
          <w:lang w:val="ro-RO"/>
        </w:rPr>
        <w:t xml:space="preserve"> precum marketing, proiectare, evaluare și monitorizare, etc.</w:t>
      </w:r>
    </w:p>
    <w:p w:rsidR="004B3372" w:rsidRPr="001225CF" w:rsidRDefault="005B101D" w:rsidP="004B3372">
      <w:pPr>
        <w:spacing w:after="0" w:line="276" w:lineRule="auto"/>
        <w:rPr>
          <w:lang w:val="ro-RO"/>
        </w:rPr>
      </w:pPr>
      <w:r w:rsidRPr="001C3B31">
        <w:rPr>
          <w:b/>
          <w:color w:val="000000" w:themeColor="text1"/>
          <w:lang w:val="ro-RO"/>
        </w:rPr>
        <w:t>C 10:</w:t>
      </w:r>
      <w:r w:rsidRPr="001C3B31">
        <w:rPr>
          <w:color w:val="000000" w:themeColor="text1"/>
          <w:lang w:val="ro-RO"/>
        </w:rPr>
        <w:t xml:space="preserve"> </w:t>
      </w:r>
      <w:r w:rsidRPr="001225CF">
        <w:rPr>
          <w:lang w:val="ro-RO"/>
        </w:rPr>
        <w:t xml:space="preserve">Analiza generală a dimensiunii de impact a PPP denotă beneficii </w:t>
      </w:r>
      <w:r w:rsidRPr="001225CF">
        <w:rPr>
          <w:b/>
          <w:i/>
          <w:u w:val="single"/>
          <w:lang w:val="ro-RO"/>
        </w:rPr>
        <w:t>sociale,</w:t>
      </w:r>
      <w:r w:rsidRPr="001225CF">
        <w:rPr>
          <w:b/>
          <w:i/>
          <w:lang w:val="ro-RO"/>
        </w:rPr>
        <w:t xml:space="preserve"> </w:t>
      </w:r>
      <w:r w:rsidRPr="001225CF">
        <w:rPr>
          <w:lang w:val="ro-RO"/>
        </w:rPr>
        <w:t xml:space="preserve">acoperind un număr semnificativ de beneficiari; </w:t>
      </w:r>
      <w:r w:rsidRPr="001225CF">
        <w:rPr>
          <w:b/>
          <w:i/>
          <w:u w:val="single"/>
          <w:lang w:val="ro-RO"/>
        </w:rPr>
        <w:t>economice,</w:t>
      </w:r>
      <w:r w:rsidRPr="001225CF">
        <w:rPr>
          <w:lang w:val="ro-RO"/>
        </w:rPr>
        <w:t xml:space="preserve"> relevând un număr considerabil de locuri de muncă și afaceri viabile ce</w:t>
      </w:r>
      <w:r w:rsidR="004B3372">
        <w:rPr>
          <w:lang w:val="ro-RO"/>
        </w:rPr>
        <w:t xml:space="preserve"> </w:t>
      </w:r>
      <w:r w:rsidR="004B3372" w:rsidRPr="001225CF">
        <w:rPr>
          <w:lang w:val="ro-RO"/>
        </w:rPr>
        <w:lastRenderedPageBreak/>
        <w:t xml:space="preserve">urmează să funcționeze în zonele rurale; </w:t>
      </w:r>
      <w:r w:rsidR="004B3372" w:rsidRPr="001225CF">
        <w:rPr>
          <w:b/>
          <w:i/>
          <w:u w:val="single"/>
          <w:lang w:val="ro-RO"/>
        </w:rPr>
        <w:t>fiscale</w:t>
      </w:r>
      <w:r w:rsidR="004B3372" w:rsidRPr="001225CF">
        <w:rPr>
          <w:lang w:val="ro-RO"/>
        </w:rPr>
        <w:t xml:space="preserve">, stimulând activitatea economică și favorizând ulterior contribuțiile beneficiarilor în bugetul de stat. </w:t>
      </w:r>
    </w:p>
    <w:p w:rsidR="004B3372" w:rsidRDefault="004B3372" w:rsidP="004B3372">
      <w:pPr>
        <w:spacing w:after="0" w:line="276" w:lineRule="auto"/>
        <w:rPr>
          <w:color w:val="000000" w:themeColor="text1"/>
          <w:lang w:val="ro-RO"/>
        </w:rPr>
      </w:pPr>
      <w:r w:rsidRPr="001C3B31">
        <w:rPr>
          <w:b/>
          <w:color w:val="000000" w:themeColor="text1"/>
          <w:lang w:val="ro-RO"/>
        </w:rPr>
        <w:t>C 11 :</w:t>
      </w:r>
      <w:r w:rsidRPr="001C3B31">
        <w:rPr>
          <w:color w:val="000000" w:themeColor="text1"/>
          <w:lang w:val="ro-RO"/>
        </w:rPr>
        <w:t xml:space="preserve"> </w:t>
      </w:r>
      <w:r w:rsidRPr="007C1156">
        <w:rPr>
          <w:lang w:val="ro-RO"/>
        </w:rPr>
        <w:t>Impactul administrativ este foarte mic, întrucât există deja structura instituțională funcțională, precum și cadrul normativ funcțional</w:t>
      </w:r>
      <w:r w:rsidRPr="001C3B31">
        <w:rPr>
          <w:color w:val="000000" w:themeColor="text1"/>
          <w:lang w:val="ro-RO"/>
        </w:rPr>
        <w:t xml:space="preserve">. </w:t>
      </w:r>
    </w:p>
    <w:p w:rsidR="004B3372" w:rsidRPr="007C1156" w:rsidRDefault="004B3372" w:rsidP="004B3372">
      <w:pPr>
        <w:spacing w:after="0" w:line="276" w:lineRule="auto"/>
        <w:rPr>
          <w:lang w:val="ro-RO"/>
        </w:rPr>
      </w:pPr>
      <w:r w:rsidRPr="001C3B31">
        <w:rPr>
          <w:b/>
          <w:bCs/>
          <w:color w:val="000000" w:themeColor="text1"/>
          <w:lang w:val="ro-RO"/>
        </w:rPr>
        <w:t xml:space="preserve">C 12: </w:t>
      </w:r>
      <w:r w:rsidRPr="007C1156">
        <w:rPr>
          <w:lang w:val="ro-RO"/>
        </w:rPr>
        <w:t>În ambele scenarii diferite de cel al Status-quo-ului, impactul juridic este unul major, fiind necesare modificări ale cadrului juridic existent. Totodată, în cazul optării pentru scenariul III – adoptarea unei legi speciale, efectele generale negative vor fi mai mici decât în cazul implementării modificărilor cadrului existent pentru crearea condițiilor de activitate a GAL-urilor.</w:t>
      </w:r>
    </w:p>
    <w:p w:rsidR="004B3372" w:rsidRPr="004A6012" w:rsidRDefault="004B3372" w:rsidP="004B3372">
      <w:pPr>
        <w:spacing w:after="0" w:line="276" w:lineRule="auto"/>
        <w:rPr>
          <w:lang w:val="ro-RO"/>
        </w:rPr>
      </w:pPr>
      <w:r w:rsidRPr="001C3B31">
        <w:rPr>
          <w:b/>
          <w:bCs/>
          <w:color w:val="000000" w:themeColor="text1"/>
          <w:lang w:val="ro-RO"/>
        </w:rPr>
        <w:t xml:space="preserve">C 13: </w:t>
      </w:r>
      <w:r w:rsidRPr="001C3B31">
        <w:rPr>
          <w:color w:val="000000" w:themeColor="text1"/>
          <w:lang w:val="ro-RO"/>
        </w:rPr>
        <w:t xml:space="preserve">Impactul social potențial al PPP-ului este unul major, fapt </w:t>
      </w:r>
      <w:r>
        <w:rPr>
          <w:color w:val="000000" w:themeColor="text1"/>
          <w:lang w:val="ro-RO"/>
        </w:rPr>
        <w:t xml:space="preserve">ce se </w:t>
      </w:r>
      <w:r w:rsidRPr="001C3B31">
        <w:rPr>
          <w:color w:val="000000" w:themeColor="text1"/>
          <w:lang w:val="ro-RO"/>
        </w:rPr>
        <w:t>dator</w:t>
      </w:r>
      <w:r>
        <w:rPr>
          <w:color w:val="000000" w:themeColor="text1"/>
          <w:lang w:val="ro-RO"/>
        </w:rPr>
        <w:t xml:space="preserve">ează atât planificării de sus în jos (reușind să surprindă problemele și constrângerile întâmpinate de comunități), cât și </w:t>
      </w:r>
      <w:r>
        <w:rPr>
          <w:lang w:val="ro-RO"/>
        </w:rPr>
        <w:t xml:space="preserve">spectrului de proiecte </w:t>
      </w:r>
      <w:r w:rsidRPr="001C3B31">
        <w:rPr>
          <w:lang w:val="ro-RO"/>
        </w:rPr>
        <w:t>implementate în cadrul Programului LEADER</w:t>
      </w:r>
      <w:r>
        <w:rPr>
          <w:lang w:val="ro-RO"/>
        </w:rPr>
        <w:t xml:space="preserve">, ce sunt </w:t>
      </w:r>
      <w:r w:rsidRPr="001C3B31">
        <w:rPr>
          <w:lang w:val="ro-RO"/>
        </w:rPr>
        <w:t>orienta</w:t>
      </w:r>
      <w:r>
        <w:rPr>
          <w:lang w:val="ro-RO"/>
        </w:rPr>
        <w:t>te spre solida</w:t>
      </w:r>
      <w:r w:rsidRPr="001C3B31">
        <w:rPr>
          <w:lang w:val="ro-RO"/>
        </w:rPr>
        <w:t>r</w:t>
      </w:r>
      <w:r>
        <w:rPr>
          <w:lang w:val="ro-RO"/>
        </w:rPr>
        <w:t>izar</w:t>
      </w:r>
      <w:r w:rsidRPr="001C3B31">
        <w:rPr>
          <w:lang w:val="ro-RO"/>
        </w:rPr>
        <w:t>ea comunităților în identificarea și prioritizarea unor probleme comune.</w:t>
      </w:r>
    </w:p>
    <w:p w:rsidR="004B3372" w:rsidRDefault="004B3372" w:rsidP="004B3372">
      <w:pPr>
        <w:rPr>
          <w:lang w:val="ro-RO"/>
        </w:rPr>
      </w:pPr>
      <w:r w:rsidRPr="001C3B31">
        <w:rPr>
          <w:b/>
          <w:bCs/>
          <w:lang w:val="ro-RO"/>
        </w:rPr>
        <w:t xml:space="preserve">C 14: </w:t>
      </w:r>
      <w:r w:rsidRPr="001C3B31">
        <w:rPr>
          <w:lang w:val="ro-RO"/>
        </w:rPr>
        <w:t xml:space="preserve">Majoritatea domeniilor de intervenție ale PPP-ului au un raport beneficiu-cost pozitiv (mai mare de 1), fapt care indică rentabilitatea economică a proiectelor implementate de către GAL-uri. </w:t>
      </w:r>
    </w:p>
    <w:p w:rsidR="004B3372" w:rsidRPr="007C1156" w:rsidRDefault="004B3372" w:rsidP="004B3372">
      <w:pPr>
        <w:rPr>
          <w:lang w:val="ro-RO"/>
        </w:rPr>
      </w:pPr>
      <w:r w:rsidRPr="001C3B31">
        <w:rPr>
          <w:b/>
          <w:bCs/>
          <w:lang w:val="ro-RO"/>
        </w:rPr>
        <w:t xml:space="preserve">C 15: </w:t>
      </w:r>
      <w:r w:rsidRPr="007C1156">
        <w:rPr>
          <w:lang w:val="ro-RO"/>
        </w:rPr>
        <w:t xml:space="preserve">Costurile administrative actuale  ale beneficiarilor sunt  menținute în parametri relativ mici și în mare parte fezabile pentru beneficiarii-tip ai proiectelor implementate de GAL-uri, însă acestea nu pot asigura capacitatea de investire în menținerea personalului pe termen lung sau dezvoltarea capacității GAL. </w:t>
      </w:r>
    </w:p>
    <w:p w:rsidR="004B3372" w:rsidRPr="004B3372" w:rsidRDefault="004B3372" w:rsidP="004B3372">
      <w:pPr>
        <w:pStyle w:val="Heading3"/>
        <w:numPr>
          <w:ilvl w:val="0"/>
          <w:numId w:val="0"/>
        </w:numPr>
        <w:ind w:left="357" w:hanging="357"/>
        <w:rPr>
          <w:b/>
          <w:color w:val="0070C0"/>
          <w:lang w:val="ro-RO"/>
        </w:rPr>
      </w:pPr>
      <w:bookmarkStart w:id="4" w:name="_Toc32964801"/>
      <w:r w:rsidRPr="004B3372">
        <w:rPr>
          <w:b/>
          <w:color w:val="0070C0"/>
          <w:lang w:val="ro-RO"/>
        </w:rPr>
        <w:t>Recomandări</w:t>
      </w:r>
      <w:bookmarkEnd w:id="4"/>
    </w:p>
    <w:p w:rsidR="004B3372" w:rsidRPr="004A6012" w:rsidRDefault="004B3372" w:rsidP="004B3372">
      <w:pPr>
        <w:spacing w:after="0" w:line="276" w:lineRule="auto"/>
        <w:rPr>
          <w:color w:val="000000" w:themeColor="text1"/>
          <w:lang w:val="ro-RO"/>
        </w:rPr>
      </w:pPr>
      <w:r w:rsidRPr="004A6012">
        <w:rPr>
          <w:b/>
          <w:bCs/>
          <w:color w:val="000000" w:themeColor="text1"/>
          <w:lang w:val="ro-RO"/>
        </w:rPr>
        <w:t>R 1</w:t>
      </w:r>
      <w:r>
        <w:rPr>
          <w:color w:val="000000" w:themeColor="text1"/>
          <w:lang w:val="ro-RO"/>
        </w:rPr>
        <w:t xml:space="preserve"> : Deși cadrul instituțional actual este ajustat pentru administrarea intervențiilor adresate APL-urilor și ar dispune de personal menit să faciliteze implementarea acestor măsuri, complexitatea abordării impune capacitarea personalului și includerea unui program de formare în administrarea programului LEADER. </w:t>
      </w:r>
    </w:p>
    <w:p w:rsidR="004B3372" w:rsidRDefault="004B3372" w:rsidP="004B3372">
      <w:pPr>
        <w:spacing w:after="0" w:line="276" w:lineRule="auto"/>
        <w:rPr>
          <w:color w:val="000000" w:themeColor="text1"/>
          <w:lang w:val="ro-RO"/>
        </w:rPr>
      </w:pPr>
      <w:r w:rsidRPr="003D542A">
        <w:rPr>
          <w:b/>
          <w:bCs/>
          <w:color w:val="000000" w:themeColor="text1"/>
          <w:lang w:val="ro-RO"/>
        </w:rPr>
        <w:t>R 2</w:t>
      </w:r>
      <w:r>
        <w:rPr>
          <w:b/>
          <w:bCs/>
          <w:color w:val="000000" w:themeColor="text1"/>
          <w:lang w:val="ro-RO"/>
        </w:rPr>
        <w:t>:</w:t>
      </w:r>
      <w:r>
        <w:rPr>
          <w:color w:val="000000" w:themeColor="text1"/>
          <w:lang w:val="ro-RO"/>
        </w:rPr>
        <w:t xml:space="preserve"> Având în vedere orientarea strategică și asigurarea sustenabilității inițiativei, este recomandată crearea unui cadru </w:t>
      </w:r>
      <w:r w:rsidRPr="00B22144">
        <w:rPr>
          <w:color w:val="000000" w:themeColor="text1"/>
          <w:lang w:val="ro-RO"/>
        </w:rPr>
        <w:t>normativ</w:t>
      </w:r>
      <w:r>
        <w:rPr>
          <w:color w:val="000000" w:themeColor="text1"/>
          <w:lang w:val="ro-RO"/>
        </w:rPr>
        <w:t xml:space="preserve"> adecvat, care să surprindă amploarea și complexitatea abordării LEADER, ceea ce poate fi asigurat prin implementarea scenariului 3.</w:t>
      </w:r>
    </w:p>
    <w:p w:rsidR="004B3372" w:rsidRPr="004A6012" w:rsidRDefault="004B3372" w:rsidP="004B3372">
      <w:pPr>
        <w:spacing w:line="276" w:lineRule="auto"/>
        <w:rPr>
          <w:rFonts w:ascii="Calibri" w:hAnsi="Calibri" w:cs="Calibri"/>
          <w:color w:val="000000" w:themeColor="text1"/>
          <w:lang w:val="ro-RO"/>
        </w:rPr>
      </w:pPr>
      <w:r w:rsidRPr="001C3B31">
        <w:rPr>
          <w:rFonts w:ascii="Calibri" w:hAnsi="Calibri" w:cs="Calibri"/>
          <w:b/>
          <w:color w:val="000000" w:themeColor="text1"/>
          <w:lang w:val="ro-RO"/>
        </w:rPr>
        <w:t xml:space="preserve">R </w:t>
      </w:r>
      <w:r>
        <w:rPr>
          <w:rFonts w:ascii="Calibri" w:hAnsi="Calibri" w:cs="Calibri"/>
          <w:b/>
          <w:color w:val="000000" w:themeColor="text1"/>
          <w:lang w:val="ro-RO"/>
        </w:rPr>
        <w:t>3</w:t>
      </w:r>
      <w:r w:rsidRPr="001C3B31">
        <w:rPr>
          <w:rFonts w:ascii="Calibri" w:hAnsi="Calibri" w:cs="Calibri"/>
          <w:b/>
          <w:color w:val="000000" w:themeColor="text1"/>
          <w:lang w:val="ro-RO"/>
        </w:rPr>
        <w:t>:</w:t>
      </w:r>
      <w:r w:rsidRPr="001C3B31">
        <w:rPr>
          <w:rFonts w:ascii="Calibri" w:hAnsi="Calibri" w:cs="Calibri"/>
          <w:color w:val="000000" w:themeColor="text1"/>
          <w:lang w:val="ro-RO"/>
        </w:rPr>
        <w:t xml:space="preserve"> </w:t>
      </w:r>
      <w:r w:rsidRPr="007C1156">
        <w:rPr>
          <w:rFonts w:ascii="Calibri" w:hAnsi="Calibri" w:cs="Calibri"/>
          <w:lang w:val="ro-RO"/>
        </w:rPr>
        <w:t xml:space="preserve">Menținerea în procesul ajustării Regulamentului de subvenționare a condițiilor transpuse în Propunerea de Politică Publică este necesară pentru alinierea Criteriilor de eligibilitate la obiectivele măsurilor de intervenție propuse, astfel încât să fie asigurată atingerea obiectivelor propuse prin implementarea proiectelor ulterior selectate. </w:t>
      </w:r>
    </w:p>
    <w:p w:rsidR="004B3372" w:rsidRPr="007C1156" w:rsidRDefault="004B3372" w:rsidP="004B3372">
      <w:pPr>
        <w:rPr>
          <w:lang w:val="ro-RO"/>
        </w:rPr>
      </w:pPr>
      <w:r w:rsidRPr="009C1D82">
        <w:rPr>
          <w:b/>
          <w:bCs/>
          <w:lang w:val="ro-RO"/>
        </w:rPr>
        <w:t xml:space="preserve">R </w:t>
      </w:r>
      <w:r>
        <w:rPr>
          <w:b/>
          <w:bCs/>
          <w:lang w:val="ro-RO"/>
        </w:rPr>
        <w:t>4:</w:t>
      </w:r>
      <w:r>
        <w:rPr>
          <w:lang w:val="ro-RO"/>
        </w:rPr>
        <w:t xml:space="preserve"> </w:t>
      </w:r>
      <w:r w:rsidRPr="007C1156">
        <w:rPr>
          <w:lang w:val="ro-RO"/>
        </w:rPr>
        <w:t xml:space="preserve">Având în vedere necesitatea de diversificare a surselor de finanțare și orientarea spre mobilizarea resurselor financiare, inclusiv în cadrul GAL-ului, este necesară acordarea unui suport în amortizarea cheltuielilor administrative ale entităților pentru a le asigura funcționarea la capacitate sporită și dezvoltarea acestora pentru buna implementare a portofoliului de proiecte, cât și atragerea resurselor financiare suplimentare. </w:t>
      </w:r>
    </w:p>
    <w:p w:rsidR="004B3372" w:rsidRPr="007C1156" w:rsidRDefault="004B3372" w:rsidP="004B3372">
      <w:pPr>
        <w:spacing w:after="0" w:line="276" w:lineRule="auto"/>
        <w:rPr>
          <w:lang w:val="ro-RO"/>
        </w:rPr>
      </w:pPr>
      <w:r w:rsidRPr="009C1D82">
        <w:rPr>
          <w:b/>
          <w:bCs/>
          <w:lang w:val="ro-RO"/>
        </w:rPr>
        <w:t xml:space="preserve">R </w:t>
      </w:r>
      <w:r>
        <w:rPr>
          <w:b/>
          <w:bCs/>
          <w:lang w:val="ro-RO"/>
        </w:rPr>
        <w:t>5:</w:t>
      </w:r>
      <w:r>
        <w:rPr>
          <w:lang w:val="ro-RO"/>
        </w:rPr>
        <w:t xml:space="preserve"> Raportul cost-beneficiu pozitiv este în cea mai mare parte asigurat de preponderența proiectelor de natură economică, ce reușește să mobilizeze mediul privat și să asigure și o mobilizare a investițiilor private. Pentru a menține acest aspect este esențial de a menține proporția </w:t>
      </w:r>
      <w:r w:rsidRPr="007C1156">
        <w:rPr>
          <w:lang w:val="ro-RO"/>
        </w:rPr>
        <w:t>proiectelor economice finanțate în cadrul GAL-urilor.</w:t>
      </w:r>
    </w:p>
    <w:p w:rsidR="004B3372" w:rsidRPr="007C1156" w:rsidRDefault="004B3372" w:rsidP="004B3372">
      <w:pPr>
        <w:spacing w:after="0" w:line="276" w:lineRule="auto"/>
        <w:rPr>
          <w:rFonts w:ascii="Calibri" w:hAnsi="Calibri" w:cs="Calibri"/>
          <w:lang w:val="ro-RO"/>
        </w:rPr>
      </w:pPr>
      <w:r w:rsidRPr="001C3B31">
        <w:rPr>
          <w:rFonts w:ascii="Calibri" w:hAnsi="Calibri" w:cs="Calibri"/>
          <w:b/>
          <w:color w:val="000000" w:themeColor="text1"/>
          <w:lang w:val="ro-RO"/>
        </w:rPr>
        <w:t xml:space="preserve">R </w:t>
      </w:r>
      <w:r>
        <w:rPr>
          <w:rFonts w:ascii="Calibri" w:hAnsi="Calibri" w:cs="Calibri"/>
          <w:b/>
          <w:color w:val="000000" w:themeColor="text1"/>
          <w:lang w:val="ro-RO"/>
        </w:rPr>
        <w:t>6</w:t>
      </w:r>
      <w:r w:rsidRPr="001C3B31">
        <w:rPr>
          <w:rFonts w:ascii="Calibri" w:hAnsi="Calibri" w:cs="Calibri"/>
          <w:b/>
          <w:color w:val="000000" w:themeColor="text1"/>
          <w:lang w:val="ro-RO"/>
        </w:rPr>
        <w:t>:</w:t>
      </w:r>
      <w:r w:rsidRPr="001C3B31">
        <w:rPr>
          <w:rFonts w:ascii="Calibri" w:hAnsi="Calibri" w:cs="Calibri"/>
          <w:color w:val="000000" w:themeColor="text1"/>
          <w:lang w:val="ro-RO"/>
        </w:rPr>
        <w:t xml:space="preserve"> </w:t>
      </w:r>
      <w:r w:rsidRPr="007C1156">
        <w:rPr>
          <w:rFonts w:ascii="Calibri" w:hAnsi="Calibri" w:cs="Calibri"/>
          <w:lang w:val="ro-RO"/>
        </w:rPr>
        <w:t>În procesul de implementare a măsurii de intervenție pot fi generate sinergii, care pot aduce beneficii relevante pentru toate instituțiile implicate. De exemplu, având un cadru sistemic puternic, care gestionează dezvoltarea IMM-urilor (implementat prin Strategia de Dezvoltare a Sectorului IMM), precum și inițiative concrete care abordează grupuri-țintă similare cu cele țintite de PPP (de exemplu programul GEA al ODIMM, alte proiecte care vizează dezvoltarea IMM-urilor), MADRM poate folosi aceste platforme pentru a ajunge mai eficient la beneficiari și continua eforturile lansate de alte instituții de resort.</w:t>
      </w:r>
    </w:p>
    <w:p w:rsidR="004B3372" w:rsidRPr="001C3B31" w:rsidRDefault="004B3372" w:rsidP="004B3372">
      <w:pPr>
        <w:pStyle w:val="Heading1"/>
        <w:spacing w:after="0"/>
        <w:rPr>
          <w:rFonts w:cs="Arial"/>
          <w:lang w:val="ro-RO"/>
        </w:rPr>
      </w:pPr>
      <w:bookmarkStart w:id="5" w:name="_Toc32964802"/>
      <w:r w:rsidRPr="001C3B31">
        <w:rPr>
          <w:rFonts w:cs="Arial"/>
          <w:lang w:val="ro-RO"/>
        </w:rPr>
        <w:lastRenderedPageBreak/>
        <w:t>cadru metodologic</w:t>
      </w:r>
      <w:bookmarkEnd w:id="5"/>
    </w:p>
    <w:p w:rsidR="004B3372" w:rsidRPr="00EB6F5E" w:rsidRDefault="004B3372" w:rsidP="004B3372">
      <w:pPr>
        <w:spacing w:after="0"/>
        <w:rPr>
          <w:lang w:val="ro-RO"/>
        </w:rPr>
      </w:pPr>
      <w:bookmarkStart w:id="6" w:name="_Toc4427103"/>
      <w:r w:rsidRPr="00EB6F5E">
        <w:rPr>
          <w:lang w:val="ro-RO"/>
        </w:rPr>
        <w:t xml:space="preserve">Metodologia </w:t>
      </w:r>
      <w:bookmarkStart w:id="7" w:name="_GoBack"/>
      <w:bookmarkEnd w:id="7"/>
      <w:r w:rsidRPr="00EB6F5E">
        <w:rPr>
          <w:lang w:val="ro-RO"/>
        </w:rPr>
        <w:t xml:space="preserve">evaluării ex-ante a Propunerii de Politică Publică descrie contextul/problemele soluționate prin PPP, dimensiunile, instrumentele de evaluare și cercetare, întrebările de evaluare. Totodată, metodologia descrie setul de instrumente de evaluare care a fost aplicat. </w:t>
      </w:r>
    </w:p>
    <w:p w:rsidR="004B3372" w:rsidRPr="00EB6F5E" w:rsidRDefault="004B3372" w:rsidP="004B3372">
      <w:pPr>
        <w:rPr>
          <w:lang w:val="ro-RO"/>
        </w:rPr>
      </w:pPr>
      <w:r w:rsidRPr="00EB6F5E">
        <w:rPr>
          <w:lang w:val="ro-RO"/>
        </w:rPr>
        <w:t xml:space="preserve">La baza metodologiei de evaluare ex-ante au stat dimensiunile de evaluare prevăzute de Ghidul metodologic pentru evaluarea intermediară şi ex-post a politicilor publice, EVLASE D </w:t>
      </w:r>
      <w:r w:rsidRPr="00EB6F5E">
        <w:rPr>
          <w:rStyle w:val="FootnoteReference"/>
          <w:lang w:val="ro-RO"/>
        </w:rPr>
        <w:footnoteReference w:id="1"/>
      </w:r>
      <w:r>
        <w:rPr>
          <w:lang w:val="ro-RO"/>
        </w:rPr>
        <w:t>– Ghidul de E</w:t>
      </w:r>
      <w:r w:rsidRPr="00EB6F5E">
        <w:rPr>
          <w:lang w:val="ro-RO"/>
        </w:rPr>
        <w:t>valuare a Dezvoltării Socio-economice, Ghidul privind Evaluarea Impactului Inițiativei UE „O mai bună legiferare”</w:t>
      </w:r>
      <w:r w:rsidRPr="00EB6F5E">
        <w:rPr>
          <w:rStyle w:val="FootnoteReference"/>
          <w:lang w:val="ro-RO"/>
        </w:rPr>
        <w:footnoteReference w:id="2"/>
      </w:r>
      <w:r w:rsidRPr="00EB6F5E">
        <w:rPr>
          <w:lang w:val="ro-RO"/>
        </w:rPr>
        <w:t xml:space="preserve">, dar și alte documente relevante pentru acest tip de evaluare, bazate pe practica internațională. </w:t>
      </w:r>
    </w:p>
    <w:p w:rsidR="004B3372" w:rsidRPr="00EB6F5E" w:rsidRDefault="004B3372" w:rsidP="004B3372">
      <w:pPr>
        <w:spacing w:after="0"/>
        <w:rPr>
          <w:lang w:val="ro-RO"/>
        </w:rPr>
      </w:pPr>
      <w:r w:rsidRPr="00EB6F5E">
        <w:rPr>
          <w:lang w:val="ro-RO"/>
        </w:rPr>
        <w:t xml:space="preserve">Instrumentele de evaluare aplicate au fost selectate în așa fel, încât să permită identificarea informațiilor relevante pentru fiecare din dimensiunile de evaluare stabilite. </w:t>
      </w:r>
    </w:p>
    <w:p w:rsidR="004B3372" w:rsidRPr="0063592F" w:rsidRDefault="004B3372" w:rsidP="004B3372">
      <w:pPr>
        <w:pStyle w:val="Heading2"/>
        <w:spacing w:after="0"/>
        <w:rPr>
          <w:color w:val="0070C0"/>
          <w:lang w:val="ro-RO"/>
        </w:rPr>
      </w:pPr>
      <w:bookmarkStart w:id="8" w:name="_Toc32964803"/>
      <w:r w:rsidRPr="0063592F">
        <w:rPr>
          <w:color w:val="0070C0"/>
          <w:lang w:val="ro-RO"/>
        </w:rPr>
        <w:t>Dimensiunile și Întrebările de Evaluare</w:t>
      </w:r>
      <w:bookmarkEnd w:id="8"/>
    </w:p>
    <w:p w:rsidR="004B3372" w:rsidRPr="001C3B31" w:rsidRDefault="004B3372" w:rsidP="004B3372">
      <w:pPr>
        <w:rPr>
          <w:lang w:val="ro-RO"/>
        </w:rPr>
      </w:pPr>
      <w:r w:rsidRPr="001C3B31">
        <w:rPr>
          <w:lang w:val="ro-RO"/>
        </w:rPr>
        <w:t xml:space="preserve">Evaluarea ex-ante a Propunerii de Politică Publică a fost realizată din perspectiva a 4 dimensiuni și anume: </w:t>
      </w:r>
      <w:r w:rsidRPr="00EB6F5E">
        <w:rPr>
          <w:b/>
          <w:lang w:val="ro-RO"/>
        </w:rPr>
        <w:t>i) Relevanță, ii) Eficacitate, iii) Eficiență și iv) Impact.</w:t>
      </w:r>
    </w:p>
    <w:p w:rsidR="004B3372" w:rsidRPr="001C3B31" w:rsidRDefault="004B3372" w:rsidP="004B3372">
      <w:pPr>
        <w:rPr>
          <w:lang w:val="ro-RO"/>
        </w:rPr>
      </w:pPr>
      <w:r w:rsidRPr="001C3B31">
        <w:rPr>
          <w:lang w:val="ro-RO"/>
        </w:rPr>
        <w:t xml:space="preserve">Fiecare dintre dimensiunile de evaluare a urmărit clarificarea anumitor aspecte esențiale pentru realizarea evaluării ex-ante a unei Propuneri de Politică Publică. Astfel, în cazul </w:t>
      </w:r>
      <w:r w:rsidRPr="00EB6F5E">
        <w:rPr>
          <w:b/>
          <w:u w:val="single"/>
          <w:lang w:val="ro-RO"/>
        </w:rPr>
        <w:t>Relevanței</w:t>
      </w:r>
      <w:r w:rsidRPr="00EB6F5E">
        <w:rPr>
          <w:u w:val="single"/>
          <w:lang w:val="ro-RO"/>
        </w:rPr>
        <w:t>,</w:t>
      </w:r>
      <w:r w:rsidRPr="001C3B31">
        <w:rPr>
          <w:lang w:val="ro-RO"/>
        </w:rPr>
        <w:t xml:space="preserve"> a fost evaluată măsura în care PPP-ul este coerentă atât cu cadrul de politici</w:t>
      </w:r>
      <w:r>
        <w:rPr>
          <w:lang w:val="ro-RO"/>
        </w:rPr>
        <w:t>,</w:t>
      </w:r>
      <w:r w:rsidRPr="001C3B31">
        <w:rPr>
          <w:lang w:val="ro-RO"/>
        </w:rPr>
        <w:t xml:space="preserve"> cât și cu proiectele investiționale relevante. Totodată, relevanța a urmărit evaluarea măsurii în care intervențiile prevăzute de PPP sunt coerente cu obiectivele PPP-ului și măsura în care răspund necesităților identificate de PPP. </w:t>
      </w:r>
    </w:p>
    <w:p w:rsidR="004B3372" w:rsidRPr="001C3B31" w:rsidRDefault="004B3372" w:rsidP="004B3372">
      <w:pPr>
        <w:rPr>
          <w:lang w:val="ro-RO"/>
        </w:rPr>
      </w:pPr>
      <w:r w:rsidRPr="001C3B31">
        <w:rPr>
          <w:lang w:val="ro-RO"/>
        </w:rPr>
        <w:t xml:space="preserve">Dimensiunea </w:t>
      </w:r>
      <w:r w:rsidRPr="00EB6F5E">
        <w:rPr>
          <w:b/>
          <w:u w:val="single"/>
          <w:lang w:val="ro-RO"/>
        </w:rPr>
        <w:t>Eficacității</w:t>
      </w:r>
      <w:r w:rsidRPr="001C3B31">
        <w:rPr>
          <w:lang w:val="ro-RO"/>
        </w:rPr>
        <w:t xml:space="preserve"> a urmărit evaluarea măsurii în care intervențiile și condițiile Propunerii de Politică Publică sunt capabile să soluționeze problemele identificate de către aceasta și pot să atingă obiectivele setate.</w:t>
      </w:r>
    </w:p>
    <w:p w:rsidR="004B3372" w:rsidRPr="001C3B31" w:rsidRDefault="004B3372" w:rsidP="004B3372">
      <w:pPr>
        <w:rPr>
          <w:lang w:val="ro-RO"/>
        </w:rPr>
      </w:pPr>
      <w:r w:rsidRPr="00EB6F5E">
        <w:rPr>
          <w:b/>
          <w:u w:val="single"/>
          <w:lang w:val="ro-RO"/>
        </w:rPr>
        <w:t>Eficiența</w:t>
      </w:r>
      <w:r w:rsidRPr="001C3B31">
        <w:rPr>
          <w:lang w:val="ro-RO"/>
        </w:rPr>
        <w:t xml:space="preserve"> ca dimensiune de evaluare a urmărit identificarea măsurii în care se pot maximiza rezultatele preconizate în contextul resurselor financiare și instituționale disponibile. </w:t>
      </w:r>
    </w:p>
    <w:p w:rsidR="004B3372" w:rsidRPr="001C3B31" w:rsidRDefault="004B3372" w:rsidP="004B3372">
      <w:pPr>
        <w:rPr>
          <w:lang w:val="ro-RO"/>
        </w:rPr>
      </w:pPr>
      <w:r w:rsidRPr="001C3B31">
        <w:rPr>
          <w:lang w:val="ro-RO"/>
        </w:rPr>
        <w:t xml:space="preserve">Dimensiunea de </w:t>
      </w:r>
      <w:r w:rsidRPr="00EB6F5E">
        <w:rPr>
          <w:b/>
          <w:u w:val="single"/>
          <w:lang w:val="ro-RO"/>
        </w:rPr>
        <w:t>Impact</w:t>
      </w:r>
      <w:r w:rsidRPr="001C3B31">
        <w:rPr>
          <w:lang w:val="ro-RO"/>
        </w:rPr>
        <w:t xml:space="preserve"> a evaluat măsura în care PPP-ul va contribui la îmbunătățirea sau cum va influența anumite aspecte de natură economică, administrativă, socială, fiscală și de mediu. </w:t>
      </w:r>
    </w:p>
    <w:p w:rsidR="004B3372" w:rsidRPr="001C3B31" w:rsidRDefault="004B3372" w:rsidP="004B3372">
      <w:pPr>
        <w:spacing w:after="0"/>
        <w:rPr>
          <w:lang w:val="ro-RO"/>
        </w:rPr>
      </w:pPr>
      <w:r w:rsidRPr="001C3B31">
        <w:rPr>
          <w:lang w:val="ro-RO"/>
        </w:rPr>
        <w:t>Pentru structurarea corectă a evaluării, pentru fiecare din dimensiunile de evaluare au fost elaborate una sau mai multe întrebări de evaluare, prin care a fost posibilă obținerea informației necesare pentru identificarea concluz</w:t>
      </w:r>
      <w:r>
        <w:rPr>
          <w:lang w:val="ro-RO"/>
        </w:rPr>
        <w:t>iilor principale și elaborarea R</w:t>
      </w:r>
      <w:r w:rsidRPr="001C3B31">
        <w:rPr>
          <w:lang w:val="ro-RO"/>
        </w:rPr>
        <w:t xml:space="preserve">ecomandărilor de îmbunătățire a PPP-ului. </w:t>
      </w:r>
    </w:p>
    <w:p w:rsidR="004B3372" w:rsidRPr="001C3B31" w:rsidRDefault="004B3372" w:rsidP="004B3372">
      <w:pPr>
        <w:spacing w:after="0"/>
        <w:rPr>
          <w:lang w:val="ro-RO"/>
        </w:rPr>
      </w:pPr>
      <w:r w:rsidRPr="001C3B31">
        <w:rPr>
          <w:lang w:val="ro-RO"/>
        </w:rPr>
        <w:t xml:space="preserve">Evaluarea ex-ante a avut la bază  următoarele întrebări de evaluare:  </w:t>
      </w:r>
    </w:p>
    <w:p w:rsidR="004B3372" w:rsidRPr="001C3B31" w:rsidRDefault="004B3372" w:rsidP="004B3372">
      <w:pPr>
        <w:pStyle w:val="ListParagraph"/>
        <w:numPr>
          <w:ilvl w:val="0"/>
          <w:numId w:val="19"/>
        </w:numPr>
        <w:spacing w:after="0"/>
        <w:rPr>
          <w:i/>
          <w:lang w:val="ro-RO"/>
        </w:rPr>
      </w:pPr>
      <w:r w:rsidRPr="001C3B31">
        <w:rPr>
          <w:i/>
          <w:lang w:val="ro-RO"/>
        </w:rPr>
        <w:t>În ce măsură PPP este coerentă cu SNDAR 2014-2020?</w:t>
      </w:r>
    </w:p>
    <w:p w:rsidR="004B3372" w:rsidRPr="001C3B31" w:rsidRDefault="004B3372" w:rsidP="004B3372">
      <w:pPr>
        <w:pStyle w:val="ListParagraph"/>
        <w:numPr>
          <w:ilvl w:val="0"/>
          <w:numId w:val="19"/>
        </w:numPr>
        <w:spacing w:after="0"/>
        <w:rPr>
          <w:i/>
          <w:lang w:val="ro-RO"/>
        </w:rPr>
      </w:pPr>
      <w:r w:rsidRPr="001C3B31">
        <w:rPr>
          <w:i/>
          <w:lang w:val="ro-RO"/>
        </w:rPr>
        <w:t xml:space="preserve">În ce măsură  PPP este coerentă cu alte măsuri implementate în domeniile de intervenție ale PPP-ului? Aici </w:t>
      </w:r>
      <w:r>
        <w:rPr>
          <w:i/>
          <w:lang w:val="ro-RO"/>
        </w:rPr>
        <w:t>s-ar putea de făcut</w:t>
      </w:r>
      <w:r w:rsidRPr="001C3B31">
        <w:rPr>
          <w:i/>
          <w:lang w:val="ro-RO"/>
        </w:rPr>
        <w:t xml:space="preserve"> trimitere la cadrul UE sau Acordul de asociere</w:t>
      </w:r>
      <w:r>
        <w:rPr>
          <w:i/>
          <w:lang w:val="ro-RO"/>
        </w:rPr>
        <w:t>.</w:t>
      </w:r>
      <w:r w:rsidRPr="001C3B31">
        <w:rPr>
          <w:i/>
          <w:lang w:val="ro-RO"/>
        </w:rPr>
        <w:t xml:space="preserve"> </w:t>
      </w:r>
    </w:p>
    <w:p w:rsidR="004B3372" w:rsidRPr="001C3B31" w:rsidRDefault="004B3372" w:rsidP="004B3372">
      <w:pPr>
        <w:pStyle w:val="ListParagraph"/>
        <w:numPr>
          <w:ilvl w:val="0"/>
          <w:numId w:val="19"/>
        </w:numPr>
        <w:tabs>
          <w:tab w:val="left" w:pos="1864"/>
        </w:tabs>
        <w:spacing w:after="0"/>
        <w:rPr>
          <w:i/>
          <w:lang w:val="ro-RO"/>
        </w:rPr>
      </w:pPr>
      <w:r w:rsidRPr="001C3B31">
        <w:rPr>
          <w:rFonts w:ascii="Calibri" w:hAnsi="Calibri"/>
          <w:i/>
          <w:lang w:val="ro-RO"/>
        </w:rPr>
        <w:t>Sunt măsurile de intervenție cele mai potrivite pentru soluționa</w:t>
      </w:r>
      <w:r>
        <w:rPr>
          <w:rFonts w:ascii="Calibri" w:hAnsi="Calibri"/>
          <w:i/>
          <w:lang w:val="ro-RO"/>
        </w:rPr>
        <w:t>rea</w:t>
      </w:r>
      <w:r w:rsidRPr="001C3B31">
        <w:rPr>
          <w:rFonts w:ascii="Calibri" w:hAnsi="Calibri"/>
          <w:i/>
          <w:lang w:val="ro-RO"/>
        </w:rPr>
        <w:t xml:space="preserve"> problemel</w:t>
      </w:r>
      <w:r>
        <w:rPr>
          <w:rFonts w:ascii="Calibri" w:hAnsi="Calibri"/>
          <w:i/>
          <w:lang w:val="ro-RO"/>
        </w:rPr>
        <w:t>or</w:t>
      </w:r>
      <w:r w:rsidRPr="001C3B31">
        <w:rPr>
          <w:rFonts w:ascii="Calibri" w:hAnsi="Calibri"/>
          <w:i/>
          <w:lang w:val="ro-RO"/>
        </w:rPr>
        <w:t xml:space="preserve"> identificate?</w:t>
      </w:r>
    </w:p>
    <w:p w:rsidR="004B3372" w:rsidRPr="001C3B31" w:rsidRDefault="004B3372" w:rsidP="004B3372">
      <w:pPr>
        <w:pStyle w:val="ListParagraph"/>
        <w:numPr>
          <w:ilvl w:val="0"/>
          <w:numId w:val="19"/>
        </w:numPr>
        <w:tabs>
          <w:tab w:val="left" w:pos="1101"/>
        </w:tabs>
        <w:spacing w:after="0"/>
        <w:rPr>
          <w:i/>
          <w:lang w:val="ro-RO"/>
        </w:rPr>
      </w:pPr>
      <w:r w:rsidRPr="001C3B31">
        <w:rPr>
          <w:i/>
          <w:lang w:val="ro-RO"/>
        </w:rPr>
        <w:t>În ce măsură există capacitate administrativă și financiară pentru asigurarea implementării intervențiilor propuse de PPP?</w:t>
      </w:r>
    </w:p>
    <w:p w:rsidR="004B3372" w:rsidRPr="001C3B31" w:rsidRDefault="004B3372" w:rsidP="004B3372">
      <w:pPr>
        <w:pStyle w:val="ListParagraph"/>
        <w:numPr>
          <w:ilvl w:val="0"/>
          <w:numId w:val="19"/>
        </w:numPr>
        <w:tabs>
          <w:tab w:val="left" w:pos="1101"/>
        </w:tabs>
        <w:spacing w:after="0"/>
        <w:rPr>
          <w:i/>
          <w:lang w:val="ro-RO"/>
        </w:rPr>
      </w:pPr>
      <w:r w:rsidRPr="001C3B31">
        <w:rPr>
          <w:i/>
          <w:lang w:val="ro-RO"/>
        </w:rPr>
        <w:t>Care este impactul scontat al PPP-ului?</w:t>
      </w:r>
    </w:p>
    <w:p w:rsidR="004B3372" w:rsidRPr="001C3B31" w:rsidRDefault="004B3372" w:rsidP="004B3372">
      <w:pPr>
        <w:spacing w:after="0"/>
        <w:rPr>
          <w:lang w:val="ro-RO"/>
        </w:rPr>
      </w:pPr>
      <w:r w:rsidRPr="001C3B31">
        <w:rPr>
          <w:lang w:val="ro-RO"/>
        </w:rPr>
        <w:t>Fiecare dintre întrebări a fost triangulată prin intermediul instrumentelor de evaluare în conformitate cu metodologia de evaluare.</w:t>
      </w:r>
    </w:p>
    <w:p w:rsidR="004B3372" w:rsidRPr="001C3B31" w:rsidRDefault="004B3372" w:rsidP="004B3372">
      <w:pPr>
        <w:spacing w:after="0"/>
        <w:rPr>
          <w:lang w:val="ro-RO"/>
        </w:rPr>
      </w:pPr>
    </w:p>
    <w:p w:rsidR="004B3372" w:rsidRPr="006F679A" w:rsidRDefault="004B3372" w:rsidP="004B3372">
      <w:pPr>
        <w:pStyle w:val="Heading2"/>
        <w:spacing w:before="0" w:after="0"/>
        <w:rPr>
          <w:color w:val="0070C0"/>
          <w:lang w:val="ro-RO"/>
        </w:rPr>
      </w:pPr>
      <w:bookmarkStart w:id="9" w:name="_Toc32964804"/>
      <w:r w:rsidRPr="006F679A">
        <w:rPr>
          <w:color w:val="0070C0"/>
          <w:lang w:val="ro-RO"/>
        </w:rPr>
        <w:lastRenderedPageBreak/>
        <w:t xml:space="preserve">Metodele și Instrumentele de </w:t>
      </w:r>
      <w:bookmarkEnd w:id="6"/>
      <w:r w:rsidRPr="006F679A">
        <w:rPr>
          <w:color w:val="0070C0"/>
          <w:lang w:val="ro-RO"/>
        </w:rPr>
        <w:t>cercetare</w:t>
      </w:r>
      <w:bookmarkEnd w:id="9"/>
    </w:p>
    <w:p w:rsidR="004B3372" w:rsidRPr="006F679A" w:rsidRDefault="004B3372" w:rsidP="004B3372">
      <w:pPr>
        <w:pStyle w:val="Heading3"/>
        <w:rPr>
          <w:color w:val="0070C0"/>
          <w:lang w:val="ro-RO"/>
        </w:rPr>
      </w:pPr>
      <w:bookmarkStart w:id="10" w:name="_Toc32964805"/>
      <w:r w:rsidRPr="006F679A">
        <w:rPr>
          <w:color w:val="0070C0"/>
          <w:lang w:val="ro-RO"/>
        </w:rPr>
        <w:t>Metodele de cercetare</w:t>
      </w:r>
      <w:bookmarkEnd w:id="10"/>
    </w:p>
    <w:p w:rsidR="004B3372" w:rsidRPr="001C3B31" w:rsidRDefault="004B3372" w:rsidP="004B3372">
      <w:pPr>
        <w:rPr>
          <w:lang w:val="ro-RO"/>
        </w:rPr>
      </w:pPr>
      <w:r w:rsidRPr="001C3B31">
        <w:rPr>
          <w:lang w:val="ro-RO"/>
        </w:rPr>
        <w:t>Pornind de la cadrul metodologic</w:t>
      </w:r>
      <w:r>
        <w:rPr>
          <w:lang w:val="ro-RO"/>
        </w:rPr>
        <w:t>,</w:t>
      </w:r>
      <w:r w:rsidRPr="001C3B31">
        <w:rPr>
          <w:lang w:val="ro-RO"/>
        </w:rPr>
        <w:t xml:space="preserve">  în procesul de colectare a informațiilor pentru realizarea evaluării ex-ante au fost aplicate un șir de Metode de cercetare. Metodele utilizate au fost selectate în așa mod</w:t>
      </w:r>
      <w:r>
        <w:rPr>
          <w:lang w:val="ro-RO"/>
        </w:rPr>
        <w:t>,</w:t>
      </w:r>
      <w:r w:rsidRPr="001C3B31">
        <w:rPr>
          <w:lang w:val="ro-RO"/>
        </w:rPr>
        <w:t xml:space="preserve"> încât să ofere informații atât cantitative</w:t>
      </w:r>
      <w:r>
        <w:rPr>
          <w:lang w:val="ro-RO"/>
        </w:rPr>
        <w:t>,</w:t>
      </w:r>
      <w:r w:rsidRPr="001C3B31">
        <w:rPr>
          <w:lang w:val="ro-RO"/>
        </w:rPr>
        <w:t xml:space="preserve"> cât și calitative, capabile să ofere răspunsuri comprehensive la toate întrebările apărute în procesul de evaluare. </w:t>
      </w:r>
    </w:p>
    <w:p w:rsidR="004B3372" w:rsidRPr="001C3B31" w:rsidRDefault="004B3372" w:rsidP="004B3372">
      <w:pPr>
        <w:pStyle w:val="ListParagraph"/>
        <w:numPr>
          <w:ilvl w:val="0"/>
          <w:numId w:val="5"/>
        </w:numPr>
        <w:rPr>
          <w:color w:val="000000" w:themeColor="text1"/>
          <w:lang w:val="ro-RO"/>
        </w:rPr>
      </w:pPr>
      <w:r w:rsidRPr="001C3B31">
        <w:rPr>
          <w:color w:val="000000" w:themeColor="text1"/>
          <w:lang w:val="ro-RO"/>
        </w:rPr>
        <w:t>Analiza documente</w:t>
      </w:r>
      <w:r>
        <w:rPr>
          <w:color w:val="000000" w:themeColor="text1"/>
          <w:lang w:val="ro-RO"/>
        </w:rPr>
        <w:t>lor</w:t>
      </w:r>
    </w:p>
    <w:p w:rsidR="004B3372" w:rsidRPr="001C3B31" w:rsidRDefault="004B3372" w:rsidP="004B3372">
      <w:pPr>
        <w:pStyle w:val="ToR-NumberedText2"/>
        <w:numPr>
          <w:ilvl w:val="0"/>
          <w:numId w:val="0"/>
        </w:numPr>
        <w:spacing w:before="0" w:after="120"/>
        <w:rPr>
          <w:rFonts w:ascii="Calibri" w:hAnsi="Calibri" w:cstheme="minorHAnsi"/>
          <w:sz w:val="22"/>
          <w:szCs w:val="22"/>
          <w:lang w:val="ro-RO"/>
        </w:rPr>
      </w:pPr>
      <w:r w:rsidRPr="001C3B31">
        <w:rPr>
          <w:rFonts w:ascii="Calibri" w:hAnsi="Calibri" w:cstheme="minorHAnsi"/>
          <w:sz w:val="22"/>
          <w:szCs w:val="22"/>
          <w:lang w:val="ro-RO"/>
        </w:rPr>
        <w:t>Au fost  analizate un șir de acte normative relevante domeniului evaluării și</w:t>
      </w:r>
      <w:r>
        <w:rPr>
          <w:rFonts w:ascii="Calibri" w:hAnsi="Calibri" w:cstheme="minorHAnsi"/>
          <w:sz w:val="22"/>
          <w:szCs w:val="22"/>
          <w:lang w:val="ro-RO"/>
        </w:rPr>
        <w:t>,</w:t>
      </w:r>
      <w:r w:rsidRPr="001C3B31">
        <w:rPr>
          <w:rFonts w:ascii="Calibri" w:hAnsi="Calibri" w:cstheme="minorHAnsi"/>
          <w:sz w:val="22"/>
          <w:szCs w:val="22"/>
          <w:lang w:val="ro-RO"/>
        </w:rPr>
        <w:t xml:space="preserve"> în special</w:t>
      </w:r>
      <w:r>
        <w:rPr>
          <w:rFonts w:ascii="Calibri" w:hAnsi="Calibri" w:cstheme="minorHAnsi"/>
          <w:sz w:val="22"/>
          <w:szCs w:val="22"/>
          <w:lang w:val="ro-RO"/>
        </w:rPr>
        <w:t>,</w:t>
      </w:r>
      <w:r w:rsidRPr="001C3B31">
        <w:rPr>
          <w:rFonts w:ascii="Calibri" w:hAnsi="Calibri" w:cstheme="minorHAnsi"/>
          <w:sz w:val="22"/>
          <w:szCs w:val="22"/>
          <w:lang w:val="ro-RO"/>
        </w:rPr>
        <w:t xml:space="preserve"> întreg cadrul normativ strategic relevant domeniului agriculturii și dezvoltării rurale. Suplimentar, având în vedere specificul juridic legat de activitatea Grupurilor de Acțiune Locală, urmează să fie analizat cadr</w:t>
      </w:r>
      <w:r>
        <w:rPr>
          <w:rFonts w:ascii="Calibri" w:hAnsi="Calibri" w:cstheme="minorHAnsi"/>
          <w:sz w:val="22"/>
          <w:szCs w:val="22"/>
          <w:lang w:val="ro-RO"/>
        </w:rPr>
        <w:t>ul juridic privind activitatea a</w:t>
      </w:r>
      <w:r w:rsidRPr="001C3B31">
        <w:rPr>
          <w:rFonts w:ascii="Calibri" w:hAnsi="Calibri" w:cstheme="minorHAnsi"/>
          <w:sz w:val="22"/>
          <w:szCs w:val="22"/>
          <w:lang w:val="ro-RO"/>
        </w:rPr>
        <w:t xml:space="preserve">sociațiilor </w:t>
      </w:r>
      <w:r>
        <w:rPr>
          <w:rFonts w:ascii="Calibri" w:hAnsi="Calibri" w:cstheme="minorHAnsi"/>
          <w:sz w:val="22"/>
          <w:szCs w:val="22"/>
          <w:lang w:val="ro-RO"/>
        </w:rPr>
        <w:t>n</w:t>
      </w:r>
      <w:r w:rsidRPr="001C3B31">
        <w:rPr>
          <w:rFonts w:ascii="Calibri" w:hAnsi="Calibri" w:cstheme="minorHAnsi"/>
          <w:sz w:val="22"/>
          <w:szCs w:val="22"/>
          <w:lang w:val="ro-RO"/>
        </w:rPr>
        <w:t>ecomerciale</w:t>
      </w:r>
      <w:r>
        <w:rPr>
          <w:rFonts w:ascii="Calibri" w:hAnsi="Calibri" w:cstheme="minorHAnsi"/>
          <w:sz w:val="22"/>
          <w:szCs w:val="22"/>
          <w:lang w:val="ro-RO"/>
        </w:rPr>
        <w:t xml:space="preserve"> și a autorităților publice l</w:t>
      </w:r>
      <w:r w:rsidRPr="001C3B31">
        <w:rPr>
          <w:rFonts w:ascii="Calibri" w:hAnsi="Calibri" w:cstheme="minorHAnsi"/>
          <w:sz w:val="22"/>
          <w:szCs w:val="22"/>
          <w:lang w:val="ro-RO"/>
        </w:rPr>
        <w:t xml:space="preserve">ocale. </w:t>
      </w:r>
    </w:p>
    <w:p w:rsidR="004B3372" w:rsidRPr="001C3B31" w:rsidRDefault="004B3372" w:rsidP="004B3372">
      <w:pPr>
        <w:pStyle w:val="Caption"/>
        <w:framePr w:wrap="around"/>
        <w:spacing w:before="120"/>
        <w:rPr>
          <w:lang w:val="ro-RO"/>
        </w:rPr>
      </w:pPr>
      <w:r w:rsidRPr="001C3B31">
        <w:rPr>
          <w:lang w:val="ro-RO"/>
        </w:rPr>
        <w:t>Tabelul 1: Lista documentelor analizate</w:t>
      </w:r>
    </w:p>
    <w:tbl>
      <w:tblPr>
        <w:tblStyle w:val="Civittatable"/>
        <w:tblW w:w="0" w:type="auto"/>
        <w:tblLook w:val="04A0" w:firstRow="1" w:lastRow="0" w:firstColumn="1" w:lastColumn="0" w:noHBand="0" w:noVBand="1"/>
      </w:tblPr>
      <w:tblGrid>
        <w:gridCol w:w="701"/>
        <w:gridCol w:w="6127"/>
        <w:gridCol w:w="2494"/>
      </w:tblGrid>
      <w:tr w:rsidR="004B3372" w:rsidRPr="001C3B31" w:rsidTr="00B50045">
        <w:trPr>
          <w:cnfStyle w:val="100000000000" w:firstRow="1" w:lastRow="0" w:firstColumn="0" w:lastColumn="0" w:oddVBand="0" w:evenVBand="0" w:oddHBand="0" w:evenHBand="0" w:firstRowFirstColumn="0" w:firstRowLastColumn="0" w:lastRowFirstColumn="0" w:lastRowLastColumn="0"/>
          <w:tblHeader w:val="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N/o</w:t>
            </w:r>
          </w:p>
        </w:tc>
        <w:tc>
          <w:tcPr>
            <w:tcW w:w="6127"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Denumirea Documentului</w:t>
            </w:r>
          </w:p>
        </w:tc>
        <w:tc>
          <w:tcPr>
            <w:tcW w:w="2494"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Instituția responsabilă</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1</w:t>
            </w:r>
          </w:p>
        </w:tc>
        <w:tc>
          <w:tcPr>
            <w:tcW w:w="6127"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 xml:space="preserve">Strategia Națională de Dezvoltare Agricolă și Rurală 2014-2020 </w:t>
            </w:r>
          </w:p>
        </w:tc>
        <w:tc>
          <w:tcPr>
            <w:tcW w:w="2494"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MADRM</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2</w:t>
            </w:r>
          </w:p>
        </w:tc>
        <w:tc>
          <w:tcPr>
            <w:tcW w:w="6127"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Legea bugetului de stat pentru anii 2016-2019</w:t>
            </w:r>
          </w:p>
        </w:tc>
        <w:tc>
          <w:tcPr>
            <w:tcW w:w="2494"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MF</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3</w:t>
            </w:r>
          </w:p>
        </w:tc>
        <w:tc>
          <w:tcPr>
            <w:tcW w:w="6127"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Regulamentul Fondului Ecologic Național</w:t>
            </w:r>
          </w:p>
        </w:tc>
        <w:tc>
          <w:tcPr>
            <w:tcW w:w="2494"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MADRM</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4</w:t>
            </w:r>
          </w:p>
        </w:tc>
        <w:tc>
          <w:tcPr>
            <w:tcW w:w="6127"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 xml:space="preserve">HG </w:t>
            </w:r>
            <w:r>
              <w:rPr>
                <w:rFonts w:ascii="Calibri" w:hAnsi="Calibri" w:cstheme="minorHAnsi"/>
                <w:szCs w:val="20"/>
                <w:lang w:val="ro-RO"/>
              </w:rPr>
              <w:t xml:space="preserve">nr. </w:t>
            </w:r>
            <w:r w:rsidRPr="001C3B31">
              <w:rPr>
                <w:rFonts w:ascii="Calibri" w:hAnsi="Calibri" w:cstheme="minorHAnsi"/>
                <w:szCs w:val="20"/>
                <w:lang w:val="ro-RO"/>
              </w:rPr>
              <w:t>973/2018 cu privire la aprobarea Programului „START pentru TINERI: o afacere durabilă la tine acasă”</w:t>
            </w:r>
          </w:p>
        </w:tc>
        <w:tc>
          <w:tcPr>
            <w:tcW w:w="2494"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MEI</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5</w:t>
            </w:r>
          </w:p>
        </w:tc>
        <w:tc>
          <w:tcPr>
            <w:tcW w:w="6127" w:type="dxa"/>
          </w:tcPr>
          <w:p w:rsidR="004B3372" w:rsidRPr="00B34546" w:rsidRDefault="004B3372" w:rsidP="00B50045">
            <w:pPr>
              <w:pStyle w:val="ToR-NumberedText2"/>
              <w:numPr>
                <w:ilvl w:val="0"/>
                <w:numId w:val="0"/>
              </w:numPr>
              <w:rPr>
                <w:rFonts w:ascii="Calibri" w:hAnsi="Calibri" w:cstheme="minorHAnsi"/>
                <w:szCs w:val="20"/>
                <w:lang w:val="ro-RO"/>
              </w:rPr>
            </w:pPr>
            <w:r w:rsidRPr="00B34546">
              <w:rPr>
                <w:rFonts w:ascii="Calibri" w:hAnsi="Calibri" w:cstheme="minorHAnsi"/>
                <w:szCs w:val="20"/>
                <w:lang w:val="ro-RO"/>
              </w:rPr>
              <w:t xml:space="preserve">Legea privind administrația publică locală nr.436/2006 </w:t>
            </w:r>
          </w:p>
        </w:tc>
        <w:tc>
          <w:tcPr>
            <w:tcW w:w="2494" w:type="dxa"/>
          </w:tcPr>
          <w:p w:rsidR="004B3372" w:rsidRPr="00B34546" w:rsidRDefault="004B3372" w:rsidP="00B50045">
            <w:pPr>
              <w:pStyle w:val="ToR-NumberedText2"/>
              <w:numPr>
                <w:ilvl w:val="0"/>
                <w:numId w:val="0"/>
              </w:numPr>
              <w:rPr>
                <w:rFonts w:ascii="Calibri" w:hAnsi="Calibri" w:cstheme="minorHAnsi"/>
                <w:szCs w:val="20"/>
                <w:lang w:val="ro-RO"/>
              </w:rPr>
            </w:pPr>
            <w:r w:rsidRPr="00B34546">
              <w:rPr>
                <w:rFonts w:ascii="Calibri" w:hAnsi="Calibri" w:cstheme="minorHAnsi"/>
                <w:szCs w:val="20"/>
                <w:lang w:val="ro-RO"/>
              </w:rPr>
              <w:t>MJ</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6</w:t>
            </w:r>
          </w:p>
        </w:tc>
        <w:tc>
          <w:tcPr>
            <w:tcW w:w="6127" w:type="dxa"/>
          </w:tcPr>
          <w:p w:rsidR="004B3372" w:rsidRPr="00B34546" w:rsidRDefault="004B3372" w:rsidP="00B50045">
            <w:pPr>
              <w:pStyle w:val="ToR-NumberedText2"/>
              <w:numPr>
                <w:ilvl w:val="0"/>
                <w:numId w:val="0"/>
              </w:numPr>
              <w:rPr>
                <w:rFonts w:ascii="Calibri" w:hAnsi="Calibri" w:cstheme="minorHAnsi"/>
                <w:szCs w:val="20"/>
                <w:lang w:val="ro-RO"/>
              </w:rPr>
            </w:pPr>
            <w:r w:rsidRPr="00B34546">
              <w:rPr>
                <w:rFonts w:ascii="Calibri" w:hAnsi="Calibri" w:cstheme="minorHAnsi"/>
                <w:szCs w:val="20"/>
                <w:lang w:val="ro-RO"/>
              </w:rPr>
              <w:t>Lega cu privire la asociațiile obștești nr. 837/1996</w:t>
            </w:r>
          </w:p>
        </w:tc>
        <w:tc>
          <w:tcPr>
            <w:tcW w:w="2494" w:type="dxa"/>
          </w:tcPr>
          <w:p w:rsidR="004B3372" w:rsidRPr="00B34546" w:rsidRDefault="004B3372" w:rsidP="00B50045">
            <w:pPr>
              <w:pStyle w:val="ToR-NumberedText2"/>
              <w:numPr>
                <w:ilvl w:val="0"/>
                <w:numId w:val="0"/>
              </w:numPr>
              <w:rPr>
                <w:rFonts w:ascii="Calibri" w:hAnsi="Calibri" w:cstheme="minorHAnsi"/>
                <w:szCs w:val="20"/>
                <w:lang w:val="ro-RO"/>
              </w:rPr>
            </w:pPr>
            <w:r w:rsidRPr="00B34546">
              <w:rPr>
                <w:rFonts w:ascii="Calibri" w:hAnsi="Calibri" w:cstheme="minorHAnsi"/>
                <w:szCs w:val="20"/>
                <w:lang w:val="ro-RO"/>
              </w:rPr>
              <w:t>MJ</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7</w:t>
            </w:r>
          </w:p>
        </w:tc>
        <w:tc>
          <w:tcPr>
            <w:tcW w:w="6127" w:type="dxa"/>
          </w:tcPr>
          <w:p w:rsidR="004B3372" w:rsidRPr="00B34546" w:rsidRDefault="004B3372" w:rsidP="00B50045">
            <w:pPr>
              <w:pStyle w:val="ToR-NumberedText2"/>
              <w:numPr>
                <w:ilvl w:val="0"/>
                <w:numId w:val="0"/>
              </w:numPr>
              <w:ind w:left="340" w:hanging="340"/>
              <w:rPr>
                <w:rFonts w:ascii="Calibri" w:hAnsi="Calibri" w:cstheme="minorHAnsi"/>
                <w:szCs w:val="20"/>
                <w:lang w:val="ro-RO"/>
              </w:rPr>
            </w:pPr>
            <w:r w:rsidRPr="00B34546">
              <w:rPr>
                <w:rFonts w:ascii="Calibri" w:hAnsi="Calibri" w:cstheme="minorHAnsi"/>
                <w:szCs w:val="20"/>
                <w:lang w:val="ro-RO"/>
              </w:rPr>
              <w:t>Proiectul legii cu privire la organizațiile necomerciale</w:t>
            </w:r>
          </w:p>
        </w:tc>
        <w:tc>
          <w:tcPr>
            <w:tcW w:w="2494" w:type="dxa"/>
          </w:tcPr>
          <w:p w:rsidR="004B3372" w:rsidRPr="00B34546" w:rsidRDefault="004B3372" w:rsidP="00B50045">
            <w:pPr>
              <w:pStyle w:val="ToR-NumberedText2"/>
              <w:numPr>
                <w:ilvl w:val="0"/>
                <w:numId w:val="0"/>
              </w:numPr>
              <w:rPr>
                <w:rFonts w:ascii="Calibri" w:hAnsi="Calibri" w:cstheme="minorHAnsi"/>
                <w:szCs w:val="20"/>
                <w:lang w:val="ro-RO"/>
              </w:rPr>
            </w:pPr>
            <w:r w:rsidRPr="00B34546">
              <w:rPr>
                <w:rFonts w:ascii="Calibri" w:hAnsi="Calibri" w:cstheme="minorHAnsi"/>
                <w:szCs w:val="20"/>
                <w:lang w:val="ro-RO"/>
              </w:rPr>
              <w:t>MJ</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8</w:t>
            </w:r>
          </w:p>
        </w:tc>
        <w:tc>
          <w:tcPr>
            <w:tcW w:w="6127" w:type="dxa"/>
          </w:tcPr>
          <w:p w:rsidR="004B3372" w:rsidRPr="00B34546" w:rsidRDefault="004B3372" w:rsidP="00B50045">
            <w:pPr>
              <w:pStyle w:val="ToR-NumberedText2"/>
              <w:numPr>
                <w:ilvl w:val="0"/>
                <w:numId w:val="0"/>
              </w:numPr>
              <w:ind w:left="340" w:hanging="340"/>
              <w:rPr>
                <w:rFonts w:ascii="Calibri" w:hAnsi="Calibri" w:cstheme="minorHAnsi"/>
                <w:szCs w:val="20"/>
                <w:lang w:val="ro-RO"/>
              </w:rPr>
            </w:pPr>
            <w:r w:rsidRPr="00B34546">
              <w:rPr>
                <w:rFonts w:ascii="Calibri" w:hAnsi="Calibri" w:cstheme="minorHAnsi"/>
                <w:szCs w:val="20"/>
                <w:lang w:val="ro-RO"/>
              </w:rPr>
              <w:t>Rapoartele de activitate ale Grupurilor de Acțiune Locală existente</w:t>
            </w:r>
          </w:p>
        </w:tc>
        <w:tc>
          <w:tcPr>
            <w:tcW w:w="2494" w:type="dxa"/>
          </w:tcPr>
          <w:p w:rsidR="004B3372" w:rsidRPr="00B34546" w:rsidRDefault="004B3372" w:rsidP="00B50045">
            <w:pPr>
              <w:pStyle w:val="ToR-NumberedText2"/>
              <w:numPr>
                <w:ilvl w:val="0"/>
                <w:numId w:val="0"/>
              </w:numPr>
              <w:rPr>
                <w:rFonts w:ascii="Calibri" w:hAnsi="Calibri" w:cstheme="minorHAnsi"/>
                <w:strike/>
                <w:szCs w:val="20"/>
                <w:lang w:val="ro-RO"/>
              </w:rPr>
            </w:pPr>
            <w:r w:rsidRPr="00B34546">
              <w:rPr>
                <w:rFonts w:ascii="Calibri" w:hAnsi="Calibri" w:cstheme="minorHAnsi"/>
                <w:szCs w:val="20"/>
                <w:lang w:val="ro-RO"/>
              </w:rPr>
              <w:t>RN LEADER</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701" w:type="dxa"/>
          </w:tcPr>
          <w:p w:rsidR="004B3372" w:rsidRPr="001C3B31" w:rsidRDefault="004B3372" w:rsidP="00B50045">
            <w:pPr>
              <w:pStyle w:val="ToR-NumberedText2"/>
              <w:numPr>
                <w:ilvl w:val="0"/>
                <w:numId w:val="0"/>
              </w:numPr>
              <w:rPr>
                <w:rFonts w:ascii="Calibri" w:hAnsi="Calibri" w:cstheme="minorHAnsi"/>
                <w:szCs w:val="20"/>
                <w:lang w:val="ro-RO"/>
              </w:rPr>
            </w:pPr>
            <w:r w:rsidRPr="001C3B31">
              <w:rPr>
                <w:rFonts w:ascii="Calibri" w:hAnsi="Calibri" w:cstheme="minorHAnsi"/>
                <w:szCs w:val="20"/>
                <w:lang w:val="ro-RO"/>
              </w:rPr>
              <w:t>9</w:t>
            </w:r>
          </w:p>
        </w:tc>
        <w:tc>
          <w:tcPr>
            <w:tcW w:w="6127" w:type="dxa"/>
          </w:tcPr>
          <w:p w:rsidR="004B3372" w:rsidRPr="00B34546" w:rsidRDefault="004B3372" w:rsidP="00B50045">
            <w:pPr>
              <w:pStyle w:val="ToR-NumberedText2"/>
              <w:numPr>
                <w:ilvl w:val="0"/>
                <w:numId w:val="0"/>
              </w:numPr>
              <w:ind w:left="340" w:hanging="340"/>
              <w:rPr>
                <w:rFonts w:ascii="Calibri" w:hAnsi="Calibri" w:cstheme="minorHAnsi"/>
                <w:szCs w:val="20"/>
                <w:lang w:val="ro-RO"/>
              </w:rPr>
            </w:pPr>
            <w:r w:rsidRPr="00B34546">
              <w:rPr>
                <w:rFonts w:ascii="Calibri" w:hAnsi="Calibri" w:cstheme="minorHAnsi"/>
                <w:szCs w:val="20"/>
                <w:lang w:val="ro-RO"/>
              </w:rPr>
              <w:t>Cadrul UE privind programul LEADER</w:t>
            </w:r>
            <w:r w:rsidRPr="00B34546">
              <w:rPr>
                <w:rStyle w:val="FootnoteReference"/>
                <w:rFonts w:ascii="Calibri" w:eastAsia="SimSun" w:hAnsi="Calibri" w:cstheme="minorHAnsi"/>
                <w:szCs w:val="20"/>
                <w:lang w:val="ro-RO"/>
              </w:rPr>
              <w:footnoteReference w:id="3"/>
            </w:r>
          </w:p>
        </w:tc>
        <w:tc>
          <w:tcPr>
            <w:tcW w:w="2494" w:type="dxa"/>
          </w:tcPr>
          <w:p w:rsidR="004B3372" w:rsidRPr="00B34546" w:rsidRDefault="004B3372" w:rsidP="00B50045">
            <w:pPr>
              <w:pStyle w:val="ToR-NumberedText2"/>
              <w:numPr>
                <w:ilvl w:val="0"/>
                <w:numId w:val="0"/>
              </w:numPr>
              <w:rPr>
                <w:rFonts w:ascii="Calibri" w:hAnsi="Calibri" w:cstheme="minorHAnsi"/>
                <w:szCs w:val="20"/>
                <w:lang w:val="ro-RO"/>
              </w:rPr>
            </w:pPr>
            <w:r w:rsidRPr="00B34546">
              <w:rPr>
                <w:rFonts w:ascii="Calibri" w:hAnsi="Calibri" w:cstheme="minorHAnsi"/>
                <w:szCs w:val="20"/>
                <w:lang w:val="ro-RO"/>
              </w:rPr>
              <w:t>CE</w:t>
            </w:r>
          </w:p>
        </w:tc>
      </w:tr>
    </w:tbl>
    <w:p w:rsidR="004B3372" w:rsidRPr="001C3B31" w:rsidRDefault="004B3372" w:rsidP="004B3372">
      <w:pPr>
        <w:pStyle w:val="ToR-NumberedText2"/>
        <w:numPr>
          <w:ilvl w:val="0"/>
          <w:numId w:val="7"/>
        </w:numPr>
        <w:spacing w:before="0" w:after="120"/>
        <w:ind w:left="714" w:hanging="357"/>
        <w:rPr>
          <w:rFonts w:ascii="Calibri" w:hAnsi="Calibri" w:cstheme="minorHAnsi"/>
          <w:color w:val="000000" w:themeColor="text1"/>
          <w:sz w:val="22"/>
          <w:szCs w:val="22"/>
          <w:lang w:val="ro-RO"/>
        </w:rPr>
      </w:pPr>
      <w:r w:rsidRPr="001C3B31">
        <w:rPr>
          <w:rFonts w:ascii="Calibri" w:hAnsi="Calibri" w:cstheme="minorHAnsi"/>
          <w:color w:val="000000" w:themeColor="text1"/>
          <w:sz w:val="22"/>
          <w:szCs w:val="22"/>
          <w:lang w:val="ro-RO"/>
        </w:rPr>
        <w:t xml:space="preserve">Chestionar </w:t>
      </w:r>
    </w:p>
    <w:p w:rsidR="004B3372" w:rsidRPr="001C3B31" w:rsidRDefault="004B3372" w:rsidP="004B3372">
      <w:pPr>
        <w:pStyle w:val="NSRF-BulletedText2"/>
        <w:rPr>
          <w:lang w:val="ro-RO"/>
        </w:rPr>
      </w:pPr>
      <w:r w:rsidRPr="001C3B31">
        <w:rPr>
          <w:lang w:val="ro-RO"/>
        </w:rPr>
        <w:t>Pentru implementarea procesului de evaluare a fost elaborat și aplicat un chestionar</w:t>
      </w:r>
      <w:r>
        <w:rPr>
          <w:lang w:val="ro-RO"/>
        </w:rPr>
        <w:t xml:space="preserve"> </w:t>
      </w:r>
      <w:r w:rsidRPr="00B34546">
        <w:rPr>
          <w:lang w:val="ro-RO"/>
        </w:rPr>
        <w:t>scurt</w:t>
      </w:r>
      <w:r w:rsidRPr="001C3B31">
        <w:rPr>
          <w:lang w:val="ro-RO"/>
        </w:rPr>
        <w:t xml:space="preserve"> pe un eșantion format din cca 40 reprezentanți ai Grupurilor de Acțiune Locală . Chestionarul include întrebări privind relevanța PPP-ului pentru soluționarea problemelor la nivel local, forma juridică organizatorică optimă pentru Grupurile de Acțiune Locală, </w:t>
      </w:r>
      <w:r w:rsidRPr="00B34546">
        <w:rPr>
          <w:lang w:val="ro-RO"/>
        </w:rPr>
        <w:t xml:space="preserve">impedimentele </w:t>
      </w:r>
      <w:r>
        <w:rPr>
          <w:lang w:val="ro-RO"/>
        </w:rPr>
        <w:t>capacității</w:t>
      </w:r>
      <w:r w:rsidRPr="00B34546">
        <w:rPr>
          <w:lang w:val="ro-RO"/>
        </w:rPr>
        <w:t xml:space="preserve"> administrativ</w:t>
      </w:r>
      <w:r>
        <w:rPr>
          <w:lang w:val="ro-RO"/>
        </w:rPr>
        <w:t>e</w:t>
      </w:r>
      <w:r w:rsidRPr="00B34546">
        <w:rPr>
          <w:lang w:val="ro-RO"/>
        </w:rPr>
        <w:t xml:space="preserve"> și financiar</w:t>
      </w:r>
      <w:r>
        <w:rPr>
          <w:lang w:val="ro-RO"/>
        </w:rPr>
        <w:t xml:space="preserve">e </w:t>
      </w:r>
      <w:r w:rsidRPr="001C3B31">
        <w:rPr>
          <w:lang w:val="ro-RO"/>
        </w:rPr>
        <w:t xml:space="preserve">a </w:t>
      </w:r>
      <w:r>
        <w:rPr>
          <w:lang w:val="ro-RO"/>
        </w:rPr>
        <w:t>autorităților publice l</w:t>
      </w:r>
      <w:r w:rsidRPr="001C3B31">
        <w:rPr>
          <w:lang w:val="ro-RO"/>
        </w:rPr>
        <w:t>ocale de nivelul I de a beneficia de PPP, importanța GAL-urilor pentru dezvoltarea comunitară, precum și alte aspecte ce țin de implementarea PPP-ului.</w:t>
      </w:r>
    </w:p>
    <w:p w:rsidR="004B3372" w:rsidRPr="001C3B31" w:rsidRDefault="004B3372" w:rsidP="004B3372">
      <w:pPr>
        <w:pStyle w:val="NSRF-BulletedText2"/>
        <w:numPr>
          <w:ilvl w:val="0"/>
          <w:numId w:val="7"/>
        </w:numPr>
        <w:rPr>
          <w:lang w:val="ro-RO"/>
        </w:rPr>
      </w:pPr>
      <w:r w:rsidRPr="001C3B31">
        <w:rPr>
          <w:lang w:val="ro-RO"/>
        </w:rPr>
        <w:t>Interviuri</w:t>
      </w:r>
    </w:p>
    <w:p w:rsidR="004B3372" w:rsidRPr="001C3B31" w:rsidRDefault="004B3372" w:rsidP="004B3372">
      <w:pPr>
        <w:rPr>
          <w:lang w:val="ro-RO"/>
        </w:rPr>
      </w:pPr>
      <w:r w:rsidRPr="001C3B31">
        <w:rPr>
          <w:lang w:val="ro-RO"/>
        </w:rPr>
        <w:t xml:space="preserve">Aplicarea instrumentului </w:t>
      </w:r>
      <w:r>
        <w:rPr>
          <w:lang w:val="ro-RO"/>
        </w:rPr>
        <w:t xml:space="preserve">privind </w:t>
      </w:r>
      <w:r w:rsidRPr="001C3B31">
        <w:rPr>
          <w:lang w:val="ro-RO"/>
        </w:rPr>
        <w:t>realizarea interviuri</w:t>
      </w:r>
      <w:r>
        <w:rPr>
          <w:lang w:val="ro-RO"/>
        </w:rPr>
        <w:t>lor</w:t>
      </w:r>
      <w:r w:rsidRPr="001C3B31">
        <w:rPr>
          <w:lang w:val="ro-RO"/>
        </w:rPr>
        <w:t xml:space="preserve"> </w:t>
      </w:r>
      <w:r>
        <w:rPr>
          <w:lang w:val="ro-RO"/>
        </w:rPr>
        <w:t>semi</w:t>
      </w:r>
      <w:r w:rsidRPr="001C3B31">
        <w:rPr>
          <w:lang w:val="ro-RO"/>
        </w:rPr>
        <w:t>structurate și discuții cu reprezentanții părților interesate în implementarea PPP-ului, printre reprezentanții GAL-urilor, Ministerului Agriculturii</w:t>
      </w:r>
      <w:r>
        <w:rPr>
          <w:lang w:val="ro-RO"/>
        </w:rPr>
        <w:t>,</w:t>
      </w:r>
      <w:r w:rsidRPr="001C3B31">
        <w:rPr>
          <w:lang w:val="ro-RO"/>
        </w:rPr>
        <w:t xml:space="preserve"> Dezvoltării Regionale și Mediului, </w:t>
      </w:r>
      <w:r>
        <w:rPr>
          <w:lang w:val="ro-RO"/>
        </w:rPr>
        <w:t xml:space="preserve"> </w:t>
      </w:r>
      <w:r w:rsidRPr="001C3B31">
        <w:rPr>
          <w:lang w:val="ro-RO"/>
        </w:rPr>
        <w:t xml:space="preserve">Solidarity Fund PL in Moldova. </w:t>
      </w:r>
    </w:p>
    <w:p w:rsidR="004B3372" w:rsidRPr="001C3B31" w:rsidRDefault="004B3372" w:rsidP="004B3372">
      <w:pPr>
        <w:rPr>
          <w:lang w:val="ro-RO"/>
        </w:rPr>
      </w:pPr>
      <w:r w:rsidRPr="001C3B31">
        <w:rPr>
          <w:lang w:val="ro-RO"/>
        </w:rPr>
        <w:t xml:space="preserve">În cadrul discuțiilor au fost  abordate subiecte ce țin de intervențiile prevăzute de PPP, relevanța acestora atât în contextul cadrului strategic actual, cât și în contextul soluționării principalelor probleme identificate de către SNDAR 2014-2020, forma organizatorică optimă a GAL-urilor, capacitatea administrativă și financiară a APL-urilor </w:t>
      </w:r>
      <w:r>
        <w:rPr>
          <w:lang w:val="ro-RO"/>
        </w:rPr>
        <w:t xml:space="preserve">pentru </w:t>
      </w:r>
      <w:r w:rsidRPr="001C3B31">
        <w:rPr>
          <w:lang w:val="ro-RO"/>
        </w:rPr>
        <w:t xml:space="preserve">a participa în cadrul GAL-urilor. </w:t>
      </w:r>
    </w:p>
    <w:p w:rsidR="004B3372" w:rsidRPr="001C3B31" w:rsidRDefault="004B3372" w:rsidP="004B3372">
      <w:pPr>
        <w:pStyle w:val="ListParagraph"/>
        <w:numPr>
          <w:ilvl w:val="0"/>
          <w:numId w:val="8"/>
        </w:numPr>
        <w:rPr>
          <w:color w:val="000000" w:themeColor="text1"/>
          <w:lang w:val="ro-RO"/>
        </w:rPr>
      </w:pPr>
      <w:r w:rsidRPr="001C3B31">
        <w:rPr>
          <w:color w:val="000000" w:themeColor="text1"/>
          <w:lang w:val="ro-RO"/>
        </w:rPr>
        <w:t>Analiza multicriterială</w:t>
      </w:r>
    </w:p>
    <w:p w:rsidR="004B3372" w:rsidRPr="001C3B31" w:rsidRDefault="004B3372" w:rsidP="004B3372">
      <w:pPr>
        <w:rPr>
          <w:color w:val="000000" w:themeColor="text1"/>
          <w:lang w:val="ro-RO"/>
        </w:rPr>
      </w:pPr>
      <w:r w:rsidRPr="001C3B31">
        <w:rPr>
          <w:color w:val="000000" w:themeColor="text1"/>
          <w:lang w:val="ro-RO"/>
        </w:rPr>
        <w:lastRenderedPageBreak/>
        <w:t xml:space="preserve">Analiza multicriterială reprezintă o abordare structurată, utilizată în vederea determinării preferințelor generale dintre mai multe opțiuni alternative, care conduc la îndeplinirea unui număr de criterii. În cadrul acestei metode sunt specificate un șir de criterii urmărite și sunt identificate atributele sau indicatorii corespunzători fiecărui criteriu în parte. </w:t>
      </w:r>
    </w:p>
    <w:p w:rsidR="004B3372" w:rsidRPr="001C3B31" w:rsidRDefault="004B3372" w:rsidP="004B3372">
      <w:pPr>
        <w:rPr>
          <w:color w:val="000000" w:themeColor="text1"/>
          <w:lang w:val="ro-RO"/>
        </w:rPr>
      </w:pPr>
      <w:r w:rsidRPr="001C3B31">
        <w:rPr>
          <w:color w:val="000000" w:themeColor="text1"/>
          <w:lang w:val="ro-RO"/>
        </w:rPr>
        <w:t>În cazul prezentei evaluări ex-ante,  analiza multicriterială se referă exclusiv la evaluarea impactului juridic și în special la evaluarea măsurii în care optarea pentru anumite forme de organizare a Grupurilor de Acțiune Locală</w:t>
      </w:r>
      <w:r>
        <w:rPr>
          <w:color w:val="000000" w:themeColor="text1"/>
          <w:lang w:val="ro-RO"/>
        </w:rPr>
        <w:t>,</w:t>
      </w:r>
      <w:r w:rsidRPr="001C3B31">
        <w:rPr>
          <w:color w:val="000000" w:themeColor="text1"/>
          <w:lang w:val="ro-RO"/>
        </w:rPr>
        <w:t xml:space="preserve"> în condițiile implementării PPP-ului</w:t>
      </w:r>
      <w:r>
        <w:rPr>
          <w:color w:val="000000" w:themeColor="text1"/>
          <w:lang w:val="ro-RO"/>
        </w:rPr>
        <w:t>,</w:t>
      </w:r>
      <w:r w:rsidRPr="001C3B31">
        <w:rPr>
          <w:color w:val="000000" w:themeColor="text1"/>
          <w:lang w:val="ro-RO"/>
        </w:rPr>
        <w:t xml:space="preserve"> vor avea impact de ordin administrativ, fiscal, social și economic, iar atributele în baza cărora aceste criterii au fost evaluate au reprezentat pentru:</w:t>
      </w:r>
    </w:p>
    <w:p w:rsidR="004B3372" w:rsidRPr="001C3B31" w:rsidRDefault="004B3372" w:rsidP="004B3372">
      <w:pPr>
        <w:pStyle w:val="ListParagraph"/>
        <w:numPr>
          <w:ilvl w:val="0"/>
          <w:numId w:val="9"/>
        </w:numPr>
        <w:ind w:left="709" w:hanging="371"/>
        <w:rPr>
          <w:color w:val="000000" w:themeColor="text1"/>
          <w:lang w:val="ro-RO"/>
        </w:rPr>
      </w:pPr>
      <w:r w:rsidRPr="001C3B31">
        <w:rPr>
          <w:color w:val="000000" w:themeColor="text1"/>
          <w:lang w:val="ro-RO"/>
        </w:rPr>
        <w:t>Impactul Fiscal – valoarea costului adițional la bugetul actual</w:t>
      </w:r>
      <w:r>
        <w:rPr>
          <w:color w:val="000000" w:themeColor="text1"/>
          <w:lang w:val="ro-RO"/>
        </w:rPr>
        <w:t>;</w:t>
      </w:r>
    </w:p>
    <w:p w:rsidR="004B3372" w:rsidRPr="00B34546" w:rsidRDefault="004B3372" w:rsidP="004B3372">
      <w:pPr>
        <w:pStyle w:val="ListParagraph"/>
        <w:numPr>
          <w:ilvl w:val="0"/>
          <w:numId w:val="9"/>
        </w:numPr>
        <w:ind w:left="709" w:hanging="371"/>
        <w:rPr>
          <w:color w:val="auto"/>
          <w:lang w:val="ro-RO"/>
        </w:rPr>
      </w:pPr>
      <w:r w:rsidRPr="00B34546">
        <w:rPr>
          <w:color w:val="auto"/>
          <w:lang w:val="ro-RO"/>
        </w:rPr>
        <w:t>Impactul Administrativ – structura și complexitatea efortului administrativ suplimentar depus comparativ cu situația la moment;</w:t>
      </w:r>
    </w:p>
    <w:p w:rsidR="004B3372" w:rsidRPr="00B34546" w:rsidRDefault="004B3372" w:rsidP="004B3372">
      <w:pPr>
        <w:pStyle w:val="ListParagraph"/>
        <w:numPr>
          <w:ilvl w:val="0"/>
          <w:numId w:val="9"/>
        </w:numPr>
        <w:ind w:left="709" w:hanging="371"/>
        <w:rPr>
          <w:color w:val="auto"/>
          <w:lang w:val="ro-RO"/>
        </w:rPr>
      </w:pPr>
      <w:r w:rsidRPr="00B34546">
        <w:rPr>
          <w:color w:val="auto"/>
          <w:lang w:val="ro-RO"/>
        </w:rPr>
        <w:t>Impactul social – analiza compensatorie a beneficiilor sociale și efectelor negative asupra dezvoltării sociale</w:t>
      </w:r>
    </w:p>
    <w:p w:rsidR="004B3372" w:rsidRPr="001C3B31" w:rsidRDefault="004B3372" w:rsidP="004B3372">
      <w:pPr>
        <w:pStyle w:val="ListParagraph"/>
        <w:numPr>
          <w:ilvl w:val="0"/>
          <w:numId w:val="9"/>
        </w:numPr>
        <w:ind w:left="709" w:hanging="371"/>
        <w:rPr>
          <w:color w:val="000000" w:themeColor="text1"/>
          <w:lang w:val="ro-RO"/>
        </w:rPr>
      </w:pPr>
      <w:r w:rsidRPr="001C3B31">
        <w:rPr>
          <w:color w:val="000000" w:themeColor="text1"/>
          <w:lang w:val="ro-RO"/>
        </w:rPr>
        <w:t xml:space="preserve">Impactul economic – analiza compensatorie a </w:t>
      </w:r>
      <w:r>
        <w:rPr>
          <w:color w:val="000000" w:themeColor="text1"/>
          <w:lang w:val="ro-RO"/>
        </w:rPr>
        <w:t>beneficiilor economice</w:t>
      </w:r>
      <w:r w:rsidRPr="001C3B31">
        <w:rPr>
          <w:color w:val="000000" w:themeColor="text1"/>
          <w:lang w:val="ro-RO"/>
        </w:rPr>
        <w:t xml:space="preserve"> atât pentru agenții economici</w:t>
      </w:r>
      <w:r>
        <w:rPr>
          <w:color w:val="000000" w:themeColor="text1"/>
          <w:lang w:val="ro-RO"/>
        </w:rPr>
        <w:t>,</w:t>
      </w:r>
      <w:r w:rsidRPr="001C3B31">
        <w:rPr>
          <w:color w:val="000000" w:themeColor="text1"/>
          <w:lang w:val="ro-RO"/>
        </w:rPr>
        <w:t xml:space="preserve"> cât și pentru comunitate, precum și efectele negative asupra dezvoltării economice a comunității. </w:t>
      </w:r>
    </w:p>
    <w:p w:rsidR="004B3372" w:rsidRPr="001C3B31" w:rsidRDefault="004B3372" w:rsidP="004B3372">
      <w:pPr>
        <w:rPr>
          <w:color w:val="000000" w:themeColor="text1"/>
          <w:lang w:val="ro-RO"/>
        </w:rPr>
      </w:pPr>
      <w:r w:rsidRPr="001C3B31">
        <w:rPr>
          <w:color w:val="000000" w:themeColor="text1"/>
          <w:lang w:val="ro-RO"/>
        </w:rPr>
        <w:t>Pentru evaluarea performanței fiecărei alternative (scenariu) și în fond pentru standardizarea punctajelor pentru fiecare criteriu de evaluare</w:t>
      </w:r>
      <w:r>
        <w:rPr>
          <w:color w:val="000000" w:themeColor="text1"/>
          <w:lang w:val="ro-RO"/>
        </w:rPr>
        <w:t>,</w:t>
      </w:r>
      <w:r w:rsidRPr="001C3B31">
        <w:rPr>
          <w:color w:val="000000" w:themeColor="text1"/>
          <w:lang w:val="ro-RO"/>
        </w:rPr>
        <w:t xml:space="preserve"> a fost aplicată metoda nonlineară</w:t>
      </w:r>
      <w:r>
        <w:rPr>
          <w:color w:val="000000" w:themeColor="text1"/>
          <w:lang w:val="ro-RO"/>
        </w:rPr>
        <w:t>,</w:t>
      </w:r>
      <w:r w:rsidRPr="001C3B31">
        <w:rPr>
          <w:color w:val="000000" w:themeColor="text1"/>
          <w:lang w:val="ro-RO"/>
        </w:rPr>
        <w:t xml:space="preserve"> care prevede utilizarea a 3 elemente distincte și anume: </w:t>
      </w:r>
    </w:p>
    <w:p w:rsidR="004B3372" w:rsidRPr="001C3B31" w:rsidRDefault="004B3372" w:rsidP="004B3372">
      <w:pPr>
        <w:pStyle w:val="ListParagraph"/>
        <w:numPr>
          <w:ilvl w:val="0"/>
          <w:numId w:val="10"/>
        </w:numPr>
        <w:rPr>
          <w:color w:val="000000" w:themeColor="text1"/>
          <w:lang w:val="ro-RO"/>
        </w:rPr>
      </w:pPr>
      <w:r w:rsidRPr="001C3B31">
        <w:rPr>
          <w:color w:val="000000" w:themeColor="text1"/>
          <w:lang w:val="ro-RO"/>
        </w:rPr>
        <w:t>Performanța alternativei (scenariului) în cazul criteriului specific</w:t>
      </w:r>
      <w:r>
        <w:rPr>
          <w:color w:val="000000" w:themeColor="text1"/>
          <w:lang w:val="ro-RO"/>
        </w:rPr>
        <w:t>;</w:t>
      </w:r>
    </w:p>
    <w:p w:rsidR="004B3372" w:rsidRPr="001C3B31" w:rsidRDefault="004B3372" w:rsidP="004B3372">
      <w:pPr>
        <w:pStyle w:val="ListParagraph"/>
        <w:numPr>
          <w:ilvl w:val="0"/>
          <w:numId w:val="10"/>
        </w:numPr>
        <w:rPr>
          <w:color w:val="000000" w:themeColor="text1"/>
          <w:lang w:val="ro-RO"/>
        </w:rPr>
      </w:pPr>
      <w:r w:rsidRPr="001C3B31">
        <w:rPr>
          <w:color w:val="000000" w:themeColor="text1"/>
          <w:lang w:val="ro-RO"/>
        </w:rPr>
        <w:t>Ponderea (importanța) criteriului</w:t>
      </w:r>
      <w:r>
        <w:rPr>
          <w:color w:val="000000" w:themeColor="text1"/>
          <w:lang w:val="ro-RO"/>
        </w:rPr>
        <w:t>;</w:t>
      </w:r>
    </w:p>
    <w:p w:rsidR="004B3372" w:rsidRPr="001C3B31" w:rsidRDefault="004B3372" w:rsidP="004B3372">
      <w:pPr>
        <w:pStyle w:val="ListParagraph"/>
        <w:numPr>
          <w:ilvl w:val="0"/>
          <w:numId w:val="10"/>
        </w:numPr>
        <w:rPr>
          <w:lang w:val="ro-RO"/>
        </w:rPr>
      </w:pPr>
      <w:r w:rsidRPr="001C3B31">
        <w:rPr>
          <w:color w:val="000000" w:themeColor="text1"/>
          <w:lang w:val="ro-RO"/>
        </w:rPr>
        <w:t>Direcția în vederea atingerii obiectivului criteriului</w:t>
      </w:r>
      <w:r>
        <w:rPr>
          <w:color w:val="000000" w:themeColor="text1"/>
          <w:lang w:val="ro-RO"/>
        </w:rPr>
        <w:t>.</w:t>
      </w:r>
    </w:p>
    <w:p w:rsidR="004B3372" w:rsidRPr="001C3B31" w:rsidRDefault="004B3372" w:rsidP="004B3372">
      <w:pPr>
        <w:pStyle w:val="ToR-NumberedText2"/>
        <w:numPr>
          <w:ilvl w:val="0"/>
          <w:numId w:val="7"/>
        </w:numPr>
        <w:spacing w:before="0" w:after="120"/>
        <w:ind w:left="714" w:hanging="357"/>
        <w:rPr>
          <w:rFonts w:ascii="Calibri" w:hAnsi="Calibri" w:cstheme="minorHAnsi"/>
          <w:sz w:val="22"/>
          <w:szCs w:val="22"/>
          <w:lang w:val="ro-RO"/>
        </w:rPr>
      </w:pPr>
      <w:r w:rsidRPr="001C3B31">
        <w:rPr>
          <w:rFonts w:ascii="Calibri" w:hAnsi="Calibri" w:cstheme="minorHAnsi"/>
          <w:color w:val="000000" w:themeColor="text1"/>
          <w:sz w:val="22"/>
          <w:szCs w:val="22"/>
          <w:lang w:val="ro-RO"/>
        </w:rPr>
        <w:t>Focus-grup</w:t>
      </w:r>
    </w:p>
    <w:p w:rsidR="004B3372" w:rsidRPr="00B34546" w:rsidRDefault="004B3372" w:rsidP="004B3372">
      <w:pPr>
        <w:pStyle w:val="ToR-NumberedText2"/>
        <w:numPr>
          <w:ilvl w:val="0"/>
          <w:numId w:val="0"/>
        </w:numPr>
        <w:tabs>
          <w:tab w:val="clear" w:pos="426"/>
          <w:tab w:val="left" w:pos="0"/>
        </w:tabs>
        <w:spacing w:before="0" w:after="120"/>
        <w:rPr>
          <w:rFonts w:asciiTheme="minorHAnsi" w:eastAsia="SimSun" w:hAnsiTheme="minorHAnsi" w:cs="Cambria"/>
          <w:sz w:val="22"/>
          <w:szCs w:val="22"/>
          <w:lang w:val="ro-RO" w:eastAsia="en-US"/>
        </w:rPr>
      </w:pPr>
      <w:r w:rsidRPr="001C3B31">
        <w:rPr>
          <w:rFonts w:asciiTheme="minorHAnsi" w:eastAsia="SimSun" w:hAnsiTheme="minorHAnsi" w:cs="Cambria"/>
          <w:sz w:val="22"/>
          <w:szCs w:val="22"/>
          <w:lang w:val="ro-RO" w:eastAsia="en-US"/>
        </w:rPr>
        <w:t xml:space="preserve">În vederea unei </w:t>
      </w:r>
      <w:r w:rsidRPr="00B34546">
        <w:rPr>
          <w:rFonts w:asciiTheme="minorHAnsi" w:eastAsia="SimSun" w:hAnsiTheme="minorHAnsi" w:cs="Cambria"/>
          <w:sz w:val="22"/>
          <w:szCs w:val="22"/>
          <w:lang w:val="ro-RO" w:eastAsia="en-US"/>
        </w:rPr>
        <w:t xml:space="preserve">înțelegeri mai bune a percepției părților interesate , precum și obținerii informațiilor calitative referitoare la activitatea GAL-urilor, a fost  organizat un focus-grup cu participarea reprezentanților GAL-urilor, reprezentanților APL și a mediului asociativ. În cadrul focus-grupului au fost abordate aspecte legate de forma organizatorica-juridică optimă GAL-urilor, structura și beneficiarii proiectelor, impactul administrativ, costurile aferente pentru APL-uri, povara administrativă, etc. </w:t>
      </w:r>
    </w:p>
    <w:p w:rsidR="004B3372" w:rsidRPr="001C3B31" w:rsidRDefault="004B3372" w:rsidP="004B3372">
      <w:pPr>
        <w:pStyle w:val="ListParagraph"/>
        <w:numPr>
          <w:ilvl w:val="0"/>
          <w:numId w:val="7"/>
        </w:numPr>
        <w:rPr>
          <w:color w:val="000000" w:themeColor="text1"/>
          <w:lang w:val="ro-RO"/>
        </w:rPr>
      </w:pPr>
      <w:r>
        <w:rPr>
          <w:color w:val="000000" w:themeColor="text1"/>
          <w:lang w:val="ro-RO"/>
        </w:rPr>
        <w:t>Analiza C</w:t>
      </w:r>
      <w:r w:rsidRPr="001C3B31">
        <w:rPr>
          <w:color w:val="000000" w:themeColor="text1"/>
          <w:lang w:val="ro-RO"/>
        </w:rPr>
        <w:t>ost-</w:t>
      </w:r>
      <w:r>
        <w:rPr>
          <w:color w:val="000000" w:themeColor="text1"/>
          <w:lang w:val="ro-RO"/>
        </w:rPr>
        <w:t>B</w:t>
      </w:r>
      <w:r w:rsidRPr="001C3B31">
        <w:rPr>
          <w:color w:val="000000" w:themeColor="text1"/>
          <w:lang w:val="ro-RO"/>
        </w:rPr>
        <w:t>eneficiu</w:t>
      </w:r>
    </w:p>
    <w:p w:rsidR="004B3372" w:rsidRPr="001C3B31" w:rsidRDefault="004B3372" w:rsidP="004B3372">
      <w:pPr>
        <w:rPr>
          <w:lang w:val="ro-RO"/>
        </w:rPr>
      </w:pPr>
      <w:r w:rsidRPr="001C3B31">
        <w:rPr>
          <w:lang w:val="ro-RO"/>
        </w:rPr>
        <w:t xml:space="preserve">Analiza Cost-Beneficiu a fost utilizată </w:t>
      </w:r>
      <w:r w:rsidRPr="007B01FF">
        <w:rPr>
          <w:lang w:val="ro-RO"/>
        </w:rPr>
        <w:t>drept un instrument analitic pentru estimarea impactului socio-economic (în termeni de costuri și beneficii) aferent implementării PPP. Impactul este evaluat în raport cu obiectivele predeterminate, analiza fiind, în general, efectuată din punctul de vedere al populației ce urmează să beneficieze de pe urma implementării PPP.</w:t>
      </w:r>
    </w:p>
    <w:p w:rsidR="004B3372" w:rsidRPr="001C3B31" w:rsidRDefault="004B3372" w:rsidP="004B3372">
      <w:pPr>
        <w:rPr>
          <w:lang w:val="ro-RO"/>
        </w:rPr>
      </w:pPr>
      <w:r w:rsidRPr="001C3B31">
        <w:rPr>
          <w:lang w:val="ro-RO"/>
        </w:rPr>
        <w:t>Obiectivul Analizei Cost-Beneficiu este identifica</w:t>
      </w:r>
      <w:r>
        <w:rPr>
          <w:lang w:val="ro-RO"/>
        </w:rPr>
        <w:t>rea</w:t>
      </w:r>
      <w:r w:rsidRPr="001C3B31">
        <w:rPr>
          <w:lang w:val="ro-RO"/>
        </w:rPr>
        <w:t xml:space="preserve"> și cuantifica</w:t>
      </w:r>
      <w:r>
        <w:rPr>
          <w:lang w:val="ro-RO"/>
        </w:rPr>
        <w:t>rea</w:t>
      </w:r>
      <w:r w:rsidRPr="001C3B31">
        <w:rPr>
          <w:lang w:val="ro-RO"/>
        </w:rPr>
        <w:t xml:space="preserve"> (respectiv exprima</w:t>
      </w:r>
      <w:r>
        <w:rPr>
          <w:lang w:val="ro-RO"/>
        </w:rPr>
        <w:t>rea</w:t>
      </w:r>
      <w:r w:rsidRPr="001C3B31">
        <w:rPr>
          <w:lang w:val="ro-RO"/>
        </w:rPr>
        <w:t xml:space="preserve"> în termeni monetari) </w:t>
      </w:r>
      <w:r>
        <w:rPr>
          <w:lang w:val="ro-RO"/>
        </w:rPr>
        <w:t xml:space="preserve">a </w:t>
      </w:r>
      <w:r w:rsidRPr="001C3B31">
        <w:rPr>
          <w:lang w:val="ro-RO"/>
        </w:rPr>
        <w:t>t</w:t>
      </w:r>
      <w:r>
        <w:rPr>
          <w:lang w:val="ro-RO"/>
        </w:rPr>
        <w:t>uturor</w:t>
      </w:r>
      <w:r w:rsidRPr="001C3B31">
        <w:rPr>
          <w:lang w:val="ro-RO"/>
        </w:rPr>
        <w:t xml:space="preserve"> tipuril</w:t>
      </w:r>
      <w:r>
        <w:rPr>
          <w:lang w:val="ro-RO"/>
        </w:rPr>
        <w:t>or</w:t>
      </w:r>
      <w:r w:rsidRPr="001C3B31">
        <w:rPr>
          <w:lang w:val="ro-RO"/>
        </w:rPr>
        <w:t xml:space="preserve"> de impact posibile ale proiectului sau acțiunii vizate, pentru determina</w:t>
      </w:r>
      <w:r>
        <w:rPr>
          <w:lang w:val="ro-RO"/>
        </w:rPr>
        <w:t>rea</w:t>
      </w:r>
      <w:r w:rsidRPr="001C3B31">
        <w:rPr>
          <w:lang w:val="ro-RO"/>
        </w:rPr>
        <w:t xml:space="preserve"> costuril</w:t>
      </w:r>
      <w:r>
        <w:rPr>
          <w:lang w:val="ro-RO"/>
        </w:rPr>
        <w:t>or</w:t>
      </w:r>
      <w:r w:rsidRPr="001C3B31">
        <w:rPr>
          <w:lang w:val="ro-RO"/>
        </w:rPr>
        <w:t xml:space="preserve"> și beneficiil</w:t>
      </w:r>
      <w:r>
        <w:rPr>
          <w:lang w:val="ro-RO"/>
        </w:rPr>
        <w:t>or</w:t>
      </w:r>
      <w:r w:rsidRPr="001C3B31">
        <w:rPr>
          <w:lang w:val="ro-RO"/>
        </w:rPr>
        <w:t xml:space="preserve"> aferente. </w:t>
      </w:r>
    </w:p>
    <w:p w:rsidR="004B3372" w:rsidRPr="001C3B31" w:rsidRDefault="004B3372" w:rsidP="004B3372">
      <w:pPr>
        <w:tabs>
          <w:tab w:val="left" w:pos="526"/>
        </w:tabs>
        <w:rPr>
          <w:lang w:val="ro-RO"/>
        </w:rPr>
        <w:sectPr w:rsidR="004B3372" w:rsidRPr="001C3B31" w:rsidSect="00B50045">
          <w:headerReference w:type="even" r:id="rId8"/>
          <w:footerReference w:type="even" r:id="rId9"/>
          <w:footerReference w:type="default" r:id="rId10"/>
          <w:pgSz w:w="11907" w:h="16839" w:code="9"/>
          <w:pgMar w:top="1152" w:right="1017" w:bottom="1440" w:left="1022" w:header="706" w:footer="288" w:gutter="0"/>
          <w:cols w:space="708"/>
          <w:titlePg/>
          <w:docGrid w:linePitch="360"/>
        </w:sectPr>
      </w:pPr>
    </w:p>
    <w:p w:rsidR="004B3372" w:rsidRPr="001C3B31" w:rsidRDefault="004B3372" w:rsidP="004B3372">
      <w:pPr>
        <w:pStyle w:val="Heading1"/>
        <w:rPr>
          <w:lang w:val="ro-RO"/>
        </w:rPr>
      </w:pPr>
      <w:bookmarkStart w:id="11" w:name="_Toc32964806"/>
      <w:r w:rsidRPr="001C3B31">
        <w:rPr>
          <w:lang w:val="ro-RO"/>
        </w:rPr>
        <w:lastRenderedPageBreak/>
        <w:t>Descrierea Contextului</w:t>
      </w:r>
      <w:bookmarkEnd w:id="11"/>
    </w:p>
    <w:p w:rsidR="004B3372" w:rsidRPr="007F0A8B" w:rsidRDefault="004B3372" w:rsidP="004B3372">
      <w:pPr>
        <w:pStyle w:val="Heading2"/>
        <w:rPr>
          <w:b/>
          <w:color w:val="0070C0"/>
          <w:lang w:val="ro-RO"/>
        </w:rPr>
      </w:pPr>
      <w:bookmarkStart w:id="12" w:name="_Toc32964807"/>
      <w:r w:rsidRPr="007F0A8B">
        <w:rPr>
          <w:b/>
          <w:color w:val="0070C0"/>
          <w:lang w:val="ro-RO"/>
        </w:rPr>
        <w:t>Descrierea problemei</w:t>
      </w:r>
      <w:bookmarkEnd w:id="12"/>
    </w:p>
    <w:p w:rsidR="004B3372" w:rsidRPr="007B01FF" w:rsidRDefault="004B3372" w:rsidP="004B3372">
      <w:pPr>
        <w:rPr>
          <w:lang w:val="ro-RO"/>
        </w:rPr>
      </w:pPr>
      <w:r w:rsidRPr="007B01FF">
        <w:rPr>
          <w:b/>
          <w:bCs/>
          <w:lang w:val="ro-RO"/>
        </w:rPr>
        <w:t xml:space="preserve">Administrația publică locală. </w:t>
      </w:r>
      <w:r w:rsidRPr="007B01FF">
        <w:rPr>
          <w:lang w:val="ro-RO"/>
        </w:rPr>
        <w:t xml:space="preserve">Republica Moldova reprezintă o țară cu economie agrară, fondul funciar al căreia fiind de 3384.7 mii ha, dintre care 60,3 % constituie terenuri cu destinație agricolă. Populația țării de 3542,7 locuitori este distribuită în 1681 de localități (fără unitățile administrativ-teritoriale din stânga Nistrului). Peste jumătate din populația țării o constituie locuitorii mediului rural – 56.9 % sau 2015.2 mii persoane distribuită în 916 sate (comune) sau 2.2 mii persoane per sat/comună. Distribuirea populației pe localități este neuniformă: sate cu populație mai mică de 10 mii locuitori și mai mare de 10 mii locuitori (s. Costești, r-nul Ialoveni sau s. Congaz, r-nul Comrat). Astfel, constatăm o fragmentare excesivă a populației, situație caracteristică Republicii Moldova. Numărul mic al populației limitează resursele financiare și capacitatea instituțională și administrativă a administraţiei publice locale de a-și îndeplini domeniile proprii de activitate (art. 4 al Legii nr. 435 din 28.12.2006). Aceasta presupune capacitate managerială redusă (dificultăți în angajarea personalului, având cunoștințele și abilitățile necesare), precum și costuri administrative pe cap de locuitor foarte mari. În același timp, experiența internațională demonstrează că unitățile cu o populație mai mică de 3000-5000 locuitori nu pot îndeplini responsabilități publice semnificative, ceea ce impune abordări regionale de grupare (clusterizare) a localităților pentru o dezvoltare mai eficientă a infrastructurii și asigurării unor costuri optime de gestiune și întreținere. </w:t>
      </w:r>
    </w:p>
    <w:p w:rsidR="004B3372" w:rsidRPr="001C3B31" w:rsidRDefault="004B3372" w:rsidP="004B3372">
      <w:pPr>
        <w:rPr>
          <w:lang w:val="ro-RO"/>
        </w:rPr>
      </w:pPr>
      <w:r w:rsidRPr="001C3B31">
        <w:rPr>
          <w:b/>
          <w:bCs/>
          <w:lang w:val="ro-RO"/>
        </w:rPr>
        <w:t>Dezvoltarea socială.</w:t>
      </w:r>
      <w:r w:rsidRPr="001C3B31">
        <w:rPr>
          <w:lang w:val="ro-RO"/>
        </w:rPr>
        <w:t xml:space="preserve"> Progresul lent înregistrat de indicatorii ce denotă dezvoltarea rurală este influențat de un spectru larg de fenomene și procese interconectate, cum ar fi migrația în masă, scăderea ratei fertilității, îmbătrânirea populației, insuficiența serviciilor de bază, subdezvoltarea infrastructurii sociale, dar și lipsa locurilor de muncă. Majoritatea acestor procese</w:t>
      </w:r>
      <w:r>
        <w:rPr>
          <w:lang w:val="ro-RO"/>
        </w:rPr>
        <w:t xml:space="preserve"> </w:t>
      </w:r>
      <w:r w:rsidRPr="001C3B31">
        <w:rPr>
          <w:lang w:val="ro-RO"/>
        </w:rPr>
        <w:t xml:space="preserve">au cauze mult mai adânci de ordin sistemic și societal, iar evoluția acestor fenomene denotă tendințe alarmante. </w:t>
      </w:r>
    </w:p>
    <w:p w:rsidR="004B3372" w:rsidRPr="001C3B31" w:rsidRDefault="004B3372" w:rsidP="004B3372">
      <w:pPr>
        <w:autoSpaceDE w:val="0"/>
        <w:autoSpaceDN w:val="0"/>
        <w:adjustRightInd w:val="0"/>
        <w:rPr>
          <w:lang w:val="ro-RO"/>
        </w:rPr>
      </w:pPr>
      <w:r w:rsidRPr="001C3B31">
        <w:rPr>
          <w:lang w:val="ro-RO"/>
        </w:rPr>
        <w:t>Populația stabilă a Republicii Moldova</w:t>
      </w:r>
      <w:r>
        <w:rPr>
          <w:lang w:val="ro-RO"/>
        </w:rPr>
        <w:t>, conform situației</w:t>
      </w:r>
      <w:r w:rsidRPr="001C3B31">
        <w:rPr>
          <w:lang w:val="ro-RO"/>
        </w:rPr>
        <w:t xml:space="preserve"> la 01.01.2019</w:t>
      </w:r>
      <w:r>
        <w:rPr>
          <w:lang w:val="ro-RO"/>
        </w:rPr>
        <w:t>,</w:t>
      </w:r>
      <w:r w:rsidRPr="001C3B31">
        <w:rPr>
          <w:lang w:val="ro-RO"/>
        </w:rPr>
        <w:t xml:space="preserve"> a fost de 3,5 milioane persoane, în scădere faţă de aceeași perioadă a anului 2018 cu 4,8 mii persoane. Astfel, în 2018 se constată o creștere a populației în mediul urban (cu 1,09</w:t>
      </w:r>
      <w:r>
        <w:rPr>
          <w:lang w:val="ro-RO"/>
        </w:rPr>
        <w:t xml:space="preserve"> </w:t>
      </w:r>
      <w:r w:rsidRPr="001C3B31">
        <w:rPr>
          <w:lang w:val="ro-RO"/>
        </w:rPr>
        <w:t>%) și descreștere în mediul rural (cu 1,31</w:t>
      </w:r>
      <w:r>
        <w:rPr>
          <w:lang w:val="ro-RO"/>
        </w:rPr>
        <w:t xml:space="preserve"> </w:t>
      </w:r>
      <w:r w:rsidRPr="001C3B31">
        <w:rPr>
          <w:lang w:val="ro-RO"/>
        </w:rPr>
        <w:t>% față de 2016). Aceste schimbări au fost cauzate, în special, de sporul natural negativ a</w:t>
      </w:r>
      <w:r w:rsidRPr="00C842C8">
        <w:rPr>
          <w:color w:val="00B050"/>
          <w:lang w:val="ro-RO"/>
        </w:rPr>
        <w:t>l</w:t>
      </w:r>
      <w:r w:rsidRPr="001C3B31">
        <w:rPr>
          <w:lang w:val="ro-RO"/>
        </w:rPr>
        <w:t xml:space="preserve"> populației rurale şi migrației. </w:t>
      </w:r>
    </w:p>
    <w:p w:rsidR="004B3372" w:rsidRPr="001C3B31" w:rsidRDefault="004B3372" w:rsidP="004B3372">
      <w:pPr>
        <w:pStyle w:val="Caption"/>
        <w:framePr w:wrap="around"/>
        <w:rPr>
          <w:lang w:val="ro-RO"/>
        </w:rPr>
      </w:pPr>
      <w:r w:rsidRPr="001C3B31">
        <w:rPr>
          <w:lang w:val="ro-RO"/>
        </w:rPr>
        <w:t>Tabelul 2. Populația stabilă mii persoane, la 1 ianuarie 2019</w:t>
      </w:r>
    </w:p>
    <w:tbl>
      <w:tblPr>
        <w:tblStyle w:val="Civittatable"/>
        <w:tblW w:w="5000" w:type="pct"/>
        <w:tblLook w:val="04A0" w:firstRow="1" w:lastRow="0" w:firstColumn="1" w:lastColumn="0" w:noHBand="0" w:noVBand="1"/>
      </w:tblPr>
      <w:tblGrid>
        <w:gridCol w:w="1719"/>
        <w:gridCol w:w="2079"/>
        <w:gridCol w:w="1148"/>
        <w:gridCol w:w="1148"/>
        <w:gridCol w:w="1146"/>
        <w:gridCol w:w="1146"/>
        <w:gridCol w:w="1275"/>
      </w:tblGrid>
      <w:tr w:rsidR="004B3372" w:rsidRPr="001C3B31" w:rsidTr="00B50045">
        <w:trPr>
          <w:cnfStyle w:val="100000000000" w:firstRow="1" w:lastRow="0" w:firstColumn="0" w:lastColumn="0" w:oddVBand="0" w:evenVBand="0" w:oddHBand="0" w:evenHBand="0" w:firstRowFirstColumn="0" w:firstRowLastColumn="0" w:lastRowFirstColumn="0" w:lastRowLastColumn="0"/>
          <w:trHeight w:val="300"/>
          <w:tblHeader w:val="0"/>
        </w:trPr>
        <w:tc>
          <w:tcPr>
            <w:tcW w:w="890" w:type="pct"/>
            <w:noWrap/>
            <w:vAlign w:val="center"/>
            <w:hideMark/>
          </w:tcPr>
          <w:p w:rsidR="004B3372" w:rsidRPr="001C3B31" w:rsidRDefault="004B3372" w:rsidP="00B50045">
            <w:pPr>
              <w:spacing w:after="60"/>
              <w:jc w:val="center"/>
              <w:rPr>
                <w:rFonts w:ascii="Calibri" w:eastAsia="Times New Roman" w:hAnsi="Calibri" w:cs="Calibri"/>
                <w:szCs w:val="20"/>
                <w:lang w:val="ro-RO"/>
              </w:rPr>
            </w:pPr>
          </w:p>
        </w:tc>
        <w:tc>
          <w:tcPr>
            <w:tcW w:w="1076" w:type="pct"/>
            <w:noWrap/>
            <w:vAlign w:val="center"/>
            <w:hideMark/>
          </w:tcPr>
          <w:p w:rsidR="004B3372" w:rsidRPr="001C3B31" w:rsidRDefault="004B3372" w:rsidP="00B50045">
            <w:pPr>
              <w:spacing w:after="60"/>
              <w:jc w:val="center"/>
              <w:rPr>
                <w:rFonts w:ascii="Calibri" w:eastAsia="Times New Roman" w:hAnsi="Calibri" w:cs="Calibri"/>
                <w:szCs w:val="20"/>
                <w:lang w:val="ro-RO"/>
              </w:rPr>
            </w:pPr>
          </w:p>
        </w:tc>
        <w:tc>
          <w:tcPr>
            <w:tcW w:w="594" w:type="pct"/>
            <w:noWrap/>
            <w:vAlign w:val="center"/>
            <w:hideMark/>
          </w:tcPr>
          <w:p w:rsidR="004B3372" w:rsidRPr="001C3B31" w:rsidRDefault="004B3372" w:rsidP="00B50045">
            <w:pPr>
              <w:spacing w:after="60"/>
              <w:jc w:val="center"/>
              <w:rPr>
                <w:rFonts w:ascii="Calibri" w:eastAsia="Times New Roman" w:hAnsi="Calibri" w:cs="Calibri"/>
                <w:b/>
                <w:bCs/>
                <w:szCs w:val="20"/>
                <w:lang w:val="ro-RO"/>
              </w:rPr>
            </w:pPr>
            <w:r w:rsidRPr="001C3B31">
              <w:rPr>
                <w:rFonts w:ascii="Calibri" w:eastAsia="Times New Roman" w:hAnsi="Calibri" w:cs="Calibri"/>
                <w:b/>
                <w:bCs/>
                <w:szCs w:val="20"/>
                <w:lang w:val="ro-RO"/>
              </w:rPr>
              <w:t>2016</w:t>
            </w:r>
          </w:p>
        </w:tc>
        <w:tc>
          <w:tcPr>
            <w:tcW w:w="594" w:type="pct"/>
            <w:noWrap/>
            <w:vAlign w:val="center"/>
            <w:hideMark/>
          </w:tcPr>
          <w:p w:rsidR="004B3372" w:rsidRPr="001C3B31" w:rsidRDefault="004B3372" w:rsidP="00B50045">
            <w:pPr>
              <w:spacing w:after="60"/>
              <w:jc w:val="center"/>
              <w:rPr>
                <w:rFonts w:ascii="Calibri" w:eastAsia="Times New Roman" w:hAnsi="Calibri" w:cs="Calibri"/>
                <w:b/>
                <w:bCs/>
                <w:szCs w:val="20"/>
                <w:lang w:val="ro-RO"/>
              </w:rPr>
            </w:pPr>
            <w:r w:rsidRPr="001C3B31">
              <w:rPr>
                <w:rFonts w:ascii="Calibri" w:eastAsia="Times New Roman" w:hAnsi="Calibri" w:cs="Calibri"/>
                <w:b/>
                <w:bCs/>
                <w:szCs w:val="20"/>
                <w:lang w:val="ro-RO"/>
              </w:rPr>
              <w:t>2017</w:t>
            </w:r>
          </w:p>
        </w:tc>
        <w:tc>
          <w:tcPr>
            <w:tcW w:w="593" w:type="pct"/>
            <w:noWrap/>
            <w:vAlign w:val="center"/>
            <w:hideMark/>
          </w:tcPr>
          <w:p w:rsidR="004B3372" w:rsidRPr="001C3B31" w:rsidRDefault="004B3372" w:rsidP="00B50045">
            <w:pPr>
              <w:spacing w:after="60"/>
              <w:jc w:val="center"/>
              <w:rPr>
                <w:rFonts w:ascii="Calibri" w:eastAsia="Times New Roman" w:hAnsi="Calibri" w:cs="Calibri"/>
                <w:b/>
                <w:bCs/>
                <w:szCs w:val="20"/>
                <w:lang w:val="ro-RO"/>
              </w:rPr>
            </w:pPr>
            <w:r w:rsidRPr="001C3B31">
              <w:rPr>
                <w:rFonts w:ascii="Calibri" w:eastAsia="Times New Roman" w:hAnsi="Calibri" w:cs="Calibri"/>
                <w:b/>
                <w:bCs/>
                <w:szCs w:val="20"/>
                <w:lang w:val="ro-RO"/>
              </w:rPr>
              <w:t>2018</w:t>
            </w:r>
          </w:p>
        </w:tc>
        <w:tc>
          <w:tcPr>
            <w:tcW w:w="593" w:type="pct"/>
            <w:noWrap/>
            <w:vAlign w:val="center"/>
            <w:hideMark/>
          </w:tcPr>
          <w:p w:rsidR="004B3372" w:rsidRPr="001C3B31" w:rsidRDefault="004B3372" w:rsidP="00B50045">
            <w:pPr>
              <w:spacing w:after="60"/>
              <w:jc w:val="center"/>
              <w:rPr>
                <w:rFonts w:ascii="Calibri" w:eastAsia="Times New Roman" w:hAnsi="Calibri" w:cs="Calibri"/>
                <w:b/>
                <w:bCs/>
                <w:szCs w:val="20"/>
                <w:lang w:val="ro-RO"/>
              </w:rPr>
            </w:pPr>
            <w:r w:rsidRPr="001C3B31">
              <w:rPr>
                <w:rFonts w:ascii="Calibri" w:eastAsia="Times New Roman" w:hAnsi="Calibri" w:cs="Calibri"/>
                <w:b/>
                <w:bCs/>
                <w:szCs w:val="20"/>
                <w:lang w:val="ro-RO"/>
              </w:rPr>
              <w:t>2019</w:t>
            </w:r>
          </w:p>
        </w:tc>
        <w:tc>
          <w:tcPr>
            <w:tcW w:w="661" w:type="pct"/>
            <w:noWrap/>
            <w:vAlign w:val="center"/>
            <w:hideMark/>
          </w:tcPr>
          <w:p w:rsidR="004B3372" w:rsidRPr="001C3B31" w:rsidRDefault="004B3372" w:rsidP="00B50045">
            <w:pPr>
              <w:spacing w:after="60"/>
              <w:jc w:val="center"/>
              <w:rPr>
                <w:rFonts w:ascii="Calibri" w:eastAsia="Times New Roman" w:hAnsi="Calibri" w:cs="Calibri"/>
                <w:b/>
                <w:bCs/>
                <w:szCs w:val="20"/>
                <w:lang w:val="ro-RO"/>
              </w:rPr>
            </w:pPr>
            <w:r w:rsidRPr="001C3B31">
              <w:rPr>
                <w:rFonts w:ascii="Calibri" w:eastAsia="Times New Roman" w:hAnsi="Calibri" w:cs="Calibri"/>
                <w:b/>
                <w:bCs/>
                <w:szCs w:val="20"/>
                <w:lang w:val="ro-RO"/>
              </w:rPr>
              <w:t>dinamica</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00"/>
        </w:trPr>
        <w:tc>
          <w:tcPr>
            <w:tcW w:w="890"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p>
        </w:tc>
        <w:tc>
          <w:tcPr>
            <w:tcW w:w="1076"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000000"/>
                <w:szCs w:val="20"/>
                <w:lang w:val="ro-RO"/>
              </w:rPr>
              <w:t>Total populație</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3553.1</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3550.9</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3547.5</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3542.7</w:t>
            </w:r>
          </w:p>
        </w:tc>
        <w:tc>
          <w:tcPr>
            <w:tcW w:w="661"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-0.29%</w:t>
            </w:r>
            <w:r w:rsidRPr="001C3B31">
              <w:rPr>
                <w:rFonts w:ascii="Calibri" w:eastAsia="Times New Roman" w:hAnsi="Calibri" w:cs="Calibri"/>
                <w:b/>
                <w:bCs/>
                <w:color w:val="000000" w:themeColor="text1"/>
                <w:szCs w:val="20"/>
                <w:lang w:val="ro-RO"/>
              </w:rPr>
              <w:t>↓</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00"/>
        </w:trPr>
        <w:tc>
          <w:tcPr>
            <w:tcW w:w="890" w:type="pct"/>
            <w:vMerge w:val="restart"/>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Pe sexe:</w:t>
            </w:r>
          </w:p>
        </w:tc>
        <w:tc>
          <w:tcPr>
            <w:tcW w:w="1076"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000000"/>
                <w:szCs w:val="20"/>
                <w:lang w:val="ro-RO"/>
              </w:rPr>
              <w:t>Masculin</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1709.1</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1707.4</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1705.3</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1702.4</w:t>
            </w:r>
          </w:p>
        </w:tc>
        <w:tc>
          <w:tcPr>
            <w:tcW w:w="661"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-0.39%</w:t>
            </w:r>
            <w:r w:rsidRPr="001C3B31">
              <w:rPr>
                <w:rFonts w:ascii="Calibri" w:eastAsia="Times New Roman" w:hAnsi="Calibri" w:cs="Calibri"/>
                <w:b/>
                <w:bCs/>
                <w:color w:val="000000" w:themeColor="text1"/>
                <w:szCs w:val="20"/>
                <w:lang w:val="ro-RO"/>
              </w:rPr>
              <w:t>↓</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00"/>
        </w:trPr>
        <w:tc>
          <w:tcPr>
            <w:tcW w:w="890" w:type="pct"/>
            <w:vMerge/>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p>
        </w:tc>
        <w:tc>
          <w:tcPr>
            <w:tcW w:w="1076"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000000"/>
                <w:szCs w:val="20"/>
                <w:lang w:val="ro-RO"/>
              </w:rPr>
              <w:t>Feminin</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1844</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1843.5</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1842.2</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1840.3</w:t>
            </w:r>
          </w:p>
        </w:tc>
        <w:tc>
          <w:tcPr>
            <w:tcW w:w="661"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-0.20%</w:t>
            </w:r>
            <w:r w:rsidRPr="001C3B31">
              <w:rPr>
                <w:rFonts w:ascii="Calibri" w:eastAsia="Times New Roman" w:hAnsi="Calibri" w:cs="Calibri"/>
                <w:b/>
                <w:bCs/>
                <w:color w:val="000000" w:themeColor="text1"/>
                <w:szCs w:val="20"/>
                <w:lang w:val="ro-RO"/>
              </w:rPr>
              <w:t>↓</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00"/>
        </w:trPr>
        <w:tc>
          <w:tcPr>
            <w:tcW w:w="890" w:type="pct"/>
            <w:vMerge w:val="restart"/>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Pe medii:</w:t>
            </w:r>
          </w:p>
        </w:tc>
        <w:tc>
          <w:tcPr>
            <w:tcW w:w="1076"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000000"/>
                <w:szCs w:val="20"/>
                <w:lang w:val="ro-RO"/>
              </w:rPr>
              <w:t>Urban</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1511.1</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1516.8</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1521.9</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1527.5</w:t>
            </w:r>
          </w:p>
        </w:tc>
        <w:tc>
          <w:tcPr>
            <w:tcW w:w="661"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FF0000"/>
                <w:szCs w:val="20"/>
                <w:lang w:val="ro-RO"/>
              </w:rPr>
              <w:t>1.09%↑</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00"/>
        </w:trPr>
        <w:tc>
          <w:tcPr>
            <w:tcW w:w="890" w:type="pct"/>
            <w:vMerge/>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p>
        </w:tc>
        <w:tc>
          <w:tcPr>
            <w:tcW w:w="1076"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000000"/>
                <w:szCs w:val="20"/>
                <w:lang w:val="ro-RO"/>
              </w:rPr>
              <w:t>Rural</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2042</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2034.1</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2025.6</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2015.2</w:t>
            </w:r>
          </w:p>
        </w:tc>
        <w:tc>
          <w:tcPr>
            <w:tcW w:w="661"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-1.31%</w:t>
            </w:r>
            <w:r w:rsidRPr="001C3B31">
              <w:rPr>
                <w:rFonts w:ascii="Calibri" w:eastAsia="Times New Roman" w:hAnsi="Calibri" w:cs="Calibri"/>
                <w:b/>
                <w:bCs/>
                <w:color w:val="000000" w:themeColor="text1"/>
                <w:szCs w:val="20"/>
                <w:lang w:val="ro-RO"/>
              </w:rPr>
              <w:t>↓</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00"/>
        </w:trPr>
        <w:tc>
          <w:tcPr>
            <w:tcW w:w="890" w:type="pct"/>
            <w:vMerge w:val="restart"/>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Pr>
                <w:rFonts w:ascii="Calibri" w:eastAsia="Times New Roman" w:hAnsi="Calibri" w:cs="Calibri"/>
                <w:color w:val="000000"/>
                <w:szCs w:val="20"/>
                <w:lang w:val="ro-RO"/>
              </w:rPr>
              <w:t>Pe grupe de vâ</w:t>
            </w:r>
            <w:r w:rsidRPr="001C3B31">
              <w:rPr>
                <w:rFonts w:ascii="Calibri" w:eastAsia="Times New Roman" w:hAnsi="Calibri" w:cs="Calibri"/>
                <w:color w:val="000000"/>
                <w:szCs w:val="20"/>
                <w:lang w:val="ro-RO"/>
              </w:rPr>
              <w:t>rstă:</w:t>
            </w:r>
          </w:p>
        </w:tc>
        <w:tc>
          <w:tcPr>
            <w:tcW w:w="1076"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000000"/>
                <w:szCs w:val="20"/>
                <w:lang w:val="ro-RO"/>
              </w:rPr>
              <w:t>0-14 ani</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567.6</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567</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564.3</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559.8</w:t>
            </w:r>
          </w:p>
        </w:tc>
        <w:tc>
          <w:tcPr>
            <w:tcW w:w="661"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-1.37%</w:t>
            </w:r>
            <w:r w:rsidRPr="001C3B31">
              <w:rPr>
                <w:rFonts w:ascii="Calibri" w:eastAsia="Times New Roman" w:hAnsi="Calibri" w:cs="Calibri"/>
                <w:b/>
                <w:bCs/>
                <w:color w:val="000000" w:themeColor="text1"/>
                <w:szCs w:val="20"/>
                <w:lang w:val="ro-RO"/>
              </w:rPr>
              <w:t>↓</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00"/>
        </w:trPr>
        <w:tc>
          <w:tcPr>
            <w:tcW w:w="890" w:type="pct"/>
            <w:vMerge/>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p>
        </w:tc>
        <w:tc>
          <w:tcPr>
            <w:tcW w:w="1076"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000000"/>
                <w:szCs w:val="20"/>
                <w:lang w:val="ro-RO"/>
              </w:rPr>
              <w:t>15-59 ani</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2392.9</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2374</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2353.6</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2332.4</w:t>
            </w:r>
          </w:p>
        </w:tc>
        <w:tc>
          <w:tcPr>
            <w:tcW w:w="661"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-2.53%</w:t>
            </w:r>
            <w:r w:rsidRPr="001C3B31">
              <w:rPr>
                <w:rFonts w:ascii="Calibri" w:eastAsia="Times New Roman" w:hAnsi="Calibri" w:cs="Calibri"/>
                <w:b/>
                <w:bCs/>
                <w:color w:val="000000" w:themeColor="text1"/>
                <w:szCs w:val="20"/>
                <w:lang w:val="ro-RO"/>
              </w:rPr>
              <w:t>↓</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00"/>
        </w:trPr>
        <w:tc>
          <w:tcPr>
            <w:tcW w:w="890" w:type="pct"/>
            <w:vMerge/>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p>
        </w:tc>
        <w:tc>
          <w:tcPr>
            <w:tcW w:w="1076"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000000"/>
                <w:szCs w:val="20"/>
                <w:lang w:val="ro-RO"/>
              </w:rPr>
              <w:t>60+</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592.6</w:t>
            </w:r>
          </w:p>
        </w:tc>
        <w:tc>
          <w:tcPr>
            <w:tcW w:w="594"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609.9</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629.9</w:t>
            </w:r>
          </w:p>
        </w:tc>
        <w:tc>
          <w:tcPr>
            <w:tcW w:w="593" w:type="pct"/>
            <w:noWrap/>
            <w:vAlign w:val="center"/>
            <w:hideMark/>
          </w:tcPr>
          <w:p w:rsidR="004B3372" w:rsidRPr="001C3B31" w:rsidRDefault="004B3372" w:rsidP="00B50045">
            <w:pPr>
              <w:spacing w:after="60"/>
              <w:jc w:val="center"/>
              <w:rPr>
                <w:rFonts w:ascii="Calibri" w:eastAsia="Times New Roman" w:hAnsi="Calibri" w:cs="Calibri"/>
                <w:color w:val="000000"/>
                <w:szCs w:val="20"/>
                <w:lang w:val="ro-RO"/>
              </w:rPr>
            </w:pPr>
            <w:r w:rsidRPr="001C3B31">
              <w:rPr>
                <w:rFonts w:ascii="Calibri" w:eastAsia="Times New Roman" w:hAnsi="Calibri" w:cs="Calibri"/>
                <w:color w:val="000000"/>
                <w:szCs w:val="20"/>
                <w:lang w:val="ro-RO"/>
              </w:rPr>
              <w:t>650.5</w:t>
            </w:r>
          </w:p>
        </w:tc>
        <w:tc>
          <w:tcPr>
            <w:tcW w:w="661" w:type="pct"/>
            <w:noWrap/>
            <w:vAlign w:val="center"/>
            <w:hideMark/>
          </w:tcPr>
          <w:p w:rsidR="004B3372" w:rsidRPr="001C3B31" w:rsidRDefault="004B3372" w:rsidP="00B50045">
            <w:pPr>
              <w:spacing w:after="60"/>
              <w:jc w:val="center"/>
              <w:rPr>
                <w:rFonts w:ascii="Calibri" w:eastAsia="Times New Roman" w:hAnsi="Calibri" w:cs="Calibri"/>
                <w:b/>
                <w:bCs/>
                <w:color w:val="000000"/>
                <w:szCs w:val="20"/>
                <w:lang w:val="ro-RO"/>
              </w:rPr>
            </w:pPr>
            <w:r w:rsidRPr="001C3B31">
              <w:rPr>
                <w:rFonts w:ascii="Calibri" w:eastAsia="Times New Roman" w:hAnsi="Calibri" w:cs="Calibri"/>
                <w:b/>
                <w:bCs/>
                <w:color w:val="FF0000"/>
                <w:szCs w:val="20"/>
                <w:lang w:val="ro-RO"/>
              </w:rPr>
              <w:t>9.77%↑</w:t>
            </w:r>
          </w:p>
        </w:tc>
      </w:tr>
    </w:tbl>
    <w:p w:rsidR="004B3372" w:rsidRPr="001C3B31" w:rsidRDefault="004B3372" w:rsidP="004B3372">
      <w:pPr>
        <w:pStyle w:val="Bottomcaption"/>
        <w:framePr w:wrap="around"/>
        <w:rPr>
          <w:lang w:val="ro-RO"/>
        </w:rPr>
      </w:pPr>
      <w:r w:rsidRPr="001C3B31">
        <w:rPr>
          <w:lang w:val="ro-RO"/>
        </w:rPr>
        <w:t>Sursa: BNS</w:t>
      </w:r>
    </w:p>
    <w:p w:rsidR="004B3372" w:rsidRPr="001C3B31" w:rsidRDefault="004B3372" w:rsidP="004B3372">
      <w:pPr>
        <w:autoSpaceDE w:val="0"/>
        <w:autoSpaceDN w:val="0"/>
        <w:adjustRightInd w:val="0"/>
        <w:rPr>
          <w:lang w:val="ro-RO"/>
        </w:rPr>
      </w:pPr>
      <w:r w:rsidRPr="001C3B31">
        <w:rPr>
          <w:lang w:val="ro-RO"/>
        </w:rPr>
        <w:t>În prezent</w:t>
      </w:r>
      <w:r>
        <w:rPr>
          <w:lang w:val="ro-RO"/>
        </w:rPr>
        <w:t>,</w:t>
      </w:r>
      <w:r w:rsidRPr="001C3B31">
        <w:rPr>
          <w:lang w:val="ro-RO"/>
        </w:rPr>
        <w:t xml:space="preserve"> Moldova se află în topul țărilor afectate de procesele </w:t>
      </w:r>
      <w:proofErr w:type="spellStart"/>
      <w:r w:rsidRPr="001C3B31">
        <w:rPr>
          <w:lang w:val="ro-RO"/>
        </w:rPr>
        <w:t>migraționale</w:t>
      </w:r>
      <w:proofErr w:type="spellEnd"/>
      <w:r w:rsidRPr="001C3B31">
        <w:rPr>
          <w:lang w:val="ro-RO"/>
        </w:rPr>
        <w:t xml:space="preserve">. Migrația are loc în două direcții: internă (de la sat la oraș sau din oraș la sat ) și externă (pentru muncă, scop educațional, afaceri </w:t>
      </w:r>
      <w:r w:rsidRPr="001C3B31">
        <w:rPr>
          <w:lang w:val="ro-RO"/>
        </w:rPr>
        <w:lastRenderedPageBreak/>
        <w:t>sau turism). Fluxurile migratorii din rural în urban deţin cea mai mare pondere în structura migrației interne și constituie 35</w:t>
      </w:r>
      <w:r>
        <w:rPr>
          <w:lang w:val="ro-RO"/>
        </w:rPr>
        <w:t xml:space="preserve"> </w:t>
      </w:r>
      <w:r w:rsidRPr="001C3B31">
        <w:rPr>
          <w:lang w:val="ro-RO"/>
        </w:rPr>
        <w:t>% din populația migratoare față de 14</w:t>
      </w:r>
      <w:r>
        <w:rPr>
          <w:lang w:val="ro-RO"/>
        </w:rPr>
        <w:t xml:space="preserve"> </w:t>
      </w:r>
      <w:r w:rsidRPr="001C3B31">
        <w:rPr>
          <w:lang w:val="ro-RO"/>
        </w:rPr>
        <w:t>% din urban în rural.</w:t>
      </w:r>
    </w:p>
    <w:p w:rsidR="004B3372" w:rsidRPr="001C3B31" w:rsidRDefault="004B3372" w:rsidP="004B3372">
      <w:pPr>
        <w:autoSpaceDE w:val="0"/>
        <w:autoSpaceDN w:val="0"/>
        <w:adjustRightInd w:val="0"/>
        <w:rPr>
          <w:lang w:val="ro-RO"/>
        </w:rPr>
      </w:pPr>
      <w:r w:rsidRPr="001C3B31">
        <w:rPr>
          <w:lang w:val="ro-RO"/>
        </w:rPr>
        <w:t>Conform datelor statistice oficiale înregistrate</w:t>
      </w:r>
      <w:r>
        <w:rPr>
          <w:lang w:val="ro-RO"/>
        </w:rPr>
        <w:t>,</w:t>
      </w:r>
      <w:r w:rsidRPr="001C3B31">
        <w:rPr>
          <w:lang w:val="ro-RO"/>
        </w:rPr>
        <w:t xml:space="preserve"> circa 370.000 de emigranți</w:t>
      </w:r>
      <w:r w:rsidRPr="001C3B31">
        <w:rPr>
          <w:rStyle w:val="FootnoteReference"/>
          <w:lang w:val="ro-RO"/>
        </w:rPr>
        <w:footnoteReference w:id="4"/>
      </w:r>
      <w:r w:rsidRPr="001C3B31">
        <w:rPr>
          <w:lang w:val="ro-RO"/>
        </w:rPr>
        <w:t xml:space="preserve"> (circa 10</w:t>
      </w:r>
      <w:r>
        <w:rPr>
          <w:lang w:val="ro-RO"/>
        </w:rPr>
        <w:t xml:space="preserve"> </w:t>
      </w:r>
      <w:r w:rsidRPr="001C3B31">
        <w:rPr>
          <w:lang w:val="ro-RO"/>
        </w:rPr>
        <w:t>% din totalul populației și 16</w:t>
      </w:r>
      <w:r>
        <w:rPr>
          <w:lang w:val="ro-RO"/>
        </w:rPr>
        <w:t xml:space="preserve"> </w:t>
      </w:r>
      <w:r w:rsidRPr="001C3B31">
        <w:rPr>
          <w:lang w:val="ro-RO"/>
        </w:rPr>
        <w:t>% din populația activă) (cifra neoficială constatând circa 800.000 de cetățeni) au plecat în străinătate numai cu scopul angajării în câmpul muncii, iar volumul remitențelor în urma migrației atinge proporții considerabile de 16,1</w:t>
      </w:r>
      <w:r>
        <w:rPr>
          <w:lang w:val="ro-RO"/>
        </w:rPr>
        <w:t xml:space="preserve"> </w:t>
      </w:r>
      <w:r w:rsidRPr="001C3B31">
        <w:rPr>
          <w:lang w:val="ro-RO"/>
        </w:rPr>
        <w:t>% față de PIB</w:t>
      </w:r>
      <w:r w:rsidRPr="001C3B31">
        <w:rPr>
          <w:rStyle w:val="FootnoteReference"/>
          <w:lang w:val="ro-RO"/>
        </w:rPr>
        <w:footnoteReference w:id="5"/>
      </w:r>
      <w:r w:rsidRPr="001C3B31">
        <w:rPr>
          <w:lang w:val="ro-RO"/>
        </w:rPr>
        <w:t>. Astfel, printre țările Europei și Asiei Centrale, Moldova ocupă locul al treilea după ponderea transferurilor în țară din străinătate în PIB.</w:t>
      </w:r>
    </w:p>
    <w:p w:rsidR="004B3372" w:rsidRPr="001C3B31" w:rsidRDefault="004B3372" w:rsidP="004B3372">
      <w:pPr>
        <w:rPr>
          <w:lang w:val="ro-RO"/>
        </w:rPr>
      </w:pPr>
      <w:r w:rsidRPr="001C3B31">
        <w:rPr>
          <w:lang w:val="ro-RO"/>
        </w:rPr>
        <w:t xml:space="preserve">Stoparea emigrării populației din Republica Moldova și reîntoarcerii cetățenilor este strict legată de dezvoltarea economică şi a calităţii vieţii. </w:t>
      </w:r>
    </w:p>
    <w:p w:rsidR="004B3372" w:rsidRPr="001C3B31" w:rsidRDefault="004B3372" w:rsidP="004B3372">
      <w:pPr>
        <w:rPr>
          <w:lang w:val="ro-RO"/>
        </w:rPr>
      </w:pPr>
      <w:r w:rsidRPr="001C3B31">
        <w:rPr>
          <w:lang w:val="ro-RO"/>
        </w:rPr>
        <w:t xml:space="preserve">Zonele rurale din Republica Moldova se confruntă cu provocări deosebite în ceea ce privește dezvoltarea, locurile de muncă și durabilitatea. Ca </w:t>
      </w:r>
      <w:r>
        <w:rPr>
          <w:lang w:val="ro-RO"/>
        </w:rPr>
        <w:t xml:space="preserve">și </w:t>
      </w:r>
      <w:r w:rsidRPr="001C3B31">
        <w:rPr>
          <w:lang w:val="ro-RO"/>
        </w:rPr>
        <w:t>în restul Europei, zonele rurale sunt extrem de diverse, variind de la zonele rurale care suferă de depopulare și declin, pînă la zonele periurbane aflate sub presiune din ce în ce mai mare din centrele urbane.</w:t>
      </w:r>
    </w:p>
    <w:p w:rsidR="004B3372" w:rsidRPr="001C3B31" w:rsidRDefault="004B3372" w:rsidP="004B3372">
      <w:pPr>
        <w:rPr>
          <w:rFonts w:cstheme="minorHAnsi"/>
          <w:lang w:val="ro-RO"/>
        </w:rPr>
      </w:pPr>
      <w:r w:rsidRPr="001C3B31">
        <w:rPr>
          <w:rFonts w:cstheme="minorHAnsi"/>
          <w:lang w:val="ro-RO"/>
        </w:rPr>
        <w:t>Pe lângă spectrul îngust al ocupațiilor şi meseriilor solicitate în mediul rural</w:t>
      </w:r>
      <w:r>
        <w:rPr>
          <w:rFonts w:cstheme="minorHAnsi"/>
          <w:lang w:val="ro-RO"/>
        </w:rPr>
        <w:t>,</w:t>
      </w:r>
      <w:r w:rsidRPr="001C3B31">
        <w:rPr>
          <w:rFonts w:cstheme="minorHAnsi"/>
          <w:lang w:val="ro-RO"/>
        </w:rPr>
        <w:t xml:space="preserve"> o altă problema este şi infrastructura socială degradată şi subdezvoltată</w:t>
      </w:r>
      <w:r>
        <w:rPr>
          <w:rFonts w:cstheme="minorHAnsi"/>
          <w:lang w:val="ro-RO"/>
        </w:rPr>
        <w:t>,</w:t>
      </w:r>
      <w:r w:rsidRPr="001C3B31">
        <w:rPr>
          <w:rFonts w:cstheme="minorHAnsi"/>
          <w:lang w:val="ro-RO"/>
        </w:rPr>
        <w:t xml:space="preserve"> care inevitabil determină o calitate a vieții net inferioară celei din mediul urban. Discrepanțe mari se observă și la </w:t>
      </w:r>
      <w:r>
        <w:rPr>
          <w:rFonts w:cstheme="minorHAnsi"/>
          <w:lang w:val="ro-RO"/>
        </w:rPr>
        <w:t xml:space="preserve">capitolul privind </w:t>
      </w:r>
      <w:r w:rsidRPr="001C3B31">
        <w:rPr>
          <w:rFonts w:cstheme="minorHAnsi"/>
          <w:lang w:val="ro-RO"/>
        </w:rPr>
        <w:t>gradul de dotare al locuințelor pe comodități. În 2018, cota populației din mediul rural cu acces la servicii publice este devansată semnificativ de populația din mediul urban, deși în structura populației predomină populația din mediul rural (56,9%). Astfel, în perioada analizată doar 6,2% din populația rurală au beneficia</w:t>
      </w:r>
      <w:r>
        <w:rPr>
          <w:rFonts w:cstheme="minorHAnsi"/>
          <w:lang w:val="ro-RO"/>
        </w:rPr>
        <w:t>t de servicii de salubrizare, câ</w:t>
      </w:r>
      <w:r w:rsidRPr="001C3B31">
        <w:rPr>
          <w:rFonts w:cstheme="minorHAnsi"/>
          <w:lang w:val="ro-RO"/>
        </w:rPr>
        <w:t>te 51,5% și 52,2%</w:t>
      </w:r>
      <w:r>
        <w:rPr>
          <w:rFonts w:cstheme="minorHAnsi"/>
          <w:lang w:val="ro-RO"/>
        </w:rPr>
        <w:t>,</w:t>
      </w:r>
      <w:r w:rsidRPr="001C3B31">
        <w:rPr>
          <w:rFonts w:cstheme="minorHAnsi"/>
          <w:lang w:val="ro-RO"/>
        </w:rPr>
        <w:t xml:space="preserve"> respectiv</w:t>
      </w:r>
      <w:r>
        <w:rPr>
          <w:rFonts w:cstheme="minorHAnsi"/>
          <w:lang w:val="ro-RO"/>
        </w:rPr>
        <w:t>,</w:t>
      </w:r>
      <w:r w:rsidRPr="001C3B31">
        <w:rPr>
          <w:rFonts w:cstheme="minorHAnsi"/>
          <w:lang w:val="ro-RO"/>
        </w:rPr>
        <w:t xml:space="preserve"> dețin acces la rețeaua publică de canalizare și apeduct. Ponderea populației cu grup sanitar în interiorul locuinței în mediul rural este nesemnificativă și constituie doar 18,8</w:t>
      </w:r>
      <w:r>
        <w:rPr>
          <w:rFonts w:cstheme="minorHAnsi"/>
          <w:lang w:val="ro-RO"/>
        </w:rPr>
        <w:t xml:space="preserve"> </w:t>
      </w:r>
      <w:r w:rsidRPr="001C3B31">
        <w:rPr>
          <w:rFonts w:cstheme="minorHAnsi"/>
          <w:lang w:val="ro-RO"/>
        </w:rPr>
        <w:t xml:space="preserve">% din populația rurală. </w:t>
      </w:r>
    </w:p>
    <w:p w:rsidR="004B3372" w:rsidRPr="001C3B31" w:rsidRDefault="004B3372" w:rsidP="004B3372">
      <w:pPr>
        <w:rPr>
          <w:rFonts w:cstheme="minorHAnsi"/>
          <w:lang w:val="ro-RO"/>
        </w:rPr>
      </w:pPr>
      <w:r w:rsidRPr="001C3B31">
        <w:rPr>
          <w:rFonts w:cstheme="minorHAnsi"/>
          <w:lang w:val="ro-RO"/>
        </w:rPr>
        <w:t xml:space="preserve">Accesul inegal al populației la infrastructură este considerat un factor care afectează ocuparea în special </w:t>
      </w:r>
      <w:proofErr w:type="spellStart"/>
      <w:r w:rsidRPr="001C3B31">
        <w:rPr>
          <w:rFonts w:cstheme="minorHAnsi"/>
          <w:lang w:val="ro-RO"/>
        </w:rPr>
        <w:t>nonagricolă</w:t>
      </w:r>
      <w:proofErr w:type="spellEnd"/>
      <w:r w:rsidRPr="001C3B31">
        <w:rPr>
          <w:rFonts w:cstheme="minorHAnsi"/>
          <w:lang w:val="ro-RO"/>
        </w:rPr>
        <w:t xml:space="preserve"> în mediul rural. Iar infrastructura de proastă calitate la nivel local impune anumite constrângeri de dezvoltare a sectorului de afaceri. Toate acestea reduc șansele pentru crearea noilor locuri de muncă la nivel local și conduc la creșterea fluxurilor de mobilitate internă a forței de muncă din comunitățile fără o infrastructură dezvoltată spre cele cu o infrastructură dezvoltată, care au servicii de primă necesitate, cum ar fi cele sociale. </w:t>
      </w:r>
    </w:p>
    <w:p w:rsidR="004B3372" w:rsidRPr="001C3B31" w:rsidRDefault="004B3372" w:rsidP="004B3372">
      <w:pPr>
        <w:pStyle w:val="Caption"/>
        <w:framePr w:wrap="around"/>
        <w:rPr>
          <w:lang w:val="ro-RO"/>
        </w:rPr>
      </w:pPr>
      <w:r w:rsidRPr="001C3B31">
        <w:rPr>
          <w:lang w:val="ro-RO"/>
        </w:rPr>
        <w:t>Figura 1: Accesul la serviciile publice și infrastructura publică de bază, 01.01.2019, %</w:t>
      </w:r>
    </w:p>
    <w:p w:rsidR="004B3372" w:rsidRPr="001C3B31" w:rsidRDefault="004B3372" w:rsidP="004B3372">
      <w:pPr>
        <w:spacing w:after="0"/>
        <w:rPr>
          <w:rFonts w:cstheme="minorHAnsi"/>
          <w:highlight w:val="yellow"/>
          <w:lang w:val="ro-RO"/>
        </w:rPr>
      </w:pPr>
      <w:r w:rsidRPr="001C3B31">
        <w:rPr>
          <w:noProof/>
          <w:lang w:val="ru-RU" w:eastAsia="ru-RU"/>
        </w:rPr>
        <w:drawing>
          <wp:inline distT="0" distB="0" distL="0" distR="0" wp14:anchorId="1FE8DD68" wp14:editId="43828FA2">
            <wp:extent cx="6174740" cy="2034283"/>
            <wp:effectExtent l="0" t="0" r="10160" b="10795"/>
            <wp:docPr id="8" name="Chart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D65F19-E42E-447A-947D-12C581CCD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3372" w:rsidRPr="001C3B31" w:rsidRDefault="004B3372" w:rsidP="004B3372">
      <w:pPr>
        <w:pStyle w:val="Bottomcaption"/>
        <w:framePr w:wrap="around"/>
        <w:rPr>
          <w:rFonts w:cstheme="minorHAnsi"/>
          <w:lang w:val="ro-RO"/>
        </w:rPr>
      </w:pPr>
      <w:r w:rsidRPr="001C3B31">
        <w:rPr>
          <w:lang w:val="ro-RO"/>
        </w:rPr>
        <w:t>Sursa: BNS</w:t>
      </w:r>
    </w:p>
    <w:p w:rsidR="004B3372" w:rsidRPr="001C3B31" w:rsidRDefault="004B3372" w:rsidP="004B3372">
      <w:pPr>
        <w:rPr>
          <w:lang w:val="ro-RO"/>
        </w:rPr>
      </w:pPr>
      <w:r w:rsidRPr="001C3B31">
        <w:rPr>
          <w:lang w:val="ro-RO"/>
        </w:rPr>
        <w:lastRenderedPageBreak/>
        <w:t xml:space="preserve">Dezvoltarea infrastructurii serviciilor este strategic importantă atât pentru creșterea economică, cât și pentru asigurarea unui control al stării de sănătate a populației, în special în mediul rural. Iar starea de sănătate ține direct de accesul populației la apă potabilă și sanitație. Lipsa rețelelor de canalizare și prezența fântânilor afectate mărește pericolul latent al bolilor cauzate de consumul apei în rândul populației. Dacă calitatea educației determină în mare măsură calitatea vieții și creează oportunități pentru creștere </w:t>
      </w:r>
      <w:r w:rsidRPr="001C3B31">
        <w:rPr>
          <w:lang w:val="ro-RO"/>
        </w:rPr>
        <w:softHyphen/>
      </w:r>
      <w:r w:rsidRPr="001C3B31">
        <w:rPr>
          <w:lang w:val="ro-RO"/>
        </w:rPr>
        <w:softHyphen/>
      </w:r>
      <w:r w:rsidRPr="001C3B31">
        <w:rPr>
          <w:lang w:val="ro-RO"/>
        </w:rPr>
        <w:softHyphen/>
        <w:t>profesională, toți elevii trebuie să beneficieze de acces la școli cu un sistem centralizat de alimentare cu apă și bloc sanitar în încăpere. Așa încât calitatea apei potabile și condițiile igienice din instituțiile de învățământ să nu mai fie un impediment în evoluția</w:t>
      </w:r>
      <w:r>
        <w:rPr>
          <w:lang w:val="ro-RO"/>
        </w:rPr>
        <w:t xml:space="preserve"> sănătoasă a copiilor, viitoarea</w:t>
      </w:r>
      <w:r w:rsidRPr="001C3B31">
        <w:rPr>
          <w:lang w:val="ro-RO"/>
        </w:rPr>
        <w:t xml:space="preserve"> resurs</w:t>
      </w:r>
      <w:r>
        <w:rPr>
          <w:lang w:val="ro-RO"/>
        </w:rPr>
        <w:t>ă</w:t>
      </w:r>
      <w:r w:rsidRPr="001C3B31">
        <w:rPr>
          <w:lang w:val="ro-RO"/>
        </w:rPr>
        <w:t xml:space="preserve"> uman</w:t>
      </w:r>
      <w:r>
        <w:rPr>
          <w:lang w:val="ro-RO"/>
        </w:rPr>
        <w:t>ă</w:t>
      </w:r>
      <w:r w:rsidRPr="001C3B31">
        <w:rPr>
          <w:lang w:val="ro-RO"/>
        </w:rPr>
        <w:t xml:space="preserve"> a țării.</w:t>
      </w:r>
    </w:p>
    <w:p w:rsidR="004B3372" w:rsidRPr="001C3B31" w:rsidRDefault="004B3372" w:rsidP="004B3372">
      <w:pPr>
        <w:rPr>
          <w:lang w:val="ro-RO"/>
        </w:rPr>
      </w:pPr>
      <w:r w:rsidRPr="001C3B31">
        <w:rPr>
          <w:rFonts w:cstheme="minorHAnsi"/>
          <w:lang w:val="ro-RO"/>
        </w:rPr>
        <w:t>Accesul limitat, ineficiența și calitatea proastă a serviciilor publice, precum educația, sănătatea, transportul și apa au contribuit la excluziunea socială, sărăcia persistentă și vulnerabilitatea la șocuri a populației din mediul rural. În combinație cu factorii economici, accesul limitat la serviciile publice și infrastructura publică subdezvoltată reprezintă principala cauză a stagnării dezvoltării mediului rural.</w:t>
      </w:r>
      <w:r w:rsidRPr="001C3B31">
        <w:rPr>
          <w:lang w:val="ro-RO"/>
        </w:rPr>
        <w:t xml:space="preserve"> </w:t>
      </w:r>
    </w:p>
    <w:p w:rsidR="004B3372" w:rsidRPr="001C3B31" w:rsidRDefault="004B3372" w:rsidP="004B3372">
      <w:pPr>
        <w:rPr>
          <w:lang w:val="ro-RO"/>
        </w:rPr>
      </w:pPr>
      <w:r w:rsidRPr="001C3B31">
        <w:rPr>
          <w:lang w:val="ro-RO"/>
        </w:rPr>
        <w:t>Amploarea problemelor adresate în cadrul capitolului anterior este validată printr-un șir de instrumente de e</w:t>
      </w:r>
      <w:r>
        <w:rPr>
          <w:lang w:val="ro-RO"/>
        </w:rPr>
        <w:t>valuare de natură cantitativă (</w:t>
      </w:r>
      <w:r w:rsidRPr="001C3B31">
        <w:rPr>
          <w:lang w:val="ro-RO"/>
        </w:rPr>
        <w:t>analiza de date statistice  și rapoarte relevante)</w:t>
      </w:r>
      <w:r>
        <w:rPr>
          <w:lang w:val="ro-RO"/>
        </w:rPr>
        <w:t>,</w:t>
      </w:r>
      <w:r w:rsidRPr="001C3B31">
        <w:rPr>
          <w:lang w:val="ro-RO"/>
        </w:rPr>
        <w:t xml:space="preserve"> precum și calitative (în baza interviurilor și chestionarul</w:t>
      </w:r>
      <w:r>
        <w:rPr>
          <w:lang w:val="ro-RO"/>
        </w:rPr>
        <w:t xml:space="preserve">ui aplicat ce denotă percepția </w:t>
      </w:r>
      <w:r w:rsidRPr="001C3B31">
        <w:rPr>
          <w:lang w:val="ro-RO"/>
        </w:rPr>
        <w:t>părților interesate). Mai mult decât atât</w:t>
      </w:r>
      <w:r>
        <w:rPr>
          <w:lang w:val="ro-RO"/>
        </w:rPr>
        <w:t>,</w:t>
      </w:r>
      <w:r w:rsidRPr="001C3B31">
        <w:rPr>
          <w:lang w:val="ro-RO"/>
        </w:rPr>
        <w:t xml:space="preserve"> carențele identificate au o acoperire teritorială vastă și vizează nu doar anumite sectoare ale economiei,  respectiv doar o abordare integrată ar putea adresa necesitățile de dezvoltare.</w:t>
      </w:r>
    </w:p>
    <w:p w:rsidR="004B3372" w:rsidRPr="001C3B31" w:rsidRDefault="004B3372" w:rsidP="004B3372">
      <w:pPr>
        <w:rPr>
          <w:rFonts w:ascii="Calibri" w:hAnsi="Calibri" w:cs="Calibri"/>
          <w:color w:val="000000" w:themeColor="text1"/>
          <w:lang w:val="ro-RO"/>
        </w:rPr>
      </w:pPr>
      <w:r w:rsidRPr="001C3B31">
        <w:rPr>
          <w:lang w:val="ro-RO"/>
        </w:rPr>
        <w:t>În prezent</w:t>
      </w:r>
      <w:r>
        <w:rPr>
          <w:lang w:val="ro-RO"/>
        </w:rPr>
        <w:t>,</w:t>
      </w:r>
      <w:r w:rsidRPr="001C3B31">
        <w:rPr>
          <w:lang w:val="ro-RO"/>
        </w:rPr>
        <w:t xml:space="preserve"> intervențiile orientate în acest sens nu adresează decât parțial sau secvențial proiecte  ce vizează </w:t>
      </w:r>
      <w:r w:rsidRPr="001C3B31">
        <w:rPr>
          <w:rFonts w:ascii="Calibri" w:hAnsi="Calibri" w:cs="Calibri"/>
          <w:color w:val="000000" w:themeColor="text1"/>
          <w:lang w:val="ro-RO"/>
        </w:rPr>
        <w:t>îmbunătățirea nivelului de muncă și trai în mediul rural</w:t>
      </w:r>
      <w:r>
        <w:rPr>
          <w:rFonts w:ascii="Calibri" w:hAnsi="Calibri" w:cs="Calibri"/>
          <w:color w:val="000000" w:themeColor="text1"/>
          <w:lang w:val="ro-RO"/>
        </w:rPr>
        <w:t>,</w:t>
      </w:r>
      <w:r w:rsidRPr="001C3B31">
        <w:rPr>
          <w:rFonts w:ascii="Calibri" w:hAnsi="Calibri" w:cs="Calibri"/>
          <w:color w:val="000000" w:themeColor="text1"/>
          <w:lang w:val="ro-RO"/>
        </w:rPr>
        <w:t xml:space="preserve"> respectiv</w:t>
      </w:r>
      <w:r>
        <w:rPr>
          <w:rFonts w:ascii="Calibri" w:hAnsi="Calibri" w:cs="Calibri"/>
          <w:color w:val="000000" w:themeColor="text1"/>
          <w:lang w:val="ro-RO"/>
        </w:rPr>
        <w:t>,</w:t>
      </w:r>
      <w:r w:rsidRPr="001C3B31">
        <w:rPr>
          <w:rFonts w:ascii="Calibri" w:hAnsi="Calibri" w:cs="Calibri"/>
          <w:color w:val="000000" w:themeColor="text1"/>
          <w:lang w:val="ro-RO"/>
        </w:rPr>
        <w:t xml:space="preserve"> progresul în această direcție este lent și izolat. Menținerea aceluiași ritm și </w:t>
      </w:r>
      <w:r w:rsidRPr="00C8225A">
        <w:rPr>
          <w:rFonts w:ascii="Calibri" w:hAnsi="Calibri" w:cs="Calibri"/>
          <w:lang w:val="ro-RO"/>
        </w:rPr>
        <w:t xml:space="preserve">lipsa intervenției </w:t>
      </w:r>
      <w:r w:rsidRPr="001C3B31">
        <w:rPr>
          <w:rFonts w:ascii="Calibri" w:hAnsi="Calibri" w:cs="Calibri"/>
          <w:color w:val="000000" w:themeColor="text1"/>
          <w:lang w:val="ro-RO"/>
        </w:rPr>
        <w:t>din partea statului marchează atât evoluția celorlalte sectoare ale economiei, precum și bunăstarea per ansamblu a populației, care în contextul condițiilor precare din mediu rural și a unor servicii publice slab dezvoltate se orientează spre emigrare.</w:t>
      </w:r>
    </w:p>
    <w:p w:rsidR="004B3372" w:rsidRPr="00ED3762" w:rsidRDefault="004B3372" w:rsidP="004B3372">
      <w:pPr>
        <w:rPr>
          <w:lang w:val="ro-RO"/>
        </w:rPr>
      </w:pPr>
      <w:r w:rsidRPr="001C3B31">
        <w:rPr>
          <w:lang w:val="ro-RO"/>
        </w:rPr>
        <w:t xml:space="preserve">Implementarea programului LEADER vine </w:t>
      </w:r>
      <w:r w:rsidRPr="00ED3762">
        <w:rPr>
          <w:lang w:val="ro-RO"/>
        </w:rPr>
        <w:t xml:space="preserve">drept un răspuns la prioritățile și obiectivele stabilite în cadrul documentelor de planificare strategică a sectorului agricol și de dezvoltare rurală adresate de Strategia Națională de Dezvoltare Agricolă și Rurală (SNDAR) pentru anii 2014-2020. </w:t>
      </w:r>
    </w:p>
    <w:p w:rsidR="004B3372" w:rsidRPr="001C3B31" w:rsidRDefault="004B3372" w:rsidP="004B3372">
      <w:pPr>
        <w:rPr>
          <w:lang w:val="ro-RO"/>
        </w:rPr>
      </w:pPr>
      <w:r w:rsidRPr="001C3B31">
        <w:rPr>
          <w:lang w:val="ro-RO"/>
        </w:rPr>
        <w:t xml:space="preserve">Obiectivul major al programului LEADER constă în facilitarea diminuării excluziunii sociale, prin dezvoltarea și implementarea unor strategii la nivel </w:t>
      </w:r>
      <w:r>
        <w:rPr>
          <w:lang w:val="ro-RO"/>
        </w:rPr>
        <w:t>micro</w:t>
      </w:r>
      <w:r w:rsidRPr="001C3B31">
        <w:rPr>
          <w:lang w:val="ro-RO"/>
        </w:rPr>
        <w:t xml:space="preserve">regional cu implicarea unui spectru larg de părți </w:t>
      </w:r>
      <w:r>
        <w:rPr>
          <w:lang w:val="ro-RO"/>
        </w:rPr>
        <w:t>interesate printre care a</w:t>
      </w:r>
      <w:r w:rsidRPr="001C3B31">
        <w:rPr>
          <w:lang w:val="ro-RO"/>
        </w:rPr>
        <w:t>utoritățile</w:t>
      </w:r>
      <w:r>
        <w:rPr>
          <w:lang w:val="ro-RO"/>
        </w:rPr>
        <w:t xml:space="preserve"> publice locale, organizațiile necomerciale locale, agenții e</w:t>
      </w:r>
      <w:r w:rsidRPr="001C3B31">
        <w:rPr>
          <w:lang w:val="ro-RO"/>
        </w:rPr>
        <w:t>conomici, dar și grupurile locale de</w:t>
      </w:r>
      <w:r>
        <w:rPr>
          <w:lang w:val="ro-RO"/>
        </w:rPr>
        <w:t xml:space="preserve"> acțiune.</w:t>
      </w:r>
    </w:p>
    <w:p w:rsidR="004B3372" w:rsidRPr="001C3B31" w:rsidRDefault="004B3372" w:rsidP="004B3372">
      <w:pPr>
        <w:rPr>
          <w:lang w:val="ro-RO"/>
        </w:rPr>
      </w:pPr>
      <w:r w:rsidRPr="001C3B31">
        <w:rPr>
          <w:lang w:val="ro-RO"/>
        </w:rPr>
        <w:t>În acest sens</w:t>
      </w:r>
      <w:r>
        <w:rPr>
          <w:lang w:val="ro-RO"/>
        </w:rPr>
        <w:t>,</w:t>
      </w:r>
      <w:r w:rsidRPr="001C3B31">
        <w:rPr>
          <w:lang w:val="ro-RO"/>
        </w:rPr>
        <w:t xml:space="preserve"> programul LEADER vine să faciliteze implementarea unor strategii la nivel de microregiune, prin dezvoltarea și finanțarea proiectelor de valoare mică, dar cu impact semnificativ la nivel local. </w:t>
      </w:r>
    </w:p>
    <w:p w:rsidR="004B3372" w:rsidRPr="001C3B31" w:rsidRDefault="004B3372" w:rsidP="004B3372">
      <w:pPr>
        <w:rPr>
          <w:lang w:val="ro-RO"/>
        </w:rPr>
      </w:pPr>
      <w:r w:rsidRPr="001C3B31">
        <w:rPr>
          <w:lang w:val="ro-RO"/>
        </w:rPr>
        <w:t>Pornind de la faptul</w:t>
      </w:r>
      <w:r>
        <w:rPr>
          <w:lang w:val="ro-RO"/>
        </w:rPr>
        <w:t>,</w:t>
      </w:r>
      <w:r w:rsidRPr="001C3B31">
        <w:rPr>
          <w:lang w:val="ro-RO"/>
        </w:rPr>
        <w:t xml:space="preserve"> că Programul LEADER are la bază ideea cooptării resurselor unui spectru mai larg de părți interesate, acesta prevede formalizarea relațiilor dintre toți actorii implicați prin crearea unei entități unice – </w:t>
      </w:r>
      <w:r w:rsidRPr="00C8225A">
        <w:rPr>
          <w:b/>
          <w:u w:val="single"/>
          <w:lang w:val="ro-RO"/>
        </w:rPr>
        <w:t>Grupul de Acțiune Locală</w:t>
      </w:r>
      <w:r w:rsidRPr="001C3B31">
        <w:rPr>
          <w:lang w:val="ro-RO"/>
        </w:rPr>
        <w:t>, menită să gestioneze procesul de elaborare și implementarea a strategiilor locale, p</w:t>
      </w:r>
      <w:r>
        <w:rPr>
          <w:lang w:val="ro-RO"/>
        </w:rPr>
        <w:t>recum și să asigure relația cu autoritățile publice c</w:t>
      </w:r>
      <w:r w:rsidRPr="001C3B31">
        <w:rPr>
          <w:lang w:val="ro-RO"/>
        </w:rPr>
        <w:t xml:space="preserve">entrale și/sau organizațiile internaționale. </w:t>
      </w:r>
    </w:p>
    <w:p w:rsidR="004B3372" w:rsidRPr="00ED3762" w:rsidRDefault="004B3372" w:rsidP="004B3372">
      <w:pPr>
        <w:rPr>
          <w:b/>
          <w:lang w:val="ro-RO"/>
        </w:rPr>
      </w:pPr>
      <w:r w:rsidRPr="001C3B31">
        <w:rPr>
          <w:lang w:val="ro-RO"/>
        </w:rPr>
        <w:t>Crearea și asigurarea funcționalității Grupurilor de Acțiune Locală și</w:t>
      </w:r>
      <w:r>
        <w:rPr>
          <w:lang w:val="ro-RO"/>
        </w:rPr>
        <w:t>,</w:t>
      </w:r>
      <w:r w:rsidRPr="001C3B31">
        <w:rPr>
          <w:lang w:val="ro-RO"/>
        </w:rPr>
        <w:t xml:space="preserve"> în special</w:t>
      </w:r>
      <w:r>
        <w:rPr>
          <w:lang w:val="ro-RO"/>
        </w:rPr>
        <w:t>,</w:t>
      </w:r>
      <w:r w:rsidRPr="001C3B31">
        <w:rPr>
          <w:lang w:val="ro-RO"/>
        </w:rPr>
        <w:t xml:space="preserve"> determinarea formei juridice optime a acestora reprezintă o adevărată provocare. La momentul de față au fost determinate 3 </w:t>
      </w:r>
      <w:r w:rsidRPr="00ED3762">
        <w:rPr>
          <w:lang w:val="ro-RO"/>
        </w:rPr>
        <w:t>sc</w:t>
      </w:r>
      <w:r w:rsidRPr="001C3B31">
        <w:rPr>
          <w:lang w:val="ro-RO"/>
        </w:rPr>
        <w:t>enarii posibile de formalizare a organizării juridice a GAL-urilor și anume: i)</w:t>
      </w:r>
      <w:r w:rsidRPr="00ED3762">
        <w:rPr>
          <w:b/>
          <w:u w:val="single"/>
          <w:lang w:val="ro-RO"/>
        </w:rPr>
        <w:t>Status Quo</w:t>
      </w:r>
      <w:r w:rsidRPr="001C3B31">
        <w:rPr>
          <w:lang w:val="ro-RO"/>
        </w:rPr>
        <w:t xml:space="preserve"> – renunțarea la careva modificări legislative în vederea instituționalizării Grupurilor de A</w:t>
      </w:r>
      <w:r>
        <w:rPr>
          <w:lang w:val="ro-RO"/>
        </w:rPr>
        <w:t xml:space="preserve">cțiune Locală, ii) </w:t>
      </w:r>
      <w:r w:rsidRPr="00ED3762">
        <w:rPr>
          <w:b/>
          <w:u w:val="single"/>
          <w:lang w:val="ro-RO"/>
        </w:rPr>
        <w:t>Modificarea Legii privind asociațiile obștești</w:t>
      </w:r>
      <w:r w:rsidRPr="001C3B31">
        <w:rPr>
          <w:lang w:val="ro-RO"/>
        </w:rPr>
        <w:t xml:space="preserve"> și introducerea dreptului APL-urilor de a participa în calitate de fo</w:t>
      </w:r>
      <w:r>
        <w:rPr>
          <w:lang w:val="ro-RO"/>
        </w:rPr>
        <w:t>ndator al asociațiilor o</w:t>
      </w:r>
      <w:r w:rsidRPr="001C3B31">
        <w:rPr>
          <w:lang w:val="ro-RO"/>
        </w:rPr>
        <w:t xml:space="preserve">bștești, precum și introducerea în norma juridică a GAL-urilor drept forme juridice de organizare a organizațiilor obștești; iii) </w:t>
      </w:r>
      <w:r w:rsidRPr="00ED3762">
        <w:rPr>
          <w:b/>
          <w:u w:val="single"/>
          <w:lang w:val="ro-RO"/>
        </w:rPr>
        <w:t>Aprobarea unei legi speciale privind GAL-urile</w:t>
      </w:r>
      <w:r w:rsidRPr="001C3B31">
        <w:rPr>
          <w:lang w:val="ro-RO"/>
        </w:rPr>
        <w:t xml:space="preserve">, care să reglementeze statutul și toate aspectele de natură administrativă și juridică a acestora. </w:t>
      </w:r>
      <w:r w:rsidRPr="00ED3762">
        <w:rPr>
          <w:b/>
          <w:lang w:val="ro-RO"/>
        </w:rPr>
        <w:t xml:space="preserve">Analiza acestora și identificarea mecanismului optim reprezintă obiectul principal al evaluării date.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Evaluarea ex-ante va adresa analiza multidimensională și secvențială a celor trei scenarii identificate propuse în vederea ajustării cadrului de funcționare pentru maximizarea atingerii obiectivelor propuse.</w:t>
      </w:r>
    </w:p>
    <w:p w:rsidR="004B3372" w:rsidRPr="001C3B31" w:rsidRDefault="004B3372" w:rsidP="004B3372">
      <w:pPr>
        <w:rPr>
          <w:rFonts w:ascii="Calibri" w:hAnsi="Calibri" w:cs="Calibri"/>
          <w:color w:val="000000" w:themeColor="text1"/>
          <w:lang w:val="ro-RO"/>
        </w:rPr>
        <w:sectPr w:rsidR="004B3372" w:rsidRPr="001C3B31" w:rsidSect="00B50045">
          <w:pgSz w:w="11907" w:h="16839" w:code="9"/>
          <w:pgMar w:top="1152" w:right="1440" w:bottom="1440" w:left="1022" w:header="706" w:footer="288" w:gutter="0"/>
          <w:cols w:space="708"/>
          <w:titlePg/>
          <w:docGrid w:linePitch="360"/>
        </w:sectPr>
      </w:pPr>
    </w:p>
    <w:p w:rsidR="004B3372" w:rsidRPr="001C3B31" w:rsidRDefault="004B3372" w:rsidP="004B3372">
      <w:pPr>
        <w:pStyle w:val="Heading1"/>
        <w:spacing w:after="0"/>
        <w:rPr>
          <w:lang w:val="ro-RO"/>
        </w:rPr>
      </w:pPr>
      <w:bookmarkStart w:id="13" w:name="_Toc6492721"/>
      <w:bookmarkStart w:id="14" w:name="_Toc32964808"/>
      <w:r w:rsidRPr="001C3B31">
        <w:rPr>
          <w:lang w:val="ro-RO"/>
        </w:rPr>
        <w:lastRenderedPageBreak/>
        <w:t>Analiza dimensiunilor de evaluare</w:t>
      </w:r>
      <w:bookmarkEnd w:id="13"/>
      <w:bookmarkEnd w:id="14"/>
      <w:r w:rsidRPr="001C3B31">
        <w:rPr>
          <w:lang w:val="ro-RO"/>
        </w:rPr>
        <w:t xml:space="preserve"> </w:t>
      </w:r>
    </w:p>
    <w:p w:rsidR="004B3372" w:rsidRPr="007F0A8B" w:rsidRDefault="004B3372" w:rsidP="004B3372">
      <w:pPr>
        <w:pStyle w:val="Heading2"/>
        <w:rPr>
          <w:b/>
          <w:color w:val="0070C0"/>
          <w:lang w:val="ro-RO"/>
        </w:rPr>
      </w:pPr>
      <w:bookmarkStart w:id="15" w:name="_Toc32964809"/>
      <w:r w:rsidRPr="007F0A8B">
        <w:rPr>
          <w:b/>
          <w:color w:val="0070C0"/>
          <w:lang w:val="ro-RO"/>
        </w:rPr>
        <w:t>Structura Propunerii de Politică Publică</w:t>
      </w:r>
      <w:bookmarkEnd w:id="15"/>
    </w:p>
    <w:p w:rsidR="004B3372" w:rsidRPr="001C3B31" w:rsidRDefault="004B3372" w:rsidP="004B3372">
      <w:pPr>
        <w:rPr>
          <w:lang w:val="ro-RO"/>
        </w:rPr>
      </w:pPr>
      <w:r w:rsidRPr="001C3B31">
        <w:rPr>
          <w:lang w:val="ro-RO"/>
        </w:rPr>
        <w:t xml:space="preserve">Propunerea de Politică Publică reprezintă Programul UE LEADER, implementat în Republica Moldova sub forma unei măsuri de subvenționare din sursele FNDAMR.  Scopul evaluării constă în analiza parametrilor tehnici și a relevanței măsurii în cadrul Strategiei Naționale de Dezvoltare Agricolă și Rurală, precum și ajustarea cadrului de implementare a măsurii în cauză, care la momentul de față a fost finanțat exclusiv din sursele externe. Descrierea detaliată a modificărilor legislative necesare implementării PPP-ului urmează să fie prezentată în cadrul capitolului dedicat analizei impactului juridic. </w:t>
      </w:r>
    </w:p>
    <w:p w:rsidR="004B3372" w:rsidRPr="001C3B31" w:rsidRDefault="004B3372" w:rsidP="004B3372">
      <w:pPr>
        <w:rPr>
          <w:rFonts w:cs="Arial"/>
          <w:color w:val="000000"/>
          <w:lang w:val="ro-RO"/>
        </w:rPr>
      </w:pPr>
      <w:r w:rsidRPr="001C3B31">
        <w:rPr>
          <w:lang w:val="ro-RO"/>
        </w:rPr>
        <w:t>Totodată, Obiectul specific 3.3 al Strategiei Naționale de Dezvoltare Agrico</w:t>
      </w:r>
      <w:r>
        <w:rPr>
          <w:lang w:val="ro-RO"/>
        </w:rPr>
        <w:t>lă și Rurală 2014-2020 prevede s</w:t>
      </w:r>
      <w:r w:rsidRPr="001C3B31">
        <w:rPr>
          <w:lang w:val="ro-RO"/>
        </w:rPr>
        <w:t xml:space="preserve">timularea implicării comunității locale în dezvoltarea rurală, iar unica acțiune prevăzută pentru atingerea acestui obiectiv de către Planul de Acțiuni pentru implementarea SNDAR 2014-2020, aprobat prin HG 742/2015 prevede </w:t>
      </w:r>
      <w:r>
        <w:rPr>
          <w:i/>
          <w:iCs/>
          <w:lang w:val="ro-RO"/>
        </w:rPr>
        <w:t>c</w:t>
      </w:r>
      <w:r w:rsidRPr="001C3B31">
        <w:rPr>
          <w:i/>
          <w:iCs/>
          <w:lang w:val="ro-RO"/>
        </w:rPr>
        <w:t xml:space="preserve">rearea și funcționarea grupurilor de acțiune </w:t>
      </w:r>
      <w:r w:rsidRPr="001C3B31">
        <w:rPr>
          <w:i/>
          <w:iCs/>
          <w:color w:val="000000"/>
          <w:lang w:val="ro-RO"/>
        </w:rPr>
        <w:t xml:space="preserve">locală bazate pe principiile Programului LEADER al Uniunii Europene. </w:t>
      </w:r>
      <w:r w:rsidRPr="001C3B31">
        <w:rPr>
          <w:color w:val="000000"/>
          <w:lang w:val="ro-RO"/>
        </w:rPr>
        <w:t xml:space="preserve">În aceste condiții, a fost propusă includerea Programul în calitate de măsură de subvenționare din sursele FNDAMR, urmând ca prin implementarea </w:t>
      </w:r>
      <w:r w:rsidRPr="001C3B31">
        <w:rPr>
          <w:rFonts w:cs="Arial"/>
          <w:color w:val="000000"/>
          <w:lang w:val="ro-RO"/>
        </w:rPr>
        <w:t xml:space="preserve">PPP-ul să fie asigurată finanțarea </w:t>
      </w:r>
      <w:r>
        <w:rPr>
          <w:rFonts w:cs="Arial"/>
          <w:color w:val="000000"/>
          <w:lang w:val="ro-RO"/>
        </w:rPr>
        <w:t>din surse b</w:t>
      </w:r>
      <w:r w:rsidRPr="001C3B31">
        <w:rPr>
          <w:rFonts w:cs="Arial"/>
          <w:color w:val="000000"/>
          <w:lang w:val="ro-RO"/>
        </w:rPr>
        <w:t xml:space="preserve">ugetare a Grupurilor de Acțiune Locală. </w:t>
      </w:r>
    </w:p>
    <w:p w:rsidR="004B3372" w:rsidRPr="001C3B31" w:rsidRDefault="004B3372" w:rsidP="004B3372">
      <w:pPr>
        <w:rPr>
          <w:rFonts w:cs="Arial"/>
          <w:color w:val="000000"/>
          <w:lang w:val="ro-RO"/>
        </w:rPr>
      </w:pPr>
      <w:r w:rsidRPr="001C3B31">
        <w:rPr>
          <w:rFonts w:cs="Arial"/>
          <w:color w:val="000000"/>
          <w:lang w:val="ro-RO"/>
        </w:rPr>
        <w:t xml:space="preserve">La rândul său, Grupul de Acțiune Locală (GAL) </w:t>
      </w:r>
      <w:r w:rsidRPr="001C3B31">
        <w:rPr>
          <w:lang w:val="ro-RO"/>
        </w:rPr>
        <w:t xml:space="preserve">reprezintă o structură complexă (la etapa actuală cu sau fără persoană juridică distinctă), formată la nivel </w:t>
      </w:r>
      <w:r>
        <w:rPr>
          <w:lang w:val="ro-RO"/>
        </w:rPr>
        <w:t>micro</w:t>
      </w:r>
      <w:r w:rsidRPr="001C3B31">
        <w:rPr>
          <w:lang w:val="ro-RO"/>
        </w:rPr>
        <w:t xml:space="preserve">regional (minimum 3 unități administrativ-teritoriale, cu populația de cel puțin 10.000 de locuitori) și include reprezentanți ai tuturor părților cointeresate în procese de dezvoltare locală din microregiunea în cauză și anume reprezentanții sectorului public, antreprenorial și civic. </w:t>
      </w:r>
    </w:p>
    <w:p w:rsidR="004B3372" w:rsidRPr="001C3B31" w:rsidRDefault="004B3372" w:rsidP="004B3372">
      <w:pPr>
        <w:rPr>
          <w:lang w:val="ro-RO"/>
        </w:rPr>
      </w:pPr>
      <w:r w:rsidRPr="001C3B31">
        <w:rPr>
          <w:lang w:val="ro-RO"/>
        </w:rPr>
        <w:t>În vedere</w:t>
      </w:r>
      <w:r>
        <w:rPr>
          <w:lang w:val="ro-RO"/>
        </w:rPr>
        <w:t>a</w:t>
      </w:r>
      <w:r w:rsidRPr="001C3B31">
        <w:rPr>
          <w:lang w:val="ro-RO"/>
        </w:rPr>
        <w:t xml:space="preserve"> dezvoltării și soluționării problemelor locale, GAL-urile elaborează Strategii Locale de Dezvoltare, în baza cărora ulterior sunt implementate proiecte de dezvoltare economică și socială locală cu finanțare din sursele GAL-ului și/sau cu suportul financiar al APL-uri</w:t>
      </w:r>
      <w:r>
        <w:rPr>
          <w:lang w:val="ro-RO"/>
        </w:rPr>
        <w:t>lor de nivelul II, APC-urilor, fondurilor n</w:t>
      </w:r>
      <w:r w:rsidRPr="001C3B31">
        <w:rPr>
          <w:lang w:val="ro-RO"/>
        </w:rPr>
        <w:t xml:space="preserve">aționale și/sau al partenerilor externi de dezvoltare. </w:t>
      </w:r>
    </w:p>
    <w:p w:rsidR="004B3372" w:rsidRPr="007F0A8B" w:rsidRDefault="004B3372" w:rsidP="004B3372">
      <w:pPr>
        <w:pStyle w:val="Heading2"/>
        <w:rPr>
          <w:b/>
          <w:color w:val="0070C0"/>
          <w:lang w:val="ro-RO"/>
        </w:rPr>
      </w:pPr>
      <w:bookmarkStart w:id="16" w:name="_Toc32964810"/>
      <w:r w:rsidRPr="007F0A8B">
        <w:rPr>
          <w:b/>
          <w:color w:val="0070C0"/>
          <w:lang w:val="ro-RO"/>
        </w:rPr>
        <w:t>Relevanța propunerii de Politică Publică</w:t>
      </w:r>
      <w:bookmarkEnd w:id="16"/>
    </w:p>
    <w:p w:rsidR="004B3372" w:rsidRPr="001C3B31" w:rsidRDefault="004B3372" w:rsidP="004B3372">
      <w:pPr>
        <w:rPr>
          <w:lang w:val="ro-RO"/>
        </w:rPr>
      </w:pPr>
      <w:r w:rsidRPr="001C3B31">
        <w:rPr>
          <w:lang w:val="ro-RO"/>
        </w:rPr>
        <w:t xml:space="preserve">Una dintre dimensiunile prioritare în cadrul unui demers de evaluare ex-ante ține de relevanța intervențiilor propuse. Raportul </w:t>
      </w:r>
      <w:r>
        <w:rPr>
          <w:lang w:val="ro-RO"/>
        </w:rPr>
        <w:t>respectiv</w:t>
      </w:r>
      <w:r w:rsidRPr="001C3B31">
        <w:rPr>
          <w:lang w:val="ro-RO"/>
        </w:rPr>
        <w:t xml:space="preserve"> a explorat dimensiunea de relevanță prin prisma validării problemelor importanței adresate</w:t>
      </w:r>
      <w:r>
        <w:rPr>
          <w:lang w:val="ro-RO"/>
        </w:rPr>
        <w:t>,</w:t>
      </w:r>
      <w:r w:rsidRPr="001C3B31">
        <w:rPr>
          <w:lang w:val="ro-RO"/>
        </w:rPr>
        <w:t xml:space="preserve"> cât și a coerenței interne și externe a intervenției. Astfel, în cadrul evaluării relevanței PP</w:t>
      </w:r>
      <w:r>
        <w:rPr>
          <w:lang w:val="ro-RO"/>
        </w:rPr>
        <w:t>P-ului a fost analizată coerența</w:t>
      </w:r>
      <w:r w:rsidRPr="001C3B31">
        <w:rPr>
          <w:lang w:val="ro-RO"/>
        </w:rPr>
        <w:t xml:space="preserve"> intervențiilor propuse PPP cu obiectivele generale și specifice ale Strategiei Naționale de Dezvoltare Agricolă și Rurală pentru anii 2014-</w:t>
      </w:r>
      <w:r>
        <w:rPr>
          <w:lang w:val="ro-RO"/>
        </w:rPr>
        <w:t>2020, precum și coerența</w:t>
      </w:r>
      <w:r w:rsidRPr="001C3B31">
        <w:rPr>
          <w:lang w:val="ro-RO"/>
        </w:rPr>
        <w:t xml:space="preserve"> cu alte măsuri întreprinse la nivel național. </w:t>
      </w:r>
    </w:p>
    <w:p w:rsidR="004B3372" w:rsidRPr="001C3B31" w:rsidRDefault="004B3372" w:rsidP="004B3372">
      <w:pPr>
        <w:pStyle w:val="ListParagraph"/>
        <w:rPr>
          <w:i/>
          <w:lang w:val="ro-RO"/>
        </w:rPr>
      </w:pPr>
      <w:r w:rsidRPr="001C3B31">
        <w:rPr>
          <w:i/>
          <w:lang w:val="ro-RO"/>
        </w:rPr>
        <w:t>În ce măsură Obiectivele PPP sunt coerente cu SNDAR 2014-2020?</w:t>
      </w:r>
    </w:p>
    <w:p w:rsidR="004B3372" w:rsidRPr="001C3B31" w:rsidRDefault="004B3372" w:rsidP="004B3372">
      <w:pPr>
        <w:pStyle w:val="ListParagraph"/>
        <w:ind w:left="0"/>
        <w:rPr>
          <w:rFonts w:cstheme="minorHAnsi"/>
          <w:color w:val="000000" w:themeColor="text1"/>
          <w:lang w:val="ro-RO"/>
        </w:rPr>
      </w:pPr>
      <w:r w:rsidRPr="001C3B31">
        <w:rPr>
          <w:rFonts w:cstheme="minorHAnsi"/>
          <w:color w:val="000000" w:themeColor="text1"/>
          <w:lang w:val="ro-RO"/>
        </w:rPr>
        <w:t>Prima întrebare de evaluare a urmărit analiza coerenței externe a Obiectivelor PPP, raportându-ne la SNDAR 2014-2020, atât la nivel strategic (măsura în care acestea contribuie la soluționarea problemelor identificate)</w:t>
      </w:r>
      <w:r>
        <w:rPr>
          <w:rFonts w:cstheme="minorHAnsi"/>
          <w:color w:val="000000" w:themeColor="text1"/>
          <w:lang w:val="ro-RO"/>
        </w:rPr>
        <w:t>,</w:t>
      </w:r>
      <w:r w:rsidRPr="001C3B31">
        <w:rPr>
          <w:rFonts w:cstheme="minorHAnsi"/>
          <w:color w:val="000000" w:themeColor="text1"/>
          <w:lang w:val="ro-RO"/>
        </w:rPr>
        <w:t xml:space="preserve"> cât și tactic (la nivel de intervenții planificate).  </w:t>
      </w:r>
    </w:p>
    <w:p w:rsidR="004B3372" w:rsidRPr="001C3B31" w:rsidRDefault="004B3372" w:rsidP="004B3372">
      <w:pPr>
        <w:pStyle w:val="ListParagraph"/>
        <w:spacing w:after="0"/>
        <w:ind w:left="0"/>
        <w:rPr>
          <w:rFonts w:cstheme="minorHAnsi"/>
          <w:color w:val="000000" w:themeColor="text1"/>
          <w:lang w:val="ro-RO"/>
        </w:rPr>
      </w:pPr>
      <w:r w:rsidRPr="001C3B31">
        <w:rPr>
          <w:rFonts w:cstheme="minorHAnsi"/>
          <w:color w:val="000000" w:themeColor="text1"/>
          <w:lang w:val="ro-RO"/>
        </w:rPr>
        <w:t xml:space="preserve">Așadar, Obiectivele strategice urmărite de </w:t>
      </w:r>
      <w:r w:rsidRPr="001C3B31">
        <w:rPr>
          <w:rFonts w:cstheme="minorHAnsi"/>
          <w:b/>
          <w:color w:val="000000" w:themeColor="text1"/>
          <w:lang w:val="ro-RO"/>
        </w:rPr>
        <w:t>SNDAR 2014-2020</w:t>
      </w:r>
      <w:r w:rsidRPr="001C3B31">
        <w:rPr>
          <w:rFonts w:cstheme="minorHAnsi"/>
          <w:color w:val="000000" w:themeColor="text1"/>
          <w:lang w:val="ro-RO"/>
        </w:rPr>
        <w:t xml:space="preserve"> sunt: </w:t>
      </w:r>
    </w:p>
    <w:p w:rsidR="004B3372" w:rsidRPr="001C3B31" w:rsidRDefault="004B3372" w:rsidP="004B3372">
      <w:pPr>
        <w:pStyle w:val="Caption"/>
        <w:framePr w:wrap="around"/>
        <w:rPr>
          <w:lang w:val="ro-RO"/>
        </w:rPr>
      </w:pPr>
      <w:r w:rsidRPr="001C3B31">
        <w:rPr>
          <w:lang w:val="ro-RO"/>
        </w:rPr>
        <w:t>Tabelul 3.  Obiectivele Strategice ale SNDAR 2014-2020</w:t>
      </w:r>
    </w:p>
    <w:tbl>
      <w:tblPr>
        <w:tblStyle w:val="Civittatable"/>
        <w:tblW w:w="0" w:type="auto"/>
        <w:tblInd w:w="-5" w:type="dxa"/>
        <w:tblLook w:val="04A0" w:firstRow="1" w:lastRow="0" w:firstColumn="1" w:lastColumn="0" w:noHBand="0" w:noVBand="1"/>
      </w:tblPr>
      <w:tblGrid>
        <w:gridCol w:w="3557"/>
        <w:gridCol w:w="5883"/>
      </w:tblGrid>
      <w:tr w:rsidR="004B3372" w:rsidRPr="001C3B31" w:rsidTr="00B50045">
        <w:trPr>
          <w:cnfStyle w:val="100000000000" w:firstRow="1" w:lastRow="0" w:firstColumn="0" w:lastColumn="0" w:oddVBand="0" w:evenVBand="0" w:oddHBand="0" w:evenHBand="0" w:firstRowFirstColumn="0" w:firstRowLastColumn="0" w:lastRowFirstColumn="0" w:lastRowLastColumn="0"/>
          <w:tblHeader w:val="0"/>
        </w:trPr>
        <w:tc>
          <w:tcPr>
            <w:tcW w:w="3557" w:type="dxa"/>
          </w:tcPr>
          <w:p w:rsidR="004B3372" w:rsidRPr="001C3B31" w:rsidRDefault="004B3372" w:rsidP="00B50045">
            <w:pPr>
              <w:pStyle w:val="ListParagraph"/>
              <w:spacing w:after="60"/>
              <w:ind w:left="0"/>
              <w:rPr>
                <w:rFonts w:ascii="Calibri" w:hAnsi="Calibri" w:cs="Calibri"/>
                <w:b/>
                <w:color w:val="FFFFFF" w:themeColor="background1"/>
                <w:lang w:val="ro-RO"/>
              </w:rPr>
            </w:pPr>
            <w:r w:rsidRPr="001C3B31">
              <w:rPr>
                <w:rFonts w:ascii="Calibri" w:hAnsi="Calibri" w:cs="Calibri"/>
                <w:b/>
                <w:color w:val="FFFFFF" w:themeColor="background1"/>
                <w:lang w:val="ro-RO"/>
              </w:rPr>
              <w:t>Obiective generale</w:t>
            </w:r>
          </w:p>
        </w:tc>
        <w:tc>
          <w:tcPr>
            <w:tcW w:w="5883" w:type="dxa"/>
          </w:tcPr>
          <w:p w:rsidR="004B3372" w:rsidRPr="001C3B31" w:rsidRDefault="004B3372" w:rsidP="00B50045">
            <w:pPr>
              <w:pStyle w:val="ListParagraph"/>
              <w:spacing w:after="60"/>
              <w:ind w:left="0"/>
              <w:rPr>
                <w:rFonts w:ascii="Calibri" w:hAnsi="Calibri" w:cs="Calibri"/>
                <w:b/>
                <w:color w:val="FFFFFF" w:themeColor="background1"/>
                <w:lang w:val="ro-RO"/>
              </w:rPr>
            </w:pPr>
            <w:r w:rsidRPr="001C3B31">
              <w:rPr>
                <w:rFonts w:ascii="Calibri" w:hAnsi="Calibri" w:cs="Calibri"/>
                <w:b/>
                <w:color w:val="FFFFFF" w:themeColor="background1"/>
                <w:lang w:val="ro-RO"/>
              </w:rPr>
              <w:t>Obiective specifice</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3557" w:type="dxa"/>
            <w:vMerge w:val="restart"/>
          </w:tcPr>
          <w:p w:rsidR="004B3372" w:rsidRPr="001C3B31" w:rsidRDefault="004B3372" w:rsidP="00B50045">
            <w:pPr>
              <w:spacing w:after="60"/>
              <w:rPr>
                <w:rFonts w:ascii="Calibri" w:hAnsi="Calibri" w:cs="Calibri"/>
                <w:lang w:val="ro-RO"/>
              </w:rPr>
            </w:pPr>
            <w:r>
              <w:rPr>
                <w:rFonts w:ascii="Calibri" w:hAnsi="Calibri" w:cs="Calibri"/>
                <w:lang w:val="ro-RO"/>
              </w:rPr>
              <w:t xml:space="preserve">OG </w:t>
            </w:r>
            <w:r w:rsidRPr="001C3B31">
              <w:rPr>
                <w:rFonts w:ascii="Calibri" w:hAnsi="Calibri" w:cs="Calibri"/>
                <w:lang w:val="ro-RO"/>
              </w:rPr>
              <w:t xml:space="preserve">1. Creșterea competitivității sectorului agroalimentar prin restructurarea și modernizarea pieței </w:t>
            </w:r>
          </w:p>
        </w:tc>
        <w:tc>
          <w:tcPr>
            <w:tcW w:w="5883" w:type="dxa"/>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OS 1.1. Modernizarea lanțului agroalimentar în vederea conformării cu cerințele UE privind siguranța și calitatea produselor alimentare</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3557" w:type="dxa"/>
            <w:vMerge/>
          </w:tcPr>
          <w:p w:rsidR="004B3372" w:rsidRPr="001C3B31" w:rsidRDefault="004B3372" w:rsidP="00B50045">
            <w:pPr>
              <w:pStyle w:val="ListParagraph"/>
              <w:spacing w:after="60"/>
              <w:ind w:left="0"/>
              <w:rPr>
                <w:rFonts w:ascii="Calibri" w:hAnsi="Calibri" w:cs="Calibri"/>
                <w:color w:val="000000" w:themeColor="text1"/>
                <w:lang w:val="ro-RO"/>
              </w:rPr>
            </w:pPr>
          </w:p>
        </w:tc>
        <w:tc>
          <w:tcPr>
            <w:tcW w:w="5883" w:type="dxa"/>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 xml:space="preserve">OS 1.2. Facilitarea accesului la piețele de capital, de inputuri și </w:t>
            </w:r>
            <w:r w:rsidRPr="001C3B31">
              <w:rPr>
                <w:rFonts w:ascii="Calibri" w:hAnsi="Calibri" w:cs="Calibri"/>
                <w:color w:val="000000" w:themeColor="text1"/>
                <w:lang w:val="ro-RO"/>
              </w:rPr>
              <w:lastRenderedPageBreak/>
              <w:t>outputuri pentru fermieri</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3557" w:type="dxa"/>
            <w:vMerge/>
          </w:tcPr>
          <w:p w:rsidR="004B3372" w:rsidRPr="001C3B31" w:rsidRDefault="004B3372" w:rsidP="00B50045">
            <w:pPr>
              <w:pStyle w:val="ListParagraph"/>
              <w:spacing w:after="60"/>
              <w:ind w:left="0"/>
              <w:rPr>
                <w:rFonts w:ascii="Calibri" w:hAnsi="Calibri" w:cs="Calibri"/>
                <w:color w:val="000000" w:themeColor="text1"/>
                <w:lang w:val="ro-RO"/>
              </w:rPr>
            </w:pPr>
          </w:p>
        </w:tc>
        <w:tc>
          <w:tcPr>
            <w:tcW w:w="5883" w:type="dxa"/>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OS 1.3. Reformarea sistemului de învățământ, cercetări științifice și servicii de extensiune rurală în sectorul agroalimentar și crearea sistemului de informare integrat în agricultură</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3557" w:type="dxa"/>
            <w:vMerge w:val="restart"/>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OG 2. Asigurarea gestionării durabile a resurselor naturale în agricultură</w:t>
            </w:r>
          </w:p>
        </w:tc>
        <w:tc>
          <w:tcPr>
            <w:tcW w:w="5883" w:type="dxa"/>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OS 2.1. Sprijinirea practicilor de gestionare a terenurilor agricole și a apei</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3557" w:type="dxa"/>
            <w:vMerge/>
          </w:tcPr>
          <w:p w:rsidR="004B3372" w:rsidRPr="001C3B31" w:rsidRDefault="004B3372" w:rsidP="00B50045">
            <w:pPr>
              <w:pStyle w:val="ListParagraph"/>
              <w:spacing w:after="60"/>
              <w:ind w:left="0"/>
              <w:rPr>
                <w:rFonts w:ascii="Calibri" w:hAnsi="Calibri" w:cs="Calibri"/>
                <w:color w:val="000000" w:themeColor="text1"/>
                <w:lang w:val="ro-RO"/>
              </w:rPr>
            </w:pPr>
          </w:p>
        </w:tc>
        <w:tc>
          <w:tcPr>
            <w:tcW w:w="5883" w:type="dxa"/>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OS 2.2. Sprijinirea tehnologiilor de producție prietenoase mediului, a produselor ecologice, inclusiv a biodiversității</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3557" w:type="dxa"/>
            <w:vMerge/>
          </w:tcPr>
          <w:p w:rsidR="004B3372" w:rsidRPr="001C3B31" w:rsidRDefault="004B3372" w:rsidP="00B50045">
            <w:pPr>
              <w:pStyle w:val="ListParagraph"/>
              <w:spacing w:after="60"/>
              <w:ind w:left="0"/>
              <w:rPr>
                <w:rFonts w:ascii="Calibri" w:hAnsi="Calibri" w:cs="Calibri"/>
                <w:color w:val="000000" w:themeColor="text1"/>
                <w:lang w:val="ro-RO"/>
              </w:rPr>
            </w:pPr>
          </w:p>
        </w:tc>
        <w:tc>
          <w:tcPr>
            <w:tcW w:w="5883" w:type="dxa"/>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OS 2.3. Sprijinirea adaptării și atenuării efectelor schimbărilor climatice asupra producției agricole</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3557" w:type="dxa"/>
            <w:vMerge w:val="restart"/>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OG 3. Îmbunătățirea nivelului de muncă și trai în mediul rural</w:t>
            </w:r>
          </w:p>
        </w:tc>
        <w:tc>
          <w:tcPr>
            <w:tcW w:w="5883" w:type="dxa"/>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OS 3.1. Facilitarea investițiilor pentru infrastructura fizică și de servicii din mediul rural</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3557" w:type="dxa"/>
            <w:vMerge/>
          </w:tcPr>
          <w:p w:rsidR="004B3372" w:rsidRPr="001C3B31" w:rsidRDefault="004B3372" w:rsidP="00B50045">
            <w:pPr>
              <w:pStyle w:val="ListParagraph"/>
              <w:spacing w:after="60"/>
              <w:ind w:left="0"/>
              <w:rPr>
                <w:rFonts w:ascii="Calibri" w:hAnsi="Calibri" w:cs="Calibri"/>
                <w:color w:val="000000" w:themeColor="text1"/>
                <w:lang w:val="ro-RO"/>
              </w:rPr>
            </w:pPr>
          </w:p>
        </w:tc>
        <w:tc>
          <w:tcPr>
            <w:tcW w:w="5883" w:type="dxa"/>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OS 3.2. Creșterea oportunităților de ocupare a forței de muncă în domeniul non-agricol și sporirea veniturilor în mediul rural</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3557" w:type="dxa"/>
            <w:vMerge/>
          </w:tcPr>
          <w:p w:rsidR="004B3372" w:rsidRPr="001C3B31" w:rsidRDefault="004B3372" w:rsidP="00B50045">
            <w:pPr>
              <w:pStyle w:val="ListParagraph"/>
              <w:spacing w:after="60"/>
              <w:ind w:left="0"/>
              <w:rPr>
                <w:rFonts w:ascii="Calibri" w:hAnsi="Calibri" w:cs="Calibri"/>
                <w:color w:val="000000" w:themeColor="text1"/>
                <w:lang w:val="ro-RO"/>
              </w:rPr>
            </w:pPr>
          </w:p>
        </w:tc>
        <w:tc>
          <w:tcPr>
            <w:tcW w:w="5883" w:type="dxa"/>
          </w:tcPr>
          <w:p w:rsidR="004B3372" w:rsidRPr="001C3B31" w:rsidRDefault="004B3372" w:rsidP="00B50045">
            <w:pPr>
              <w:pStyle w:val="ListParagraph"/>
              <w:spacing w:after="60"/>
              <w:ind w:left="0"/>
              <w:rPr>
                <w:rFonts w:ascii="Calibri" w:hAnsi="Calibri" w:cs="Calibri"/>
                <w:color w:val="000000" w:themeColor="text1"/>
                <w:lang w:val="ro-RO"/>
              </w:rPr>
            </w:pPr>
            <w:r w:rsidRPr="001C3B31">
              <w:rPr>
                <w:rFonts w:ascii="Calibri" w:hAnsi="Calibri" w:cs="Calibri"/>
                <w:color w:val="000000" w:themeColor="text1"/>
                <w:lang w:val="ro-RO"/>
              </w:rPr>
              <w:t>OS 3.3. Stimularea implicării comunității locale în dezvoltarea rurală</w:t>
            </w:r>
          </w:p>
        </w:tc>
      </w:tr>
    </w:tbl>
    <w:p w:rsidR="004B3372" w:rsidRPr="001C3B31" w:rsidRDefault="004B3372" w:rsidP="004B3372">
      <w:pPr>
        <w:pStyle w:val="ListParagraph"/>
        <w:spacing w:before="240"/>
        <w:ind w:left="0"/>
        <w:rPr>
          <w:rFonts w:cstheme="minorHAnsi"/>
          <w:color w:val="000000" w:themeColor="text1"/>
          <w:lang w:val="ro-RO"/>
        </w:rPr>
      </w:pPr>
      <w:r w:rsidRPr="000A42B2">
        <w:rPr>
          <w:rFonts w:cstheme="minorHAnsi"/>
          <w:b/>
          <w:color w:val="000000" w:themeColor="text1"/>
          <w:lang w:val="ro-RO"/>
        </w:rPr>
        <w:t>Propunerea de Politică Publică</w:t>
      </w:r>
      <w:r w:rsidRPr="001C3B31">
        <w:rPr>
          <w:rFonts w:cstheme="minorHAnsi"/>
          <w:color w:val="000000" w:themeColor="text1"/>
          <w:lang w:val="ro-RO"/>
        </w:rPr>
        <w:t xml:space="preserve"> evaluată este axată pe </w:t>
      </w:r>
      <w:r w:rsidRPr="001C3B31">
        <w:rPr>
          <w:rFonts w:cstheme="minorHAnsi"/>
          <w:i/>
          <w:color w:val="000000" w:themeColor="text1"/>
          <w:lang w:val="ro-RO"/>
        </w:rPr>
        <w:t>Obiectivul General nr. 3: Îmbunătățirea nivelului de muncă și trai în mediul rural</w:t>
      </w:r>
      <w:r w:rsidRPr="001C3B31">
        <w:rPr>
          <w:rFonts w:cstheme="minorHAnsi"/>
          <w:color w:val="000000" w:themeColor="text1"/>
          <w:lang w:val="ro-RO"/>
        </w:rPr>
        <w:t xml:space="preserve">, precum și pe obiectivele specifice respective din SNDAR 2014-2020. Obiectivele urmărite de </w:t>
      </w:r>
      <w:r w:rsidRPr="001C3B31">
        <w:rPr>
          <w:rFonts w:cstheme="minorHAnsi"/>
          <w:b/>
          <w:color w:val="000000" w:themeColor="text1"/>
          <w:lang w:val="ro-RO"/>
        </w:rPr>
        <w:t>PPP</w:t>
      </w:r>
      <w:r w:rsidRPr="001C3B31">
        <w:rPr>
          <w:rFonts w:cstheme="minorHAnsi"/>
          <w:color w:val="000000" w:themeColor="text1"/>
          <w:lang w:val="ro-RO"/>
        </w:rPr>
        <w:t xml:space="preserve"> sunt:</w:t>
      </w:r>
    </w:p>
    <w:p w:rsidR="004B3372" w:rsidRPr="001C3B31" w:rsidRDefault="004B3372" w:rsidP="004B3372">
      <w:pPr>
        <w:pStyle w:val="ListParagraph"/>
        <w:numPr>
          <w:ilvl w:val="0"/>
          <w:numId w:val="20"/>
        </w:numPr>
        <w:spacing w:after="0"/>
        <w:ind w:left="425" w:hanging="357"/>
        <w:rPr>
          <w:rFonts w:ascii="Calibri" w:hAnsi="Calibri" w:cs="Calibri"/>
          <w:color w:val="1F497D" w:themeColor="text2"/>
          <w:lang w:val="ro-RO"/>
        </w:rPr>
      </w:pPr>
      <w:r w:rsidRPr="001C3B31">
        <w:rPr>
          <w:rFonts w:ascii="Calibri" w:hAnsi="Calibri" w:cs="Calibri"/>
          <w:color w:val="1F497D" w:themeColor="text2"/>
          <w:lang w:val="ro-RO"/>
        </w:rPr>
        <w:t>Consolidarea capacităților și abilităților comunității locale și actorilor socio-economici din zonele rurale pentru realizarea obiectivelor de dezvoltare locală;</w:t>
      </w:r>
    </w:p>
    <w:p w:rsidR="004B3372" w:rsidRPr="001C3B31" w:rsidRDefault="004B3372" w:rsidP="004B3372">
      <w:pPr>
        <w:pStyle w:val="ListParagraph"/>
        <w:numPr>
          <w:ilvl w:val="0"/>
          <w:numId w:val="20"/>
        </w:numPr>
        <w:spacing w:after="0"/>
        <w:ind w:left="425" w:hanging="357"/>
        <w:rPr>
          <w:rFonts w:ascii="Times New Roman" w:hAnsi="Times New Roman"/>
          <w:color w:val="1F497D" w:themeColor="text2"/>
          <w:lang w:val="ro-RO"/>
        </w:rPr>
      </w:pPr>
      <w:r w:rsidRPr="001C3B31">
        <w:rPr>
          <w:rFonts w:ascii="Calibri" w:hAnsi="Calibri" w:cs="Calibri"/>
          <w:color w:val="1F497D" w:themeColor="text2"/>
          <w:lang w:val="ro-RO"/>
        </w:rPr>
        <w:t>Îmbunătățirea condițiilor de viață și bunăstarea populației din mediul rural;</w:t>
      </w:r>
    </w:p>
    <w:p w:rsidR="004B3372" w:rsidRPr="001C3B31" w:rsidRDefault="004B3372" w:rsidP="004B3372">
      <w:pPr>
        <w:pStyle w:val="ListParagraph"/>
        <w:numPr>
          <w:ilvl w:val="0"/>
          <w:numId w:val="20"/>
        </w:numPr>
        <w:spacing w:after="0"/>
        <w:ind w:left="425" w:hanging="357"/>
        <w:rPr>
          <w:rFonts w:ascii="Times New Roman" w:hAnsi="Times New Roman"/>
          <w:color w:val="1F497D" w:themeColor="text2"/>
          <w:lang w:val="ro-RO"/>
        </w:rPr>
      </w:pPr>
      <w:r w:rsidRPr="001C3B31">
        <w:rPr>
          <w:rFonts w:ascii="Calibri" w:hAnsi="Calibri" w:cs="Calibri"/>
          <w:color w:val="1F497D" w:themeColor="text2"/>
          <w:lang w:val="ro-RO"/>
        </w:rPr>
        <w:t>Crearea de noi oportunități durabile de câștig și diversificarea activităților economice;</w:t>
      </w:r>
    </w:p>
    <w:p w:rsidR="004B3372" w:rsidRPr="001C3B31" w:rsidRDefault="004B3372" w:rsidP="004B3372">
      <w:pPr>
        <w:pStyle w:val="ListParagraph"/>
        <w:numPr>
          <w:ilvl w:val="0"/>
          <w:numId w:val="20"/>
        </w:numPr>
        <w:spacing w:after="0"/>
        <w:ind w:left="425" w:hanging="357"/>
        <w:rPr>
          <w:rFonts w:ascii="Times New Roman" w:hAnsi="Times New Roman"/>
          <w:color w:val="1F497D" w:themeColor="text2"/>
          <w:lang w:val="ro-RO"/>
        </w:rPr>
      </w:pPr>
      <w:r w:rsidRPr="001C3B31">
        <w:rPr>
          <w:rFonts w:ascii="Calibri" w:hAnsi="Calibri" w:cs="Calibri"/>
          <w:color w:val="1F497D" w:themeColor="text2"/>
          <w:lang w:val="ro-RO"/>
        </w:rPr>
        <w:t>Menținerea și crearea locuri</w:t>
      </w:r>
      <w:r>
        <w:rPr>
          <w:rFonts w:ascii="Calibri" w:hAnsi="Calibri" w:cs="Calibri"/>
          <w:color w:val="1F497D" w:themeColor="text2"/>
          <w:lang w:val="ro-RO"/>
        </w:rPr>
        <w:t>lor</w:t>
      </w:r>
      <w:r w:rsidRPr="001C3B31">
        <w:rPr>
          <w:rFonts w:ascii="Calibri" w:hAnsi="Calibri" w:cs="Calibri"/>
          <w:color w:val="1F497D" w:themeColor="text2"/>
          <w:lang w:val="ro-RO"/>
        </w:rPr>
        <w:t xml:space="preserve"> de muncă</w:t>
      </w:r>
    </w:p>
    <w:p w:rsidR="004B3372" w:rsidRPr="001C3B31" w:rsidRDefault="004B3372" w:rsidP="004B3372">
      <w:pPr>
        <w:pStyle w:val="ListParagraph"/>
        <w:numPr>
          <w:ilvl w:val="0"/>
          <w:numId w:val="20"/>
        </w:numPr>
        <w:spacing w:after="0"/>
        <w:ind w:left="425" w:hanging="357"/>
        <w:rPr>
          <w:rFonts w:ascii="Times New Roman" w:hAnsi="Times New Roman"/>
          <w:color w:val="1F497D" w:themeColor="text2"/>
          <w:lang w:val="ro-RO"/>
        </w:rPr>
      </w:pPr>
      <w:r w:rsidRPr="001C3B31">
        <w:rPr>
          <w:rFonts w:ascii="Calibri" w:hAnsi="Calibri" w:cs="Calibri"/>
          <w:color w:val="1F497D" w:themeColor="text2"/>
          <w:lang w:val="ro-RO"/>
        </w:rPr>
        <w:t>Îmbunătățirea și dezvoltarea infrastructurii publice rurale, renovarea și dezvoltarea satelor</w:t>
      </w:r>
      <w:r>
        <w:rPr>
          <w:rFonts w:ascii="Calibri" w:hAnsi="Calibri" w:cs="Calibri"/>
          <w:color w:val="1F497D" w:themeColor="text2"/>
          <w:lang w:val="ro-RO"/>
        </w:rPr>
        <w:t>.</w:t>
      </w:r>
    </w:p>
    <w:p w:rsidR="004B3372" w:rsidRPr="001C3B31" w:rsidRDefault="004B3372" w:rsidP="004B3372">
      <w:pPr>
        <w:rPr>
          <w:rFonts w:eastAsia="Times New Roman" w:cstheme="minorHAnsi"/>
          <w:color w:val="000000"/>
          <w:lang w:val="ro-RO"/>
        </w:rPr>
      </w:pPr>
      <w:r w:rsidRPr="001C3B31">
        <w:rPr>
          <w:rFonts w:eastAsia="Times New Roman" w:cstheme="minorHAnsi"/>
          <w:color w:val="000000"/>
          <w:lang w:val="ro-RO"/>
        </w:rPr>
        <w:t xml:space="preserve">Obiectivul 1 al PPP este direct coerent cu Obiectivul specific 3.3 din SNDAR, ambele urmărind asigurarea condițiilor necesare pentru implicarea comunității locale în dezvoltarea rurală. </w:t>
      </w:r>
    </w:p>
    <w:p w:rsidR="004B3372" w:rsidRPr="001C3B31" w:rsidRDefault="004B3372" w:rsidP="004B3372">
      <w:pPr>
        <w:rPr>
          <w:rFonts w:eastAsia="Times New Roman" w:cstheme="minorHAnsi"/>
          <w:color w:val="000000"/>
          <w:lang w:val="ro-RO"/>
        </w:rPr>
      </w:pPr>
      <w:r w:rsidRPr="001C3B31">
        <w:rPr>
          <w:rFonts w:eastAsia="Times New Roman" w:cstheme="minorHAnsi"/>
          <w:color w:val="000000"/>
          <w:lang w:val="ro-RO"/>
        </w:rPr>
        <w:t>Obiectivele 2,</w:t>
      </w:r>
      <w:r>
        <w:rPr>
          <w:rFonts w:eastAsia="Times New Roman" w:cstheme="minorHAnsi"/>
          <w:color w:val="000000"/>
          <w:lang w:val="ro-RO"/>
        </w:rPr>
        <w:t xml:space="preserve"> </w:t>
      </w:r>
      <w:r w:rsidRPr="001C3B31">
        <w:rPr>
          <w:rFonts w:eastAsia="Times New Roman" w:cstheme="minorHAnsi"/>
          <w:color w:val="000000"/>
          <w:lang w:val="ro-RO"/>
        </w:rPr>
        <w:t>3 și 4 ale PPP-ului are o legătură logică directă cu Obiectivul Specific 3.2 din SNDAR, toate patru ținând de sprijinirea creșterii bunăstării populației din zonele rurale, prin stimularea și diversificarea activităților economice durabile, precum și adresarea problemei șomajului prin crearea  oportunități</w:t>
      </w:r>
      <w:r>
        <w:rPr>
          <w:rFonts w:eastAsia="Times New Roman" w:cstheme="minorHAnsi"/>
          <w:color w:val="000000"/>
          <w:lang w:val="ro-RO"/>
        </w:rPr>
        <w:t>lor</w:t>
      </w:r>
      <w:r w:rsidRPr="001C3B31">
        <w:rPr>
          <w:rFonts w:eastAsia="Times New Roman" w:cstheme="minorHAnsi"/>
          <w:color w:val="000000"/>
          <w:lang w:val="ro-RO"/>
        </w:rPr>
        <w:t xml:space="preserve"> de angajare </w:t>
      </w:r>
      <w:r>
        <w:rPr>
          <w:rFonts w:eastAsia="Times New Roman" w:cstheme="minorHAnsi"/>
          <w:color w:val="000000"/>
          <w:lang w:val="ro-RO"/>
        </w:rPr>
        <w:t>noi în domeniile non</w:t>
      </w:r>
      <w:r w:rsidRPr="001C3B31">
        <w:rPr>
          <w:rFonts w:eastAsia="Times New Roman" w:cstheme="minorHAnsi"/>
          <w:color w:val="000000"/>
          <w:lang w:val="ro-RO"/>
        </w:rPr>
        <w:t xml:space="preserve">agricole și stimularea spiritului antreprenorial. </w:t>
      </w:r>
    </w:p>
    <w:p w:rsidR="004B3372" w:rsidRPr="001C3B31" w:rsidRDefault="004B3372" w:rsidP="004B3372">
      <w:pPr>
        <w:rPr>
          <w:rFonts w:eastAsia="Times New Roman" w:cstheme="minorHAnsi"/>
          <w:color w:val="000000"/>
          <w:lang w:val="ro-RO"/>
        </w:rPr>
      </w:pPr>
      <w:r w:rsidRPr="001C3B31">
        <w:rPr>
          <w:rFonts w:eastAsia="Times New Roman" w:cstheme="minorHAnsi"/>
          <w:color w:val="000000"/>
          <w:lang w:val="ro-RO"/>
        </w:rPr>
        <w:t xml:space="preserve">Obiectivul 5 al PPP-ului se află în directă coerență cu Obiectivul Specific 3.1 din SNDAR, urmărind crearea condițiilor necesare pentru dezvoltarea infrastructurii și serviciilor publice în mediul rural. </w:t>
      </w:r>
    </w:p>
    <w:p w:rsidR="004B3372" w:rsidRPr="001C3B31" w:rsidRDefault="004B3372" w:rsidP="004B3372">
      <w:pPr>
        <w:autoSpaceDE w:val="0"/>
        <w:autoSpaceDN w:val="0"/>
        <w:adjustRightInd w:val="0"/>
        <w:rPr>
          <w:rFonts w:cstheme="minorHAnsi"/>
          <w:lang w:val="ro-RO" w:eastAsia="zh-CN"/>
        </w:rPr>
      </w:pPr>
      <w:r w:rsidRPr="001C3B31">
        <w:rPr>
          <w:rFonts w:cstheme="minorHAnsi"/>
          <w:lang w:val="ro-RO" w:eastAsia="zh-CN"/>
        </w:rPr>
        <w:t xml:space="preserve">Totodată, în urma evaluării la mijloc de termen al SNDAR 2014-2020 de către echipa de evaluatori a fost stabilită absența a careva acțiuni specifice care să vină în facilitarea atingerii Obiectivului Specific 3.3 - </w:t>
      </w:r>
      <w:r w:rsidRPr="001C3B31">
        <w:rPr>
          <w:rFonts w:ascii="Calibri" w:hAnsi="Calibri" w:cs="Calibri"/>
          <w:color w:val="000000" w:themeColor="text1"/>
          <w:lang w:val="ro-RO"/>
        </w:rPr>
        <w:t>Stimularea implicării comunității locale în dezvoltarea rurală. Printre recomandările echipei de experți, luate în considerare de către Guvernul RM la ajustarea SNDAR 20</w:t>
      </w:r>
      <w:r>
        <w:rPr>
          <w:rFonts w:ascii="Calibri" w:hAnsi="Calibri" w:cs="Calibri"/>
          <w:color w:val="000000" w:themeColor="text1"/>
          <w:lang w:val="ro-RO"/>
        </w:rPr>
        <w:t>14-2020 și a Planului de Acțiuni</w:t>
      </w:r>
      <w:r w:rsidRPr="001C3B31">
        <w:rPr>
          <w:rFonts w:ascii="Calibri" w:hAnsi="Calibri" w:cs="Calibri"/>
          <w:color w:val="000000" w:themeColor="text1"/>
          <w:lang w:val="ro-RO"/>
        </w:rPr>
        <w:t xml:space="preserve"> a</w:t>
      </w:r>
      <w:r>
        <w:rPr>
          <w:rFonts w:ascii="Calibri" w:hAnsi="Calibri" w:cs="Calibri"/>
          <w:color w:val="000000" w:themeColor="text1"/>
          <w:lang w:val="ro-RO"/>
        </w:rPr>
        <w:t>l</w:t>
      </w:r>
      <w:r w:rsidRPr="001C3B31">
        <w:rPr>
          <w:rFonts w:ascii="Calibri" w:hAnsi="Calibri" w:cs="Calibri"/>
          <w:color w:val="000000" w:themeColor="text1"/>
          <w:lang w:val="ro-RO"/>
        </w:rPr>
        <w:t xml:space="preserve"> acesteia, au fost incluse sugestiile de dezvoltare a unor programe naționale similare programului UE LEADER</w:t>
      </w:r>
      <w:r w:rsidRPr="001C3B31">
        <w:rPr>
          <w:rStyle w:val="FootnoteReference"/>
          <w:rFonts w:ascii="Calibri" w:hAnsi="Calibri" w:cs="Calibri"/>
          <w:color w:val="000000" w:themeColor="text1"/>
          <w:lang w:val="ro-RO"/>
        </w:rPr>
        <w:footnoteReference w:id="6"/>
      </w:r>
      <w:r w:rsidRPr="001C3B31">
        <w:rPr>
          <w:rFonts w:ascii="Calibri" w:hAnsi="Calibri" w:cs="Calibri"/>
          <w:color w:val="000000" w:themeColor="text1"/>
          <w:lang w:val="ro-RO"/>
        </w:rPr>
        <w:t xml:space="preserve">. </w:t>
      </w:r>
    </w:p>
    <w:p w:rsidR="004B3372" w:rsidRPr="001C3B31" w:rsidRDefault="004B3372" w:rsidP="004B3372">
      <w:pPr>
        <w:spacing w:after="0"/>
        <w:rPr>
          <w:rFonts w:eastAsia="Times New Roman" w:cstheme="minorHAnsi"/>
          <w:color w:val="000000"/>
          <w:lang w:val="ro-RO"/>
        </w:rPr>
      </w:pPr>
      <w:r w:rsidRPr="001C3B31">
        <w:rPr>
          <w:rFonts w:eastAsia="Times New Roman" w:cstheme="minorHAnsi"/>
          <w:color w:val="000000"/>
          <w:lang w:val="ro-RO"/>
        </w:rPr>
        <w:t>În același timp, abordarea generală a PPP-ului este coerentă în măsură de 100</w:t>
      </w:r>
      <w:r>
        <w:rPr>
          <w:rFonts w:eastAsia="Times New Roman" w:cstheme="minorHAnsi"/>
          <w:color w:val="000000"/>
          <w:lang w:val="ro-RO"/>
        </w:rPr>
        <w:t xml:space="preserve"> </w:t>
      </w:r>
      <w:r w:rsidRPr="001C3B31">
        <w:rPr>
          <w:rFonts w:eastAsia="Times New Roman" w:cstheme="minorHAnsi"/>
          <w:color w:val="000000"/>
          <w:lang w:val="ro-RO"/>
        </w:rPr>
        <w:t xml:space="preserve">% abordarea Programului UE pentru dezvoltarea mediului rural LEADER. Mecanismul propus de PPP pentru dezvoltarea comunităților locale este bazat pe aceleași șapte principii ca și Programul LEADER și anume: </w:t>
      </w:r>
    </w:p>
    <w:p w:rsidR="004B3372" w:rsidRPr="001C3B31" w:rsidRDefault="004B3372" w:rsidP="004B3372">
      <w:pPr>
        <w:pStyle w:val="ListParagraph"/>
        <w:numPr>
          <w:ilvl w:val="0"/>
          <w:numId w:val="23"/>
        </w:numPr>
        <w:spacing w:after="0"/>
        <w:rPr>
          <w:rFonts w:eastAsia="Times New Roman" w:cstheme="minorHAnsi"/>
          <w:color w:val="000000"/>
          <w:lang w:val="ro-RO"/>
        </w:rPr>
      </w:pPr>
      <w:r>
        <w:rPr>
          <w:rFonts w:eastAsia="Times New Roman" w:cstheme="minorHAnsi"/>
          <w:color w:val="000000"/>
          <w:lang w:val="ro-RO"/>
        </w:rPr>
        <w:lastRenderedPageBreak/>
        <w:t>Implementat într-o micro</w:t>
      </w:r>
      <w:r w:rsidRPr="001C3B31">
        <w:rPr>
          <w:rFonts w:eastAsia="Times New Roman" w:cstheme="minorHAnsi"/>
          <w:color w:val="000000"/>
          <w:lang w:val="ro-RO"/>
        </w:rPr>
        <w:t>regiune specifică, care respectă un șir de condiționalități geografice și demografice</w:t>
      </w:r>
      <w:r>
        <w:rPr>
          <w:rFonts w:eastAsia="Times New Roman" w:cstheme="minorHAnsi"/>
          <w:color w:val="000000"/>
          <w:lang w:val="ro-RO"/>
        </w:rPr>
        <w:t>;</w:t>
      </w:r>
    </w:p>
    <w:p w:rsidR="004B3372" w:rsidRPr="001C3B31" w:rsidRDefault="004B3372" w:rsidP="004B3372">
      <w:pPr>
        <w:pStyle w:val="ListParagraph"/>
        <w:numPr>
          <w:ilvl w:val="0"/>
          <w:numId w:val="23"/>
        </w:numPr>
        <w:spacing w:after="0"/>
        <w:rPr>
          <w:rFonts w:eastAsia="Times New Roman" w:cstheme="minorHAnsi"/>
          <w:color w:val="000000"/>
          <w:lang w:val="ro-RO"/>
        </w:rPr>
      </w:pPr>
      <w:r>
        <w:rPr>
          <w:rFonts w:eastAsia="Times New Roman" w:cstheme="minorHAnsi"/>
          <w:color w:val="000000"/>
          <w:lang w:val="ro-RO"/>
        </w:rPr>
        <w:t>Este creat</w:t>
      </w:r>
      <w:r w:rsidRPr="001C3B31">
        <w:rPr>
          <w:rFonts w:eastAsia="Times New Roman" w:cstheme="minorHAnsi"/>
          <w:color w:val="000000"/>
          <w:lang w:val="ro-RO"/>
        </w:rPr>
        <w:t xml:space="preserve"> în baza principiului de jos în sus</w:t>
      </w:r>
      <w:r>
        <w:rPr>
          <w:rFonts w:eastAsia="Times New Roman" w:cstheme="minorHAnsi"/>
          <w:color w:val="000000"/>
          <w:lang w:val="ro-RO"/>
        </w:rPr>
        <w:t>;</w:t>
      </w:r>
    </w:p>
    <w:p w:rsidR="004B3372" w:rsidRPr="001C3B31" w:rsidRDefault="004B3372" w:rsidP="004B3372">
      <w:pPr>
        <w:pStyle w:val="ListParagraph"/>
        <w:numPr>
          <w:ilvl w:val="0"/>
          <w:numId w:val="23"/>
        </w:numPr>
        <w:spacing w:after="0"/>
        <w:rPr>
          <w:rFonts w:eastAsia="Times New Roman" w:cstheme="minorHAnsi"/>
          <w:color w:val="000000"/>
          <w:lang w:val="ro-RO"/>
        </w:rPr>
      </w:pPr>
      <w:r w:rsidRPr="001C3B31">
        <w:rPr>
          <w:rFonts w:eastAsia="Times New Roman" w:cstheme="minorHAnsi"/>
          <w:color w:val="000000"/>
          <w:lang w:val="ro-RO"/>
        </w:rPr>
        <w:t>Implică parteneriatul public, antreprenorial și civic public-privat</w:t>
      </w:r>
      <w:r>
        <w:rPr>
          <w:rFonts w:eastAsia="Times New Roman" w:cstheme="minorHAnsi"/>
          <w:color w:val="000000"/>
          <w:lang w:val="ro-RO"/>
        </w:rPr>
        <w:t>;</w:t>
      </w:r>
    </w:p>
    <w:p w:rsidR="004B3372" w:rsidRPr="001C3B31" w:rsidRDefault="004B3372" w:rsidP="004B3372">
      <w:pPr>
        <w:pStyle w:val="ListParagraph"/>
        <w:numPr>
          <w:ilvl w:val="0"/>
          <w:numId w:val="23"/>
        </w:numPr>
        <w:spacing w:after="0"/>
        <w:rPr>
          <w:rFonts w:eastAsia="Times New Roman" w:cstheme="minorHAnsi"/>
          <w:color w:val="000000"/>
          <w:lang w:val="ro-RO"/>
        </w:rPr>
      </w:pPr>
      <w:r w:rsidRPr="001C3B31">
        <w:rPr>
          <w:rFonts w:eastAsia="Times New Roman" w:cstheme="minorHAnsi"/>
          <w:color w:val="000000"/>
          <w:lang w:val="ro-RO"/>
        </w:rPr>
        <w:t>Oferă flexibilitate GAL-urilor să implementeze proiecte inovative</w:t>
      </w:r>
      <w:r>
        <w:rPr>
          <w:rFonts w:eastAsia="Times New Roman" w:cstheme="minorHAnsi"/>
          <w:color w:val="000000"/>
          <w:lang w:val="ro-RO"/>
        </w:rPr>
        <w:t>;</w:t>
      </w:r>
    </w:p>
    <w:p w:rsidR="004B3372" w:rsidRPr="001C3B31" w:rsidRDefault="004B3372" w:rsidP="004B3372">
      <w:pPr>
        <w:pStyle w:val="ListParagraph"/>
        <w:numPr>
          <w:ilvl w:val="0"/>
          <w:numId w:val="23"/>
        </w:numPr>
        <w:spacing w:after="0"/>
        <w:rPr>
          <w:rFonts w:eastAsia="Times New Roman" w:cstheme="minorHAnsi"/>
          <w:color w:val="000000"/>
          <w:lang w:val="ro-RO"/>
        </w:rPr>
      </w:pPr>
      <w:r w:rsidRPr="001C3B31">
        <w:rPr>
          <w:rFonts w:eastAsia="Times New Roman" w:cstheme="minorHAnsi"/>
          <w:color w:val="000000"/>
          <w:lang w:val="ro-RO"/>
        </w:rPr>
        <w:t>Integrează acțiuni multidimensionale</w:t>
      </w:r>
      <w:r>
        <w:rPr>
          <w:rFonts w:eastAsia="Times New Roman" w:cstheme="minorHAnsi"/>
          <w:color w:val="000000"/>
          <w:lang w:val="ro-RO"/>
        </w:rPr>
        <w:t xml:space="preserve">: </w:t>
      </w:r>
      <w:r w:rsidRPr="001C3B31">
        <w:rPr>
          <w:rFonts w:eastAsia="Times New Roman" w:cstheme="minorHAnsi"/>
          <w:color w:val="000000"/>
          <w:lang w:val="ro-RO"/>
        </w:rPr>
        <w:t xml:space="preserve"> social, economic, cultural, etc.</w:t>
      </w:r>
      <w:r>
        <w:rPr>
          <w:rFonts w:eastAsia="Times New Roman" w:cstheme="minorHAnsi"/>
          <w:color w:val="000000"/>
          <w:lang w:val="ro-RO"/>
        </w:rPr>
        <w:t>;</w:t>
      </w:r>
      <w:r w:rsidRPr="001C3B31">
        <w:rPr>
          <w:rFonts w:eastAsia="Times New Roman" w:cstheme="minorHAnsi"/>
          <w:color w:val="000000"/>
          <w:lang w:val="ro-RO"/>
        </w:rPr>
        <w:t xml:space="preserve"> </w:t>
      </w:r>
    </w:p>
    <w:p w:rsidR="004B3372" w:rsidRPr="001C3B31" w:rsidRDefault="004B3372" w:rsidP="004B3372">
      <w:pPr>
        <w:pStyle w:val="ListParagraph"/>
        <w:numPr>
          <w:ilvl w:val="0"/>
          <w:numId w:val="23"/>
        </w:numPr>
        <w:spacing w:after="0"/>
        <w:rPr>
          <w:rFonts w:eastAsia="Times New Roman" w:cstheme="minorHAnsi"/>
          <w:color w:val="000000"/>
          <w:lang w:val="ro-RO"/>
        </w:rPr>
      </w:pPr>
      <w:r w:rsidRPr="001C3B31">
        <w:rPr>
          <w:rFonts w:eastAsia="Times New Roman" w:cstheme="minorHAnsi"/>
          <w:color w:val="000000"/>
          <w:lang w:val="ro-RO"/>
        </w:rPr>
        <w:t>Creează o rețea de oameni, organizații și instituții locale</w:t>
      </w:r>
      <w:r>
        <w:rPr>
          <w:rFonts w:eastAsia="Times New Roman" w:cstheme="minorHAnsi"/>
          <w:color w:val="000000"/>
          <w:lang w:val="ro-RO"/>
        </w:rPr>
        <w:t>;</w:t>
      </w:r>
    </w:p>
    <w:p w:rsidR="004B3372" w:rsidRPr="001C3B31" w:rsidRDefault="004B3372" w:rsidP="004B3372">
      <w:pPr>
        <w:pStyle w:val="ListParagraph"/>
        <w:numPr>
          <w:ilvl w:val="0"/>
          <w:numId w:val="23"/>
        </w:numPr>
        <w:spacing w:after="0"/>
        <w:rPr>
          <w:rFonts w:eastAsia="Times New Roman" w:cstheme="minorHAnsi"/>
          <w:color w:val="000000"/>
          <w:lang w:val="ro-RO"/>
        </w:rPr>
      </w:pPr>
      <w:r w:rsidRPr="001C3B31">
        <w:rPr>
          <w:rFonts w:eastAsia="Times New Roman" w:cstheme="minorHAnsi"/>
          <w:color w:val="000000"/>
          <w:lang w:val="ro-RO"/>
        </w:rPr>
        <w:t xml:space="preserve">Asigură cooperarea dintre membri în vederea schimbului de experiență și bune practici. </w:t>
      </w:r>
    </w:p>
    <w:p w:rsidR="004B3372" w:rsidRPr="001C3B31" w:rsidRDefault="004B3372" w:rsidP="004B3372">
      <w:pPr>
        <w:pStyle w:val="ListParagraph"/>
        <w:numPr>
          <w:ilvl w:val="0"/>
          <w:numId w:val="19"/>
        </w:numPr>
        <w:rPr>
          <w:i/>
          <w:lang w:val="ro-RO"/>
        </w:rPr>
      </w:pPr>
      <w:r w:rsidRPr="001C3B31">
        <w:rPr>
          <w:i/>
          <w:lang w:val="ro-RO"/>
        </w:rPr>
        <w:t>În ce măsură acțiunile propuse de PPP sunt coerente cu alte măsuri implementate în domeniile de intervenție ale PPP-ului?</w:t>
      </w:r>
    </w:p>
    <w:p w:rsidR="004B3372" w:rsidRPr="001C3B31" w:rsidRDefault="004B3372" w:rsidP="004B3372">
      <w:pPr>
        <w:autoSpaceDE w:val="0"/>
        <w:autoSpaceDN w:val="0"/>
        <w:adjustRightInd w:val="0"/>
        <w:rPr>
          <w:rFonts w:cstheme="minorHAnsi"/>
          <w:lang w:val="ro-RO" w:eastAsia="zh-CN"/>
        </w:rPr>
      </w:pPr>
      <w:r w:rsidRPr="001C3B31">
        <w:rPr>
          <w:rFonts w:cstheme="minorHAnsi"/>
          <w:lang w:val="ro-RO" w:eastAsia="zh-CN"/>
        </w:rPr>
        <w:t>PPP urmează să fie implementată în cadrul unui context mai larg, care este determinat și de alte programe și politici publice. Acestea fie</w:t>
      </w:r>
      <w:r>
        <w:rPr>
          <w:rFonts w:cstheme="minorHAnsi"/>
          <w:lang w:val="ro-RO" w:eastAsia="zh-CN"/>
        </w:rPr>
        <w:t xml:space="preserve"> își propun obiective similare </w:t>
      </w:r>
      <w:r w:rsidRPr="001C3B31">
        <w:rPr>
          <w:rFonts w:cstheme="minorHAnsi"/>
          <w:lang w:val="ro-RO" w:eastAsia="zh-CN"/>
        </w:rPr>
        <w:t xml:space="preserve">sau se intersectează cu PPP la nivel de acțiuni specifice. În continuare am analizat gradul de coerență externă a PPP în paralel cu alte măsuri implementate în același domeniu de intervenție. </w:t>
      </w:r>
    </w:p>
    <w:p w:rsidR="004B3372" w:rsidRPr="001C3B31" w:rsidRDefault="004B3372" w:rsidP="004B3372">
      <w:pPr>
        <w:autoSpaceDE w:val="0"/>
        <w:autoSpaceDN w:val="0"/>
        <w:adjustRightInd w:val="0"/>
        <w:rPr>
          <w:rFonts w:cstheme="minorHAnsi"/>
          <w:lang w:val="ro-RO" w:eastAsia="zh-CN"/>
        </w:rPr>
      </w:pPr>
      <w:r w:rsidRPr="001C3B31">
        <w:rPr>
          <w:rFonts w:cstheme="minorHAnsi"/>
          <w:lang w:val="ro-RO" w:eastAsia="zh-CN"/>
        </w:rPr>
        <w:t xml:space="preserve">Analizând gradul de coerență cu </w:t>
      </w:r>
      <w:r w:rsidRPr="001C3B31">
        <w:rPr>
          <w:rFonts w:cstheme="minorHAnsi"/>
          <w:b/>
          <w:lang w:val="ro-RO" w:eastAsia="zh-CN"/>
        </w:rPr>
        <w:t>SNDAR 2014-2020</w:t>
      </w:r>
      <w:r w:rsidRPr="001C3B31">
        <w:rPr>
          <w:rFonts w:cstheme="minorHAnsi"/>
          <w:lang w:val="ro-RO" w:eastAsia="zh-CN"/>
        </w:rPr>
        <w:t xml:space="preserve">, </w:t>
      </w:r>
      <w:r>
        <w:rPr>
          <w:rFonts w:cstheme="minorHAnsi"/>
          <w:lang w:val="ro-RO" w:eastAsia="zh-CN"/>
        </w:rPr>
        <w:t xml:space="preserve">se </w:t>
      </w:r>
      <w:r w:rsidRPr="001C3B31">
        <w:rPr>
          <w:rFonts w:cstheme="minorHAnsi"/>
          <w:lang w:val="ro-RO" w:eastAsia="zh-CN"/>
        </w:rPr>
        <w:t xml:space="preserve">observă că intervențiile incluse în Submăsura 2 a PPP-ului prevăd i) îmbunătățirea și dezvoltarea infrastructurii economice publice rurale; ii) renovarea și dezvoltarea localităților rurale și iii) diversificarea economiei rurale prin activități non-agricole. Astfel, se constată un grad înalt de coerență a acestora atât cu Obiectivul General 3 din </w:t>
      </w:r>
      <w:r w:rsidRPr="001C3B31">
        <w:rPr>
          <w:rFonts w:cstheme="minorHAnsi"/>
          <w:i/>
          <w:iCs/>
          <w:lang w:val="ro-RO" w:eastAsia="zh-CN"/>
        </w:rPr>
        <w:t xml:space="preserve">SNDAR </w:t>
      </w:r>
      <w:r w:rsidRPr="001C3B31">
        <w:rPr>
          <w:rFonts w:ascii="Calibri" w:hAnsi="Calibri" w:cs="Calibri"/>
          <w:i/>
          <w:iCs/>
          <w:color w:val="000000" w:themeColor="text1"/>
          <w:lang w:val="ro-RO"/>
        </w:rPr>
        <w:t>Îmbunătățirea nivelului de muncă și trai în mediul rural</w:t>
      </w:r>
      <w:r w:rsidRPr="001C3B31">
        <w:rPr>
          <w:rFonts w:cstheme="minorHAnsi"/>
          <w:lang w:val="ro-RO" w:eastAsia="zh-CN"/>
        </w:rPr>
        <w:t>,</w:t>
      </w:r>
      <w:r w:rsidRPr="001C3B31">
        <w:rPr>
          <w:rFonts w:cstheme="minorHAnsi"/>
          <w:i/>
          <w:iCs/>
          <w:lang w:val="ro-RO" w:eastAsia="zh-CN"/>
        </w:rPr>
        <w:t xml:space="preserve"> </w:t>
      </w:r>
      <w:r w:rsidRPr="001C3B31">
        <w:rPr>
          <w:rFonts w:cstheme="minorHAnsi"/>
          <w:lang w:val="ro-RO" w:eastAsia="zh-CN"/>
        </w:rPr>
        <w:t xml:space="preserve">dar și cu fiecare din cele 3 obiective specifice în particular, venind să extindă ariile de intervenție respective, planificate la nivel strategic. </w:t>
      </w:r>
    </w:p>
    <w:p w:rsidR="004B3372" w:rsidRPr="001C3B31" w:rsidRDefault="004B3372" w:rsidP="004B3372">
      <w:pPr>
        <w:autoSpaceDE w:val="0"/>
        <w:autoSpaceDN w:val="0"/>
        <w:adjustRightInd w:val="0"/>
        <w:rPr>
          <w:rFonts w:cstheme="minorHAnsi"/>
          <w:bCs/>
          <w:lang w:val="ro-RO" w:eastAsia="zh-CN"/>
        </w:rPr>
      </w:pPr>
      <w:r w:rsidRPr="001C3B31">
        <w:rPr>
          <w:rFonts w:cstheme="minorHAnsi"/>
          <w:lang w:val="ro-RO" w:eastAsia="zh-CN"/>
        </w:rPr>
        <w:t xml:space="preserve">În altă ordine de idei,  Strategia Națională de Dezvoltare Regională </w:t>
      </w:r>
      <w:r w:rsidRPr="001C3B31">
        <w:rPr>
          <w:rFonts w:cstheme="minorHAnsi"/>
          <w:b/>
          <w:lang w:val="ro-RO" w:eastAsia="zh-CN"/>
        </w:rPr>
        <w:t xml:space="preserve">SNDR 2016-2020 </w:t>
      </w:r>
      <w:r w:rsidRPr="001C3B31">
        <w:rPr>
          <w:rFonts w:cstheme="minorHAnsi"/>
          <w:bCs/>
          <w:lang w:val="ro-RO" w:eastAsia="zh-CN"/>
        </w:rPr>
        <w:t>are o arie de intervenție mult mai largă decât PPP-ul analizat, avân</w:t>
      </w:r>
      <w:r>
        <w:rPr>
          <w:rFonts w:cstheme="minorHAnsi"/>
          <w:bCs/>
          <w:lang w:val="ro-RO" w:eastAsia="zh-CN"/>
        </w:rPr>
        <w:t>d intervenții la nivel regional</w:t>
      </w:r>
      <w:r w:rsidRPr="001C3B31">
        <w:rPr>
          <w:rFonts w:cstheme="minorHAnsi"/>
          <w:bCs/>
          <w:lang w:val="ro-RO" w:eastAsia="zh-CN"/>
        </w:rPr>
        <w:t xml:space="preserve"> mult mai complexe și adresate unei populații mai largi. Totodată, PPP-ul analizat se focusează pe dezvoltarea economică (cel puțin 50</w:t>
      </w:r>
      <w:r>
        <w:rPr>
          <w:rFonts w:cstheme="minorHAnsi"/>
          <w:bCs/>
          <w:lang w:val="ro-RO" w:eastAsia="zh-CN"/>
        </w:rPr>
        <w:t xml:space="preserve"> </w:t>
      </w:r>
      <w:r w:rsidRPr="001C3B31">
        <w:rPr>
          <w:rFonts w:cstheme="minorHAnsi"/>
          <w:bCs/>
          <w:lang w:val="ro-RO" w:eastAsia="zh-CN"/>
        </w:rPr>
        <w:t>% din proiecte fiind destinate dezvoltării economice) la nivel  local, respectiv venind în completarea</w:t>
      </w:r>
      <w:r>
        <w:rPr>
          <w:rFonts w:cstheme="minorHAnsi"/>
          <w:bCs/>
          <w:lang w:val="ro-RO" w:eastAsia="zh-CN"/>
        </w:rPr>
        <w:t xml:space="preserve"> la nivel local a politicii de dezvoltare r</w:t>
      </w:r>
      <w:r w:rsidRPr="001C3B31">
        <w:rPr>
          <w:rFonts w:cstheme="minorHAnsi"/>
          <w:bCs/>
          <w:lang w:val="ro-RO" w:eastAsia="zh-CN"/>
        </w:rPr>
        <w:t xml:space="preserve">egională. Astfel, putem constata o coerență pe verticală între SNDR 2016-2020 și PPP-ul analizat, unde SNDR are rolul de formator al cadrului strategic, iar PPP-ul vine cu implementarea la nivelul local a acestuia. </w:t>
      </w:r>
    </w:p>
    <w:p w:rsidR="004B3372" w:rsidRDefault="004B3372" w:rsidP="004B3372">
      <w:pPr>
        <w:autoSpaceDE w:val="0"/>
        <w:autoSpaceDN w:val="0"/>
        <w:adjustRightInd w:val="0"/>
        <w:rPr>
          <w:rFonts w:eastAsia="Times New Roman" w:cstheme="minorHAnsi"/>
          <w:lang w:val="ro-RO" w:eastAsia="de-DE"/>
        </w:rPr>
      </w:pPr>
      <w:r w:rsidRPr="001C3B31">
        <w:rPr>
          <w:rFonts w:eastAsia="Times New Roman" w:cstheme="minorHAnsi"/>
          <w:lang w:val="ro-RO" w:eastAsia="de-DE"/>
        </w:rPr>
        <w:t xml:space="preserve">În raport cu </w:t>
      </w:r>
      <w:r w:rsidRPr="001C3B31">
        <w:rPr>
          <w:rFonts w:eastAsia="Times New Roman" w:cstheme="minorHAnsi"/>
          <w:b/>
          <w:lang w:val="ro-RO" w:eastAsia="de-DE"/>
        </w:rPr>
        <w:t>Strategia de Dezvoltare a Sectorului IMM 2012-2020</w:t>
      </w:r>
      <w:r w:rsidRPr="001C3B31">
        <w:rPr>
          <w:rFonts w:eastAsia="Times New Roman" w:cstheme="minorHAnsi"/>
          <w:lang w:val="ro-RO" w:eastAsia="de-DE"/>
        </w:rPr>
        <w:t xml:space="preserve">, PPP se intersectează la nivelul obiectivelor 3 și 4 , cu Prioritatea 5 din SDS IMM: </w:t>
      </w:r>
      <w:r w:rsidRPr="001C3B31">
        <w:rPr>
          <w:rFonts w:eastAsia="Times New Roman" w:cstheme="minorHAnsi"/>
          <w:i/>
          <w:lang w:val="ro-RO" w:eastAsia="de-DE"/>
        </w:rPr>
        <w:t>”Facilitarea dezvoltării IMM-urilor în regiuni”</w:t>
      </w:r>
      <w:r w:rsidRPr="001C3B31">
        <w:rPr>
          <w:rFonts w:eastAsia="Times New Roman" w:cstheme="minorHAnsi"/>
          <w:lang w:val="ro-RO" w:eastAsia="de-DE"/>
        </w:rPr>
        <w:t xml:space="preserve"> și anume Obiectivul 5.1.</w:t>
      </w:r>
      <w:r w:rsidRPr="001C3B31">
        <w:rPr>
          <w:rFonts w:eastAsia="Times New Roman" w:cstheme="minorHAnsi"/>
          <w:i/>
          <w:lang w:val="ro-RO" w:eastAsia="de-DE"/>
        </w:rPr>
        <w:t>”</w:t>
      </w:r>
      <w:r w:rsidRPr="001C3B31">
        <w:rPr>
          <w:i/>
          <w:lang w:val="ro-RO"/>
        </w:rPr>
        <w:t xml:space="preserve"> </w:t>
      </w:r>
      <w:r w:rsidRPr="001C3B31">
        <w:rPr>
          <w:rFonts w:eastAsia="Times New Roman" w:cstheme="minorHAnsi"/>
          <w:i/>
          <w:lang w:val="ro-RO" w:eastAsia="de-DE"/>
        </w:rPr>
        <w:t xml:space="preserve">Stimularea dezvoltării echilibrate şi durabile a IMM-urilor pe întreg teritoriu RM”. </w:t>
      </w:r>
      <w:r w:rsidRPr="001C3B31">
        <w:rPr>
          <w:rFonts w:eastAsia="Times New Roman" w:cstheme="minorHAnsi"/>
          <w:lang w:val="ro-RO" w:eastAsia="de-DE"/>
        </w:rPr>
        <w:t>În același timp, documentele de politici propun o abordare diferită asupra acestor obiective în ceea ce ține de măsuri și acțiuni concrete. Planul de acțiuni al SDS IMM 2012-2020 formulează acțiuni cu caracter formativ pentru instituțiile de suport în domeniu (consolidarea capacităților instituționale ale secțiilor economie</w:t>
      </w:r>
      <w:r>
        <w:rPr>
          <w:rFonts w:eastAsia="Times New Roman" w:cstheme="minorHAnsi"/>
          <w:lang w:val="ro-RO" w:eastAsia="de-DE"/>
        </w:rPr>
        <w:t>i</w:t>
      </w:r>
      <w:r w:rsidRPr="001C3B31">
        <w:rPr>
          <w:rFonts w:eastAsia="Times New Roman" w:cstheme="minorHAnsi"/>
          <w:lang w:val="ro-RO" w:eastAsia="de-DE"/>
        </w:rPr>
        <w:t xml:space="preserve"> din cadrul consiliilor raionale, </w:t>
      </w:r>
      <w:r>
        <w:rPr>
          <w:rFonts w:eastAsia="Times New Roman" w:cstheme="minorHAnsi"/>
          <w:lang w:val="ro-RO" w:eastAsia="de-DE"/>
        </w:rPr>
        <w:t>trening-</w:t>
      </w:r>
      <w:r w:rsidRPr="001C3B31">
        <w:rPr>
          <w:rFonts w:eastAsia="Times New Roman" w:cstheme="minorHAnsi"/>
          <w:lang w:val="ro-RO" w:eastAsia="de-DE"/>
        </w:rPr>
        <w:t xml:space="preserve">uri pentru autoritățile administrației publice locale în vederea elaborării proiectelor transfrontaliere, consolidarea capacităților administrative ale reprezentanților autorităților publice locale responsabili de dezvoltarea sectorului IMM-urilor, etc.), iar pentru Obiectivul 5.2. </w:t>
      </w:r>
      <w:r w:rsidRPr="001C3B31">
        <w:rPr>
          <w:rFonts w:eastAsia="Times New Roman" w:cstheme="minorHAnsi"/>
          <w:i/>
          <w:lang w:val="ro-RO" w:eastAsia="de-DE"/>
        </w:rPr>
        <w:t>Asigurarea dezvoltării infrastructurii de suport a IMM-urilor în regiuni</w:t>
      </w:r>
      <w:r w:rsidRPr="001C3B31">
        <w:rPr>
          <w:rFonts w:eastAsia="Times New Roman" w:cstheme="minorHAnsi"/>
          <w:lang w:val="ro-RO" w:eastAsia="de-DE"/>
        </w:rPr>
        <w:t xml:space="preserve"> este propusă acțiunea de </w:t>
      </w:r>
      <w:r w:rsidRPr="001C3B31">
        <w:rPr>
          <w:i/>
          <w:lang w:val="ro-RO"/>
        </w:rPr>
        <w:t xml:space="preserve">Îmbunătățire şi sporire a capacităților </w:t>
      </w:r>
      <w:r>
        <w:rPr>
          <w:i/>
          <w:lang w:val="ro-RO"/>
        </w:rPr>
        <w:t>post</w:t>
      </w:r>
      <w:r w:rsidRPr="001C3B31">
        <w:rPr>
          <w:i/>
          <w:lang w:val="ro-RO"/>
        </w:rPr>
        <w:t>recoltare, de procesare a producției agricole a IMM-urilor din localitățile rurale</w:t>
      </w:r>
      <w:r w:rsidRPr="001C3B31">
        <w:rPr>
          <w:rFonts w:eastAsia="Times New Roman" w:cstheme="minorHAnsi"/>
          <w:i/>
          <w:lang w:val="ro-RO" w:eastAsia="de-DE"/>
        </w:rPr>
        <w:t xml:space="preserve">. </w:t>
      </w:r>
      <w:r w:rsidRPr="001C3B31">
        <w:rPr>
          <w:rFonts w:eastAsia="Times New Roman" w:cstheme="minorHAnsi"/>
          <w:lang w:val="ro-RO" w:eastAsia="de-DE"/>
        </w:rPr>
        <w:t>Respectiv, la nivel de intervenții concrete, PPP și PA al SDS IMM practic nu se intersectează și vizează intervenții de natură diferită. Astfel SDS IMM preponderent include intervenții prin intermediul programelor de stat administrate de ODIMM și destinate afacerilor mici și micro. Pe de altă parte</w:t>
      </w:r>
      <w:r>
        <w:rPr>
          <w:rFonts w:eastAsia="Times New Roman" w:cstheme="minorHAnsi"/>
          <w:lang w:val="ro-RO" w:eastAsia="de-DE"/>
        </w:rPr>
        <w:t>,</w:t>
      </w:r>
      <w:r w:rsidRPr="001C3B31">
        <w:rPr>
          <w:rFonts w:eastAsia="Times New Roman" w:cstheme="minorHAnsi"/>
          <w:lang w:val="ro-RO" w:eastAsia="de-DE"/>
        </w:rPr>
        <w:t xml:space="preserve"> PPP-ul vine cu o abordare de jos în sus în ceea ce privește procesul de selectare și aprobare a finanțării a activităților economice, sprijinind intervenții de importanță pentru microregiune, care nu se regăsesc în cadrul strategic național de suport al sectorul IMM.</w:t>
      </w:r>
    </w:p>
    <w:p w:rsidR="004B3372" w:rsidRPr="007F0A8B" w:rsidRDefault="004B3372" w:rsidP="004B3372">
      <w:pPr>
        <w:autoSpaceDE w:val="0"/>
        <w:autoSpaceDN w:val="0"/>
        <w:adjustRightInd w:val="0"/>
        <w:rPr>
          <w:rFonts w:eastAsia="Times New Roman" w:cstheme="minorHAnsi"/>
          <w:b/>
          <w:color w:val="0070C0"/>
          <w:lang w:val="ro-MO" w:eastAsia="de-DE"/>
        </w:rPr>
      </w:pPr>
      <w:r w:rsidRPr="007F0A8B">
        <w:rPr>
          <w:rFonts w:eastAsia="Times New Roman" w:cstheme="minorHAnsi"/>
          <w:b/>
          <w:color w:val="0070C0"/>
          <w:lang w:val="ro-RO" w:eastAsia="de-DE"/>
        </w:rPr>
        <w:t xml:space="preserve">CONCLUZII </w:t>
      </w:r>
      <w:r w:rsidR="007F0A8B">
        <w:rPr>
          <w:rFonts w:eastAsia="Times New Roman" w:cstheme="minorHAnsi"/>
          <w:b/>
          <w:color w:val="0070C0"/>
          <w:lang w:val="ro-MO" w:eastAsia="de-DE"/>
        </w:rPr>
        <w:t>și RECOMANDĂRI</w:t>
      </w:r>
    </w:p>
    <w:tbl>
      <w:tblPr>
        <w:tblStyle w:val="TableGrid"/>
        <w:tblW w:w="0" w:type="auto"/>
        <w:tblLook w:val="04A0" w:firstRow="1" w:lastRow="0" w:firstColumn="1" w:lastColumn="0" w:noHBand="0" w:noVBand="1"/>
      </w:tblPr>
      <w:tblGrid>
        <w:gridCol w:w="9435"/>
      </w:tblGrid>
      <w:tr w:rsidR="004B3372" w:rsidRPr="001C3B31" w:rsidTr="00B50045">
        <w:tc>
          <w:tcPr>
            <w:tcW w:w="9435" w:type="dxa"/>
          </w:tcPr>
          <w:p w:rsidR="004B3372" w:rsidRPr="001C3B31" w:rsidRDefault="004B3372" w:rsidP="00B50045">
            <w:pPr>
              <w:spacing w:after="0" w:line="276" w:lineRule="auto"/>
              <w:rPr>
                <w:rFonts w:ascii="Calibri" w:hAnsi="Calibri"/>
                <w:color w:val="000000" w:themeColor="text1"/>
                <w:sz w:val="22"/>
                <w:szCs w:val="22"/>
                <w:lang w:val="ro-RO"/>
              </w:rPr>
            </w:pPr>
            <w:r w:rsidRPr="001C3B31">
              <w:rPr>
                <w:rFonts w:eastAsia="Times New Roman" w:cstheme="minorHAnsi"/>
                <w:lang w:val="ro-RO" w:eastAsia="de-DE"/>
              </w:rPr>
              <w:t xml:space="preserve"> </w:t>
            </w:r>
            <w:r w:rsidRPr="001C3B31">
              <w:rPr>
                <w:rFonts w:ascii="Calibri" w:hAnsi="Calibri"/>
                <w:b/>
                <w:color w:val="000000" w:themeColor="text1"/>
                <w:sz w:val="22"/>
                <w:szCs w:val="22"/>
                <w:lang w:val="ro-RO"/>
              </w:rPr>
              <w:t>C 1:</w:t>
            </w:r>
            <w:r w:rsidRPr="001C3B31">
              <w:rPr>
                <w:rFonts w:ascii="Calibri" w:hAnsi="Calibri"/>
                <w:color w:val="000000" w:themeColor="text1"/>
                <w:sz w:val="22"/>
                <w:szCs w:val="22"/>
                <w:lang w:val="ro-RO"/>
              </w:rPr>
              <w:t xml:space="preserve"> Analiza validează atât actualitatea</w:t>
            </w:r>
            <w:r>
              <w:rPr>
                <w:rFonts w:ascii="Calibri" w:hAnsi="Calibri"/>
                <w:color w:val="000000" w:themeColor="text1"/>
                <w:sz w:val="22"/>
                <w:szCs w:val="22"/>
                <w:lang w:val="ro-RO"/>
              </w:rPr>
              <w:t>,</w:t>
            </w:r>
            <w:r w:rsidRPr="001C3B31">
              <w:rPr>
                <w:rFonts w:ascii="Calibri" w:hAnsi="Calibri"/>
                <w:color w:val="000000" w:themeColor="text1"/>
                <w:sz w:val="22"/>
                <w:szCs w:val="22"/>
                <w:lang w:val="ro-RO"/>
              </w:rPr>
              <w:t xml:space="preserve"> cât și gravitatea problemei, relevând lipsa unor mecanisme  </w:t>
            </w:r>
            <w:r>
              <w:rPr>
                <w:rFonts w:ascii="Calibri" w:hAnsi="Calibri"/>
                <w:color w:val="000000" w:themeColor="text1"/>
                <w:sz w:val="22"/>
                <w:szCs w:val="22"/>
                <w:lang w:val="ro-RO"/>
              </w:rPr>
              <w:t xml:space="preserve">de </w:t>
            </w:r>
            <w:r w:rsidRPr="001C3B31">
              <w:rPr>
                <w:rFonts w:ascii="Calibri" w:hAnsi="Calibri"/>
                <w:color w:val="000000" w:themeColor="text1"/>
                <w:sz w:val="22"/>
                <w:szCs w:val="22"/>
                <w:lang w:val="ro-RO"/>
              </w:rPr>
              <w:t xml:space="preserve">intervenție la nivel de stat în prezent. PPP-ul propus reprezintă o soluție optimă pentru adresarea problemelor ce întârzie progresul </w:t>
            </w:r>
            <w:r>
              <w:rPr>
                <w:rFonts w:ascii="Calibri" w:hAnsi="Calibri"/>
                <w:color w:val="000000" w:themeColor="text1"/>
                <w:sz w:val="22"/>
                <w:szCs w:val="22"/>
                <w:lang w:val="ro-RO"/>
              </w:rPr>
              <w:t xml:space="preserve">de </w:t>
            </w:r>
            <w:r w:rsidRPr="001C3B31">
              <w:rPr>
                <w:rFonts w:ascii="Calibri" w:hAnsi="Calibri"/>
                <w:color w:val="000000" w:themeColor="text1"/>
                <w:sz w:val="22"/>
                <w:szCs w:val="22"/>
                <w:lang w:val="ro-RO"/>
              </w:rPr>
              <w:t>îmbunătățire</w:t>
            </w:r>
            <w:r>
              <w:rPr>
                <w:rFonts w:ascii="Calibri" w:hAnsi="Calibri"/>
                <w:color w:val="000000" w:themeColor="text1"/>
                <w:sz w:val="22"/>
                <w:szCs w:val="22"/>
                <w:lang w:val="ro-RO"/>
              </w:rPr>
              <w:t xml:space="preserve"> </w:t>
            </w:r>
            <w:r w:rsidRPr="001C3B31">
              <w:rPr>
                <w:rFonts w:ascii="Calibri" w:hAnsi="Calibri"/>
                <w:color w:val="000000" w:themeColor="text1"/>
                <w:sz w:val="22"/>
                <w:szCs w:val="22"/>
                <w:lang w:val="ro-RO"/>
              </w:rPr>
              <w:t>a nivelului de muncă și trai în mediul rural, în special prin mecanismele aplicate de LEADER ce consolidează cooperarea comunitară</w:t>
            </w:r>
            <w:r>
              <w:rPr>
                <w:rFonts w:ascii="Calibri" w:hAnsi="Calibri"/>
                <w:color w:val="000000" w:themeColor="text1"/>
                <w:sz w:val="22"/>
                <w:szCs w:val="22"/>
                <w:lang w:val="ro-RO"/>
              </w:rPr>
              <w:t>,</w:t>
            </w:r>
            <w:r w:rsidRPr="001C3B31">
              <w:rPr>
                <w:rFonts w:ascii="Calibri" w:hAnsi="Calibri"/>
                <w:color w:val="000000" w:themeColor="text1"/>
                <w:sz w:val="22"/>
                <w:szCs w:val="22"/>
                <w:lang w:val="ro-RO"/>
              </w:rPr>
              <w:t xml:space="preserve"> dar și modul de </w:t>
            </w:r>
            <w:r w:rsidRPr="001C3B31">
              <w:rPr>
                <w:rFonts w:ascii="Calibri" w:hAnsi="Calibri"/>
                <w:color w:val="000000" w:themeColor="text1"/>
                <w:sz w:val="22"/>
                <w:szCs w:val="22"/>
                <w:lang w:val="ro-RO"/>
              </w:rPr>
              <w:lastRenderedPageBreak/>
              <w:t>diversificare a economiei locale.</w:t>
            </w:r>
          </w:p>
          <w:p w:rsidR="004B3372" w:rsidRPr="001C3B31" w:rsidRDefault="004B3372" w:rsidP="00B50045">
            <w:pPr>
              <w:spacing w:after="0" w:line="276" w:lineRule="auto"/>
              <w:rPr>
                <w:rFonts w:ascii="Calibri" w:hAnsi="Calibri"/>
                <w:color w:val="000000" w:themeColor="text1"/>
                <w:sz w:val="22"/>
                <w:szCs w:val="22"/>
                <w:lang w:val="ro-RO"/>
              </w:rPr>
            </w:pPr>
            <w:r w:rsidRPr="001C3B31">
              <w:rPr>
                <w:rFonts w:ascii="Calibri" w:hAnsi="Calibri"/>
                <w:b/>
                <w:color w:val="000000" w:themeColor="text1"/>
                <w:sz w:val="22"/>
                <w:szCs w:val="22"/>
                <w:lang w:val="ro-RO"/>
              </w:rPr>
              <w:t>C 2:</w:t>
            </w:r>
            <w:r w:rsidRPr="001C3B31">
              <w:rPr>
                <w:rFonts w:ascii="Calibri" w:hAnsi="Calibri"/>
                <w:color w:val="000000" w:themeColor="text1"/>
                <w:sz w:val="22"/>
                <w:szCs w:val="22"/>
                <w:lang w:val="ro-RO"/>
              </w:rPr>
              <w:t xml:space="preserve"> Formularea actuală a măsurii de intervenție asigură o coerență internă adecvată, astfel încât prin implementarea acțiunilor aferente măsurii de intervenție este fezabilă atingerea obiectivelor setate de politica publică propusă. </w:t>
            </w:r>
          </w:p>
          <w:p w:rsidR="004B3372" w:rsidRPr="001C3B31" w:rsidRDefault="004B3372" w:rsidP="00B50045">
            <w:pPr>
              <w:spacing w:after="0" w:line="276" w:lineRule="auto"/>
              <w:rPr>
                <w:rFonts w:ascii="Calibri" w:hAnsi="Calibri"/>
                <w:color w:val="000000" w:themeColor="text1"/>
                <w:sz w:val="22"/>
                <w:szCs w:val="22"/>
                <w:lang w:val="ro-RO"/>
              </w:rPr>
            </w:pPr>
            <w:r w:rsidRPr="001C3B31">
              <w:rPr>
                <w:rFonts w:ascii="Calibri" w:hAnsi="Calibri"/>
                <w:b/>
                <w:color w:val="000000" w:themeColor="text1"/>
                <w:sz w:val="22"/>
                <w:szCs w:val="22"/>
                <w:lang w:val="ro-RO"/>
              </w:rPr>
              <w:t>C 3:</w:t>
            </w:r>
            <w:r w:rsidRPr="001C3B31">
              <w:rPr>
                <w:rFonts w:ascii="Calibri" w:hAnsi="Calibri"/>
                <w:color w:val="000000" w:themeColor="text1"/>
                <w:sz w:val="22"/>
                <w:szCs w:val="22"/>
                <w:lang w:val="ro-RO"/>
              </w:rPr>
              <w:t xml:space="preserve"> Propunerea de Politică Publică este </w:t>
            </w:r>
            <w:r>
              <w:rPr>
                <w:rFonts w:ascii="Calibri" w:hAnsi="Calibri"/>
                <w:color w:val="000000" w:themeColor="text1"/>
                <w:sz w:val="22"/>
                <w:szCs w:val="22"/>
                <w:lang w:val="ro-RO"/>
              </w:rPr>
              <w:t>coerentă cu Cadrul de Politici S</w:t>
            </w:r>
            <w:r w:rsidRPr="001C3B31">
              <w:rPr>
                <w:rFonts w:ascii="Calibri" w:hAnsi="Calibri"/>
                <w:color w:val="000000" w:themeColor="text1"/>
                <w:sz w:val="22"/>
                <w:szCs w:val="22"/>
                <w:lang w:val="ro-RO"/>
              </w:rPr>
              <w:t xml:space="preserve">ectorial și anume măsurile de intervenție prevăzute de către PPP asigură, în mare parte, atingerea indicatorilor prevăzuți în SNDAR 2014-2020 și PA pentru implementarea SDNAR 2014-2020. </w:t>
            </w:r>
          </w:p>
          <w:p w:rsidR="004B3372" w:rsidRPr="001C3B31" w:rsidRDefault="004B3372" w:rsidP="00B50045">
            <w:pPr>
              <w:spacing w:line="276" w:lineRule="auto"/>
              <w:rPr>
                <w:rFonts w:ascii="Calibri" w:hAnsi="Calibri"/>
                <w:color w:val="000000" w:themeColor="text1"/>
                <w:sz w:val="22"/>
                <w:szCs w:val="22"/>
                <w:lang w:val="ro-RO"/>
              </w:rPr>
            </w:pPr>
            <w:r w:rsidRPr="001C3B31">
              <w:rPr>
                <w:rFonts w:ascii="Calibri" w:hAnsi="Calibri"/>
                <w:b/>
                <w:color w:val="000000" w:themeColor="text1"/>
                <w:sz w:val="22"/>
                <w:szCs w:val="22"/>
                <w:lang w:val="ro-RO"/>
              </w:rPr>
              <w:t>R 1:</w:t>
            </w:r>
            <w:r w:rsidRPr="001C3B31">
              <w:rPr>
                <w:rFonts w:ascii="Calibri" w:hAnsi="Calibri"/>
                <w:color w:val="000000" w:themeColor="text1"/>
                <w:sz w:val="22"/>
                <w:szCs w:val="22"/>
                <w:lang w:val="ro-RO"/>
              </w:rPr>
              <w:t xml:space="preserve"> Menținerea în procesul ajustării Regulamentului de subvenționare a condițiilor transpuse în propunerea </w:t>
            </w:r>
            <w:r>
              <w:rPr>
                <w:rFonts w:ascii="Calibri" w:hAnsi="Calibri"/>
                <w:color w:val="000000" w:themeColor="text1"/>
                <w:sz w:val="22"/>
                <w:szCs w:val="22"/>
                <w:lang w:val="ro-RO"/>
              </w:rPr>
              <w:t>de politică publică. Alinierea c</w:t>
            </w:r>
            <w:r w:rsidRPr="001C3B31">
              <w:rPr>
                <w:rFonts w:ascii="Calibri" w:hAnsi="Calibri"/>
                <w:color w:val="000000" w:themeColor="text1"/>
                <w:sz w:val="22"/>
                <w:szCs w:val="22"/>
                <w:lang w:val="ro-RO"/>
              </w:rPr>
              <w:t xml:space="preserve">riteriilor de eligibilitate la obiectivele măsurilor de intervenție propuse astfel încât să poată fi asigurată atingerea obiectivelor propuse prin implementarea proiectelor ulterior selectate. </w:t>
            </w:r>
          </w:p>
          <w:p w:rsidR="004B3372" w:rsidRPr="001C3B31" w:rsidRDefault="004B3372" w:rsidP="00B50045">
            <w:pPr>
              <w:autoSpaceDE w:val="0"/>
              <w:autoSpaceDN w:val="0"/>
              <w:adjustRightInd w:val="0"/>
              <w:rPr>
                <w:rFonts w:eastAsia="Times New Roman" w:cstheme="minorHAnsi"/>
                <w:lang w:val="ro-RO" w:eastAsia="de-DE"/>
              </w:rPr>
            </w:pPr>
            <w:r w:rsidRPr="001C3B31">
              <w:rPr>
                <w:rFonts w:ascii="Calibri" w:hAnsi="Calibri"/>
                <w:b/>
                <w:color w:val="000000" w:themeColor="text1"/>
                <w:sz w:val="22"/>
                <w:szCs w:val="22"/>
                <w:lang w:val="ro-RO"/>
              </w:rPr>
              <w:t>R 2:</w:t>
            </w:r>
            <w:r w:rsidRPr="001C3B31">
              <w:rPr>
                <w:rFonts w:ascii="Calibri" w:hAnsi="Calibri"/>
                <w:color w:val="000000" w:themeColor="text1"/>
                <w:sz w:val="22"/>
                <w:szCs w:val="22"/>
                <w:lang w:val="ro-RO"/>
              </w:rPr>
              <w:t xml:space="preserve"> În procesul de implementare</w:t>
            </w:r>
            <w:r>
              <w:rPr>
                <w:rFonts w:ascii="Calibri" w:hAnsi="Calibri"/>
                <w:color w:val="000000" w:themeColor="text1"/>
                <w:sz w:val="22"/>
                <w:szCs w:val="22"/>
                <w:lang w:val="ro-RO"/>
              </w:rPr>
              <w:t xml:space="preserve"> a</w:t>
            </w:r>
            <w:r w:rsidRPr="001C3B31">
              <w:rPr>
                <w:rFonts w:ascii="Calibri" w:hAnsi="Calibri"/>
                <w:color w:val="000000" w:themeColor="text1"/>
                <w:sz w:val="22"/>
                <w:szCs w:val="22"/>
                <w:lang w:val="ro-RO"/>
              </w:rPr>
              <w:t xml:space="preserve"> măsurii de intervenție pot fi generate sinergii care pot aduce beneficii relevante pentru ambele instituții implementatoare. </w:t>
            </w:r>
            <w:r>
              <w:rPr>
                <w:rFonts w:ascii="Calibri" w:hAnsi="Calibri"/>
                <w:color w:val="000000" w:themeColor="text1"/>
                <w:sz w:val="22"/>
                <w:szCs w:val="22"/>
                <w:lang w:val="ro-RO"/>
              </w:rPr>
              <w:t>Spre exemplu, având un cadru</w:t>
            </w:r>
            <w:r w:rsidRPr="001C3B31">
              <w:rPr>
                <w:rFonts w:ascii="Calibri" w:hAnsi="Calibri"/>
                <w:color w:val="000000" w:themeColor="text1"/>
                <w:sz w:val="22"/>
                <w:szCs w:val="22"/>
                <w:lang w:val="ro-RO"/>
              </w:rPr>
              <w:t xml:space="preserve"> sistemic puternic care gestionează dezvoltarea IMM-urilor (implementat prin Strategia de Dezvoltare a Sectorului IMM), precum și inițiative concrete care abordează grupuri-țintă similare cu cele țintite de PPP (</w:t>
            </w:r>
            <w:r>
              <w:rPr>
                <w:rFonts w:ascii="Calibri" w:hAnsi="Calibri"/>
                <w:color w:val="000000" w:themeColor="text1"/>
                <w:sz w:val="22"/>
                <w:szCs w:val="22"/>
                <w:lang w:val="ro-RO"/>
              </w:rPr>
              <w:t xml:space="preserve">spre </w:t>
            </w:r>
            <w:r w:rsidRPr="001C3B31">
              <w:rPr>
                <w:rFonts w:ascii="Calibri" w:hAnsi="Calibri"/>
                <w:color w:val="000000" w:themeColor="text1"/>
                <w:sz w:val="22"/>
                <w:szCs w:val="22"/>
                <w:lang w:val="ro-RO"/>
              </w:rPr>
              <w:t>exemplu</w:t>
            </w:r>
            <w:r>
              <w:rPr>
                <w:rFonts w:ascii="Calibri" w:hAnsi="Calibri"/>
                <w:color w:val="000000" w:themeColor="text1"/>
                <w:sz w:val="22"/>
                <w:szCs w:val="22"/>
                <w:lang w:val="ro-RO"/>
              </w:rPr>
              <w:t>,</w:t>
            </w:r>
            <w:r w:rsidRPr="001C3B31">
              <w:rPr>
                <w:rFonts w:ascii="Calibri" w:hAnsi="Calibri"/>
                <w:color w:val="000000" w:themeColor="text1"/>
                <w:sz w:val="22"/>
                <w:szCs w:val="22"/>
                <w:lang w:val="ro-RO"/>
              </w:rPr>
              <w:t xml:space="preserve"> programul GEA al ODIMM, alte proiecte care vizează dezvoltarea IMM-urilor), MA</w:t>
            </w:r>
            <w:r>
              <w:rPr>
                <w:rFonts w:ascii="Calibri" w:hAnsi="Calibri"/>
                <w:color w:val="000000" w:themeColor="text1"/>
                <w:sz w:val="22"/>
                <w:szCs w:val="22"/>
                <w:lang w:val="ro-RO"/>
              </w:rPr>
              <w:t>D</w:t>
            </w:r>
            <w:r w:rsidRPr="001C3B31">
              <w:rPr>
                <w:rFonts w:ascii="Calibri" w:hAnsi="Calibri"/>
                <w:color w:val="000000" w:themeColor="text1"/>
                <w:sz w:val="22"/>
                <w:szCs w:val="22"/>
                <w:lang w:val="ro-RO"/>
              </w:rPr>
              <w:t xml:space="preserve">RM poate folosi aceste platforme pentru </w:t>
            </w:r>
            <w:r>
              <w:rPr>
                <w:rFonts w:ascii="Calibri" w:hAnsi="Calibri"/>
                <w:color w:val="000000" w:themeColor="text1"/>
                <w:sz w:val="22"/>
                <w:szCs w:val="22"/>
                <w:lang w:val="ro-RO"/>
              </w:rPr>
              <w:t xml:space="preserve">a </w:t>
            </w:r>
            <w:r w:rsidRPr="001C3B31">
              <w:rPr>
                <w:rFonts w:ascii="Calibri" w:hAnsi="Calibri"/>
                <w:color w:val="000000" w:themeColor="text1"/>
                <w:sz w:val="22"/>
                <w:szCs w:val="22"/>
                <w:lang w:val="ro-RO"/>
              </w:rPr>
              <w:t>ajunge mai eficient la beneficiari și continua eforturile lansate de alte instituții de resort.</w:t>
            </w:r>
            <w:r>
              <w:rPr>
                <w:rFonts w:ascii="Calibri" w:hAnsi="Calibri"/>
                <w:color w:val="000000" w:themeColor="text1"/>
                <w:sz w:val="22"/>
                <w:szCs w:val="22"/>
                <w:lang w:val="ro-RO"/>
              </w:rPr>
              <w:t xml:space="preserve"> </w:t>
            </w:r>
          </w:p>
        </w:tc>
      </w:tr>
    </w:tbl>
    <w:p w:rsidR="004B3372" w:rsidRPr="007F0A8B" w:rsidRDefault="004B3372" w:rsidP="004B3372">
      <w:pPr>
        <w:pStyle w:val="Heading2"/>
        <w:rPr>
          <w:b/>
          <w:color w:val="0070C0"/>
          <w:lang w:val="ro-RO"/>
        </w:rPr>
      </w:pPr>
      <w:bookmarkStart w:id="17" w:name="_Toc6492724"/>
      <w:bookmarkStart w:id="18" w:name="_Toc32964811"/>
      <w:r w:rsidRPr="007F0A8B">
        <w:rPr>
          <w:b/>
          <w:color w:val="0070C0"/>
          <w:lang w:val="ro-RO"/>
        </w:rPr>
        <w:lastRenderedPageBreak/>
        <w:t xml:space="preserve">Eficacitatea </w:t>
      </w:r>
      <w:bookmarkEnd w:id="17"/>
      <w:r w:rsidRPr="007F0A8B">
        <w:rPr>
          <w:b/>
          <w:color w:val="0070C0"/>
          <w:lang w:val="ro-RO"/>
        </w:rPr>
        <w:t>propunerii de Politică Publică</w:t>
      </w:r>
      <w:bookmarkEnd w:id="18"/>
    </w:p>
    <w:p w:rsidR="004B3372" w:rsidRPr="001C3B31" w:rsidRDefault="004B3372" w:rsidP="004B3372">
      <w:pPr>
        <w:tabs>
          <w:tab w:val="left" w:pos="1864"/>
        </w:tabs>
        <w:rPr>
          <w:lang w:val="ro-RO"/>
        </w:rPr>
      </w:pPr>
      <w:r w:rsidRPr="001C3B31">
        <w:rPr>
          <w:lang w:val="ro-RO"/>
        </w:rPr>
        <w:t xml:space="preserve">Dimensiunea de eficacitate în contextul acestei evaluări este adaptată scopului urmărit cât și a demersului ex-ante de analiză și adresează modul în care implementarea intervențiilor propuse poate </w:t>
      </w:r>
      <w:r>
        <w:rPr>
          <w:lang w:val="ro-RO"/>
        </w:rPr>
        <w:t>con</w:t>
      </w:r>
      <w:r w:rsidRPr="001C3B31">
        <w:rPr>
          <w:lang w:val="ro-RO"/>
        </w:rPr>
        <w:t xml:space="preserve">duce la realizarea obiectivelor respectând raportul de cost eficacitate. </w:t>
      </w:r>
    </w:p>
    <w:p w:rsidR="004B3372" w:rsidRPr="001C3B31" w:rsidRDefault="004B3372" w:rsidP="004B3372">
      <w:pPr>
        <w:tabs>
          <w:tab w:val="left" w:pos="1864"/>
        </w:tabs>
        <w:rPr>
          <w:i/>
          <w:color w:val="134753"/>
          <w:lang w:val="ro-RO"/>
        </w:rPr>
      </w:pPr>
      <w:r w:rsidRPr="001C3B31">
        <w:rPr>
          <w:rFonts w:ascii="Calibri" w:hAnsi="Calibri"/>
          <w:i/>
          <w:color w:val="134753"/>
          <w:lang w:val="ro-RO"/>
        </w:rPr>
        <w:t>Sunt măsurile de intervenție cele mai potrivite pentru a soluționa problemele identificate?</w:t>
      </w:r>
    </w:p>
    <w:p w:rsidR="004B3372" w:rsidRPr="001C3B31" w:rsidRDefault="004B3372" w:rsidP="004B3372">
      <w:pPr>
        <w:rPr>
          <w:lang w:val="ro-RO"/>
        </w:rPr>
      </w:pPr>
      <w:r w:rsidRPr="001C3B31">
        <w:rPr>
          <w:lang w:val="ro-RO"/>
        </w:rPr>
        <w:t xml:space="preserve">Eficacitatea Propunerii Politicii Publice este evaluată reieșind din măsura în care intervențiile propuse de acestea sunt potrivite și capabile să soluționeze problemele identificate. Varianta optimă este reprezentată de analiza comparativă a unei intervenții similare ca și parametri (în termeni de grupul țintă, structură, formă organizatorică, parametri și context socio-economic, cadrul </w:t>
      </w:r>
      <w:r>
        <w:rPr>
          <w:lang w:val="ro-RO"/>
        </w:rPr>
        <w:t xml:space="preserve">de </w:t>
      </w:r>
      <w:r w:rsidRPr="001C3B31">
        <w:rPr>
          <w:lang w:val="ro-RO"/>
        </w:rPr>
        <w:t xml:space="preserve">reglementare, etc.) prin prisma impactului atins și a rezultatelor obținute prin alocarea resurselor similare. </w:t>
      </w:r>
    </w:p>
    <w:p w:rsidR="004B3372" w:rsidRPr="001C3B31" w:rsidRDefault="004B3372" w:rsidP="004B3372">
      <w:pPr>
        <w:rPr>
          <w:lang w:val="ro-RO"/>
        </w:rPr>
      </w:pPr>
      <w:r w:rsidRPr="001C3B31">
        <w:rPr>
          <w:lang w:val="ro-RO"/>
        </w:rPr>
        <w:t>La momentul de față în Republica Moldova sunt constituite</w:t>
      </w:r>
      <w:r>
        <w:rPr>
          <w:lang w:val="ro-RO"/>
        </w:rPr>
        <w:t xml:space="preserve"> cca</w:t>
      </w:r>
      <w:r w:rsidRPr="001C3B31">
        <w:rPr>
          <w:lang w:val="ro-RO"/>
        </w:rPr>
        <w:t xml:space="preserve"> 30</w:t>
      </w:r>
      <w:r w:rsidRPr="001C3B31">
        <w:rPr>
          <w:rStyle w:val="FootnoteReference"/>
          <w:lang w:val="ro-RO"/>
        </w:rPr>
        <w:footnoteReference w:id="7"/>
      </w:r>
      <w:r w:rsidRPr="001C3B31">
        <w:rPr>
          <w:lang w:val="ro-RO"/>
        </w:rPr>
        <w:t xml:space="preserve"> Grupuri de Acțiune Locală, </w:t>
      </w:r>
      <w:r w:rsidRPr="001C3B31">
        <w:rPr>
          <w:rFonts w:ascii="Calibri" w:hAnsi="Calibri" w:cs="Calibri"/>
          <w:color w:val="000000" w:themeColor="text1"/>
          <w:lang w:val="ro-RO"/>
        </w:rPr>
        <w:t xml:space="preserve">care se află la diferite etape de implementare din punct de vedere metodologic și al dezvoltării instituționale. GAL-urile din Republica Moldova în cadrul activității sale identifică problemele prioritare la nivel de microregiune și formulează </w:t>
      </w:r>
      <w:r w:rsidRPr="001C3B31">
        <w:rPr>
          <w:lang w:val="ro-RO"/>
        </w:rPr>
        <w:t xml:space="preserve"> Strategii de Dezvoltare Locală, care includ intervenții menite să dezvolte teritoriul GAL și să soluționeze problemele identificate. Finanțarea intervențiilor la etapa actuală este asigurată prin intermediul diferitor programe de finanțare externă. Totodată, în vederea implementării proiectelor, beneficiarii acestora au obligația să contribuie cu o cofinanțare care nu poate fi mai mică de 30</w:t>
      </w:r>
      <w:r>
        <w:rPr>
          <w:lang w:val="ro-RO"/>
        </w:rPr>
        <w:t xml:space="preserve"> </w:t>
      </w:r>
      <w:r w:rsidRPr="001C3B31">
        <w:rPr>
          <w:lang w:val="ro-RO"/>
        </w:rPr>
        <w:t xml:space="preserve">% în cazul proiectelor de dezvoltare socială și culturală și 50 în cazul proiectelor de dezvoltare economică, ai căror beneficiari sunt agenții economici. </w:t>
      </w:r>
    </w:p>
    <w:p w:rsidR="004B3372" w:rsidRPr="001C3B31" w:rsidRDefault="004B3372" w:rsidP="004B3372">
      <w:pPr>
        <w:rPr>
          <w:lang w:val="ro-RO"/>
        </w:rPr>
      </w:pPr>
      <w:r w:rsidRPr="001C3B31">
        <w:rPr>
          <w:lang w:val="ro-RO"/>
        </w:rPr>
        <w:t xml:space="preserve">La baza creării GAL-urilor existente la momentul de față în Republica Moldova a stat abordarea LEADER, care face parte din inițiativele comunitare ale Uniunii Europene, </w:t>
      </w:r>
      <w:r>
        <w:rPr>
          <w:lang w:val="ro-RO"/>
        </w:rPr>
        <w:t>creată în rezultatul reformei f</w:t>
      </w:r>
      <w:r w:rsidRPr="001C3B31">
        <w:rPr>
          <w:lang w:val="ro-RO"/>
        </w:rPr>
        <w:t>ondurilor structurale din 1989. Motorul de funcționare al programului LEADER, respectiv beneficiarul acestuia, este Grupul de Acțiune Locală, care reprezintă parteneriate constituite între diverși reprezentanți ai sectorului socio-economic din teritoriu și care determină direcția de dezvoltare a regiunii.</w:t>
      </w:r>
      <w:r w:rsidRPr="001C3B31">
        <w:rPr>
          <w:rStyle w:val="FootnoteReference"/>
          <w:rFonts w:ascii="Calibri" w:hAnsi="Calibri" w:cs="Calibri"/>
          <w:lang w:val="ro-RO"/>
        </w:rPr>
        <w:footnoteReference w:id="8"/>
      </w:r>
      <w:r w:rsidRPr="001C3B31">
        <w:rPr>
          <w:lang w:val="ro-RO"/>
        </w:rPr>
        <w:t xml:space="preserve"> </w:t>
      </w:r>
    </w:p>
    <w:p w:rsidR="004B3372" w:rsidRPr="001C3B31" w:rsidRDefault="004B3372" w:rsidP="004B3372">
      <w:pPr>
        <w:rPr>
          <w:rFonts w:ascii="Calibri" w:hAnsi="Calibri" w:cs="Calibri"/>
          <w:lang w:val="ro-RO"/>
        </w:rPr>
      </w:pPr>
      <w:r w:rsidRPr="001C3B31">
        <w:rPr>
          <w:rFonts w:ascii="Calibri" w:hAnsi="Calibri" w:cs="Calibri"/>
          <w:lang w:val="ro-RO"/>
        </w:rPr>
        <w:lastRenderedPageBreak/>
        <w:t>Funcționarea GAL-urilor derivă din parteneriatele celor trei sectoare – public, antreprenorial și civic – care își unesc eforturile pentru a soluțion</w:t>
      </w:r>
      <w:r>
        <w:rPr>
          <w:rFonts w:ascii="Calibri" w:hAnsi="Calibri" w:cs="Calibri"/>
          <w:lang w:val="ro-RO"/>
        </w:rPr>
        <w:t>a unele probleme de nivel micro</w:t>
      </w:r>
      <w:r w:rsidRPr="001C3B31">
        <w:rPr>
          <w:rFonts w:ascii="Calibri" w:hAnsi="Calibri" w:cs="Calibri"/>
          <w:lang w:val="ro-RO"/>
        </w:rPr>
        <w:t>regional, în zona de activitate stabilită prin intermediul unui Acord de Parteneriat Teritorial și a unei Strategii de Dezvoltare Locală, în baza principiilor LEADER.</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Abordarea LEADER se implementează în Republica Moldova de la sfârșitul anului 2015 cu sprijin oferit de către parteneri de dezvoltare (Uniunea Europeană, Polonia, USAID, Elveția, Estonia, Marea Britanie, România,  Republica Cehă, și alții) în colaborare cu Ministerul Agriculturii</w:t>
      </w:r>
      <w:r>
        <w:rPr>
          <w:rFonts w:ascii="Calibri" w:hAnsi="Calibri" w:cs="Calibri"/>
          <w:color w:val="000000" w:themeColor="text1"/>
          <w:lang w:val="ro-RO"/>
        </w:rPr>
        <w:t>,</w:t>
      </w:r>
      <w:r w:rsidRPr="001C3B31">
        <w:rPr>
          <w:rFonts w:ascii="Calibri" w:hAnsi="Calibri" w:cs="Calibri"/>
          <w:color w:val="000000" w:themeColor="text1"/>
          <w:lang w:val="ro-RO"/>
        </w:rPr>
        <w:t xml:space="preserve"> Dezvoltării Regionale și Mediului (MADRM).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Începând cu anul 2016</w:t>
      </w:r>
      <w:r>
        <w:rPr>
          <w:rFonts w:ascii="Calibri" w:hAnsi="Calibri" w:cs="Calibri"/>
          <w:color w:val="000000" w:themeColor="text1"/>
          <w:lang w:val="ro-RO"/>
        </w:rPr>
        <w:t>,</w:t>
      </w:r>
      <w:r w:rsidRPr="001C3B31">
        <w:rPr>
          <w:rFonts w:ascii="Calibri" w:hAnsi="Calibri" w:cs="Calibri"/>
          <w:color w:val="000000" w:themeColor="text1"/>
          <w:lang w:val="ro-RO"/>
        </w:rPr>
        <w:t xml:space="preserve"> a fost lansat procesul de creare al Grupurilor de Acțiune Locală. În acest sens a fost lansat Programul UE SARD LEADER, implementat în anii 2016-2018</w:t>
      </w:r>
      <w:r>
        <w:rPr>
          <w:rFonts w:ascii="Calibri" w:hAnsi="Calibri" w:cs="Calibri"/>
          <w:color w:val="000000" w:themeColor="text1"/>
          <w:lang w:val="ro-RO"/>
        </w:rPr>
        <w:t>, care a fost</w:t>
      </w:r>
      <w:r w:rsidRPr="001C3B31">
        <w:rPr>
          <w:rFonts w:ascii="Calibri" w:hAnsi="Calibri" w:cs="Calibri"/>
          <w:color w:val="000000" w:themeColor="text1"/>
          <w:lang w:val="ro-RO"/>
        </w:rPr>
        <w:t xml:space="preserve"> finanțat de Uniunea Europeană</w:t>
      </w:r>
      <w:r w:rsidRPr="001C3B31">
        <w:rPr>
          <w:rStyle w:val="FootnoteReference"/>
          <w:rFonts w:ascii="Calibri" w:hAnsi="Calibri" w:cs="Calibri"/>
          <w:color w:val="000000" w:themeColor="text1"/>
          <w:lang w:val="ro-RO"/>
        </w:rPr>
        <w:footnoteReference w:id="9"/>
      </w:r>
      <w:r w:rsidRPr="001C3B31">
        <w:rPr>
          <w:rFonts w:ascii="Calibri" w:hAnsi="Calibri" w:cs="Calibri"/>
          <w:color w:val="000000" w:themeColor="text1"/>
          <w:lang w:val="ro-RO"/>
        </w:rPr>
        <w:t>. În cadrul Programului UE SARD LEADER a fost elaborat setul de principii care se află la baza GAL-urilor, metodologia de creare a GAL-urilor</w:t>
      </w:r>
      <w:r w:rsidRPr="001C3B31">
        <w:rPr>
          <w:rStyle w:val="FootnoteReference"/>
          <w:rFonts w:ascii="Calibri" w:hAnsi="Calibri" w:cs="Calibri"/>
          <w:color w:val="000000" w:themeColor="text1"/>
          <w:lang w:val="ro-RO"/>
        </w:rPr>
        <w:footnoteReference w:id="10"/>
      </w:r>
      <w:r w:rsidRPr="001C3B31">
        <w:rPr>
          <w:rFonts w:ascii="Calibri" w:hAnsi="Calibri" w:cs="Calibri"/>
          <w:color w:val="000000" w:themeColor="text1"/>
          <w:lang w:val="ro-RO"/>
        </w:rPr>
        <w:t>, dar și Ghidul privind implementarea locală a abordării LEADER</w:t>
      </w:r>
      <w:r w:rsidRPr="001C3B31">
        <w:rPr>
          <w:rStyle w:val="FootnoteReference"/>
          <w:rFonts w:ascii="Calibri" w:hAnsi="Calibri" w:cs="Calibri"/>
          <w:color w:val="000000" w:themeColor="text1"/>
          <w:lang w:val="ro-RO"/>
        </w:rPr>
        <w:footnoteReference w:id="11"/>
      </w:r>
      <w:r w:rsidRPr="001C3B31">
        <w:rPr>
          <w:rFonts w:ascii="Calibri" w:hAnsi="Calibri" w:cs="Calibri"/>
          <w:color w:val="000000" w:themeColor="text1"/>
          <w:lang w:val="ro-RO"/>
        </w:rPr>
        <w:t xml:space="preserve">. Componenta LEADER în cadrul Programului UE SARD a fost implementată în calitate de prestator de servicii de către organizația </w:t>
      </w:r>
      <w:r w:rsidRPr="009926B3">
        <w:rPr>
          <w:rFonts w:ascii="Calibri" w:hAnsi="Calibri" w:cs="Calibri"/>
          <w:b/>
          <w:color w:val="000000" w:themeColor="text1"/>
          <w:u w:val="single"/>
          <w:lang w:val="ro-RO"/>
        </w:rPr>
        <w:t>Solidarity Fund PL în RM</w:t>
      </w:r>
      <w:r w:rsidRPr="001C3B31">
        <w:rPr>
          <w:rFonts w:ascii="Calibri" w:hAnsi="Calibri" w:cs="Calibri"/>
          <w:color w:val="000000" w:themeColor="text1"/>
          <w:lang w:val="ro-RO"/>
        </w:rPr>
        <w:t>, care în anii 2018-2019 a asigurat multiplicarea metodologiei de implementare și creare</w:t>
      </w:r>
      <w:r>
        <w:rPr>
          <w:rFonts w:ascii="Calibri" w:hAnsi="Calibri" w:cs="Calibri"/>
          <w:color w:val="000000" w:themeColor="text1"/>
          <w:lang w:val="ro-RO"/>
        </w:rPr>
        <w:t xml:space="preserve"> a altor GAL-uri. Ulterior, </w:t>
      </w:r>
      <w:r w:rsidRPr="001C3B31">
        <w:rPr>
          <w:rFonts w:ascii="Calibri" w:hAnsi="Calibri" w:cs="Calibri"/>
          <w:color w:val="000000" w:themeColor="text1"/>
          <w:lang w:val="ro-RO"/>
        </w:rPr>
        <w:t xml:space="preserve"> </w:t>
      </w:r>
      <w:r w:rsidRPr="009926B3">
        <w:rPr>
          <w:rFonts w:ascii="Calibri" w:hAnsi="Calibri" w:cs="Calibri"/>
          <w:color w:val="000000" w:themeColor="text1"/>
          <w:lang w:val="ro-RO"/>
        </w:rPr>
        <w:t xml:space="preserve">Solidarity Fund PL în RM </w:t>
      </w:r>
      <w:r w:rsidRPr="001C3B31">
        <w:rPr>
          <w:rFonts w:ascii="Calibri" w:hAnsi="Calibri" w:cs="Calibri"/>
          <w:color w:val="000000" w:themeColor="text1"/>
          <w:lang w:val="ro-RO"/>
        </w:rPr>
        <w:t xml:space="preserve">a transmis metodologia de implementare Rețelei Naționale LEADER din Republica Moldova, care a fost creată la începutul anului 2019. În componența Rețelei Naționale LEADER intră atât GAL-urile, cât și 4 organizații ce au sprijinit crearea acestora. Majoritatea GAL-urilor care </w:t>
      </w:r>
      <w:r>
        <w:rPr>
          <w:rFonts w:ascii="Calibri" w:hAnsi="Calibri" w:cs="Calibri"/>
          <w:color w:val="000000" w:themeColor="text1"/>
          <w:lang w:val="ro-RO"/>
        </w:rPr>
        <w:t>funcționează</w:t>
      </w:r>
      <w:r w:rsidRPr="001C3B31">
        <w:rPr>
          <w:rFonts w:ascii="Calibri" w:hAnsi="Calibri" w:cs="Calibri"/>
          <w:color w:val="000000" w:themeColor="text1"/>
          <w:lang w:val="ro-RO"/>
        </w:rPr>
        <w:t xml:space="preserve"> la moment în Republica Moldova activează în baza metodologiei </w:t>
      </w:r>
      <w:r>
        <w:rPr>
          <w:rFonts w:ascii="Calibri" w:hAnsi="Calibri" w:cs="Calibri"/>
          <w:color w:val="000000" w:themeColor="text1"/>
          <w:lang w:val="ro-RO"/>
        </w:rPr>
        <w:t>menționate</w:t>
      </w:r>
      <w:r w:rsidRPr="001C3B31">
        <w:rPr>
          <w:rFonts w:ascii="Calibri" w:hAnsi="Calibri" w:cs="Calibri"/>
          <w:color w:val="000000" w:themeColor="text1"/>
          <w:lang w:val="ro-RO"/>
        </w:rPr>
        <w:t xml:space="preserve">, care sunt cu regularitate supuse procesului de modificare și ajustare, fiind în acest sens consultate </w:t>
      </w:r>
      <w:r>
        <w:rPr>
          <w:rFonts w:ascii="Calibri" w:hAnsi="Calibri" w:cs="Calibri"/>
          <w:color w:val="000000" w:themeColor="text1"/>
          <w:lang w:val="ro-RO"/>
        </w:rPr>
        <w:t xml:space="preserve">de </w:t>
      </w:r>
      <w:r w:rsidRPr="001C3B31">
        <w:rPr>
          <w:rFonts w:ascii="Calibri" w:hAnsi="Calibri" w:cs="Calibri"/>
          <w:color w:val="000000" w:themeColor="text1"/>
          <w:lang w:val="ro-RO"/>
        </w:rPr>
        <w:t xml:space="preserve">MADRM și AIPA.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Proiectele susținute de GAL-uri sunt proiecte implementate de reprezentanții a trei sectoare – public, antreprenorial și civic. Un accent deosebit este pus pe dezvoltarea economică a teritoriului GAL (de regulă 50</w:t>
      </w:r>
      <w:r>
        <w:rPr>
          <w:rFonts w:ascii="Calibri" w:hAnsi="Calibri" w:cs="Calibri"/>
          <w:color w:val="000000" w:themeColor="text1"/>
          <w:lang w:val="ro-RO"/>
        </w:rPr>
        <w:t xml:space="preserve"> </w:t>
      </w:r>
      <w:r w:rsidRPr="001C3B31">
        <w:rPr>
          <w:rFonts w:ascii="Calibri" w:hAnsi="Calibri" w:cs="Calibri"/>
          <w:color w:val="000000" w:themeColor="text1"/>
          <w:lang w:val="ro-RO"/>
        </w:rPr>
        <w:t xml:space="preserve">% din finanțările oferite sunt pentru dezvoltarea economică). În acest proces sunt implicate peste 300 de localități și aproximativ 1000 de lideri locali, inclusiv și APL-urile. </w:t>
      </w:r>
    </w:p>
    <w:p w:rsidR="004B3372" w:rsidRPr="001C3B31" w:rsidRDefault="004B3372" w:rsidP="004B3372">
      <w:pPr>
        <w:rPr>
          <w:rFonts w:ascii="Calibri" w:hAnsi="Calibri" w:cs="Calibri"/>
          <w:b/>
          <w:bCs/>
          <w:color w:val="000000" w:themeColor="text1"/>
          <w:lang w:val="ro-RO"/>
        </w:rPr>
      </w:pPr>
      <w:r w:rsidRPr="001C3B31">
        <w:rPr>
          <w:rFonts w:ascii="Calibri" w:hAnsi="Calibri" w:cs="Calibri"/>
          <w:color w:val="000000" w:themeColor="text1"/>
          <w:lang w:val="ro-RO"/>
        </w:rPr>
        <w:t xml:space="preserve">În scopul unei înțelegeri </w:t>
      </w:r>
      <w:r w:rsidRPr="009926B3">
        <w:rPr>
          <w:rFonts w:ascii="Calibri" w:hAnsi="Calibri" w:cs="Calibri"/>
          <w:color w:val="000000" w:themeColor="text1"/>
          <w:lang w:val="ro-RO"/>
        </w:rPr>
        <w:t xml:space="preserve">mai bune </w:t>
      </w:r>
      <w:r w:rsidRPr="001C3B31">
        <w:rPr>
          <w:rFonts w:ascii="Calibri" w:hAnsi="Calibri" w:cs="Calibri"/>
          <w:color w:val="000000" w:themeColor="text1"/>
          <w:lang w:val="ro-RO"/>
        </w:rPr>
        <w:t>a motivelor</w:t>
      </w:r>
      <w:r>
        <w:rPr>
          <w:rFonts w:ascii="Calibri" w:hAnsi="Calibri" w:cs="Calibri"/>
          <w:color w:val="000000" w:themeColor="text1"/>
          <w:lang w:val="ro-RO"/>
        </w:rPr>
        <w:t>,</w:t>
      </w:r>
      <w:r w:rsidRPr="001C3B31">
        <w:rPr>
          <w:rFonts w:ascii="Calibri" w:hAnsi="Calibri" w:cs="Calibri"/>
          <w:color w:val="000000" w:themeColor="text1"/>
          <w:lang w:val="ro-RO"/>
        </w:rPr>
        <w:t xml:space="preserve"> care au stat la baza deciziei de a participa la constituirea și la dezvoltarea GAL-ului, a fost explorată percepția și opiniile persoanelor ca</w:t>
      </w:r>
      <w:r>
        <w:rPr>
          <w:rFonts w:ascii="Calibri" w:hAnsi="Calibri" w:cs="Calibri"/>
          <w:color w:val="000000" w:themeColor="text1"/>
          <w:lang w:val="ro-RO"/>
        </w:rPr>
        <w:t>re au participat la constituire</w:t>
      </w:r>
      <w:r w:rsidRPr="001C3B31">
        <w:rPr>
          <w:rFonts w:ascii="Calibri" w:hAnsi="Calibri" w:cs="Calibri"/>
          <w:color w:val="000000" w:themeColor="text1"/>
          <w:lang w:val="ro-RO"/>
        </w:rPr>
        <w:t xml:space="preserve"> și continue să fie implicate în activitatea GAL-ului. Analiza chestionarelor com</w:t>
      </w:r>
      <w:r>
        <w:rPr>
          <w:rFonts w:ascii="Calibri" w:hAnsi="Calibri" w:cs="Calibri"/>
          <w:color w:val="000000" w:themeColor="text1"/>
          <w:lang w:val="ro-RO"/>
        </w:rPr>
        <w:t>pletate de reprezentanții a cca</w:t>
      </w:r>
      <w:r w:rsidRPr="001C3B31">
        <w:rPr>
          <w:rFonts w:ascii="Calibri" w:hAnsi="Calibri" w:cs="Calibri"/>
          <w:color w:val="000000" w:themeColor="text1"/>
          <w:lang w:val="ro-RO"/>
        </w:rPr>
        <w:t xml:space="preserve"> 70</w:t>
      </w:r>
      <w:r>
        <w:rPr>
          <w:rFonts w:ascii="Calibri" w:hAnsi="Calibri" w:cs="Calibri"/>
          <w:color w:val="000000" w:themeColor="text1"/>
          <w:lang w:val="ro-RO"/>
        </w:rPr>
        <w:t xml:space="preserve"> </w:t>
      </w:r>
      <w:r w:rsidRPr="001C3B31">
        <w:rPr>
          <w:rFonts w:ascii="Calibri" w:hAnsi="Calibri" w:cs="Calibri"/>
          <w:color w:val="000000" w:themeColor="text1"/>
          <w:lang w:val="ro-RO"/>
        </w:rPr>
        <w:t xml:space="preserve">% din membri GAL-urilor </w:t>
      </w:r>
      <w:r>
        <w:rPr>
          <w:rFonts w:ascii="Calibri" w:hAnsi="Calibri" w:cs="Calibri"/>
          <w:color w:val="000000" w:themeColor="text1"/>
          <w:lang w:val="ro-RO"/>
        </w:rPr>
        <w:t>demonstrează</w:t>
      </w:r>
      <w:r w:rsidRPr="001C3B31">
        <w:rPr>
          <w:rFonts w:ascii="Calibri" w:hAnsi="Calibri" w:cs="Calibri"/>
          <w:color w:val="000000" w:themeColor="text1"/>
          <w:lang w:val="ro-RO"/>
        </w:rPr>
        <w:t xml:space="preserve"> că motivarea principală de a deveni membru al unui GAL</w:t>
      </w:r>
      <w:r>
        <w:rPr>
          <w:rFonts w:ascii="Calibri" w:hAnsi="Calibri" w:cs="Calibri"/>
          <w:color w:val="000000" w:themeColor="text1"/>
          <w:lang w:val="ro-RO"/>
        </w:rPr>
        <w:t xml:space="preserve"> </w:t>
      </w:r>
      <w:r w:rsidRPr="001C3B31">
        <w:rPr>
          <w:rFonts w:ascii="Calibri" w:hAnsi="Calibri" w:cs="Calibri"/>
          <w:color w:val="000000" w:themeColor="text1"/>
          <w:lang w:val="ro-RO"/>
        </w:rPr>
        <w:t xml:space="preserve"> l-a reprezentat dorința de a contribui la </w:t>
      </w:r>
      <w:r w:rsidRPr="001C3B31">
        <w:rPr>
          <w:rFonts w:ascii="Calibri" w:hAnsi="Calibri" w:cs="Calibri"/>
          <w:b/>
          <w:bCs/>
          <w:color w:val="000000" w:themeColor="text1"/>
          <w:lang w:val="ro-RO"/>
        </w:rPr>
        <w:t xml:space="preserve">dezvoltarea localității </w:t>
      </w:r>
      <w:r w:rsidRPr="001C3B31">
        <w:rPr>
          <w:rFonts w:ascii="Calibri" w:hAnsi="Calibri" w:cs="Calibri"/>
          <w:color w:val="000000" w:themeColor="text1"/>
          <w:lang w:val="ro-RO"/>
        </w:rPr>
        <w:t xml:space="preserve">și </w:t>
      </w:r>
      <w:r w:rsidRPr="001C3B31">
        <w:rPr>
          <w:rFonts w:ascii="Calibri" w:hAnsi="Calibri" w:cs="Calibri"/>
          <w:b/>
          <w:bCs/>
          <w:color w:val="000000" w:themeColor="text1"/>
          <w:lang w:val="ro-RO"/>
        </w:rPr>
        <w:t xml:space="preserve">a zonei rurale în general. </w:t>
      </w:r>
      <w:r w:rsidRPr="001C3B31">
        <w:rPr>
          <w:rFonts w:ascii="Calibri" w:hAnsi="Calibri" w:cs="Calibri"/>
          <w:color w:val="000000" w:themeColor="text1"/>
          <w:lang w:val="ro-RO"/>
        </w:rPr>
        <w:t xml:space="preserve">Un alt element motivațional important l-a reprezentat dorința de </w:t>
      </w:r>
      <w:r w:rsidRPr="001C3B31">
        <w:rPr>
          <w:rFonts w:ascii="Calibri" w:hAnsi="Calibri" w:cs="Calibri"/>
          <w:b/>
          <w:bCs/>
          <w:color w:val="000000" w:themeColor="text1"/>
          <w:lang w:val="ro-RO"/>
        </w:rPr>
        <w:t xml:space="preserve">a atrage investiții </w:t>
      </w:r>
      <w:r w:rsidRPr="001C3B31">
        <w:rPr>
          <w:rFonts w:ascii="Calibri" w:hAnsi="Calibri" w:cs="Calibri"/>
          <w:color w:val="000000" w:themeColor="text1"/>
          <w:lang w:val="ro-RO"/>
        </w:rPr>
        <w:t xml:space="preserve">și </w:t>
      </w:r>
      <w:r w:rsidRPr="001C3B31">
        <w:rPr>
          <w:rFonts w:ascii="Calibri" w:hAnsi="Calibri" w:cs="Calibri"/>
          <w:b/>
          <w:bCs/>
          <w:color w:val="000000" w:themeColor="text1"/>
          <w:lang w:val="ro-RO"/>
        </w:rPr>
        <w:t xml:space="preserve">dezvoltarea proiectelor investiționale în localitate – </w:t>
      </w:r>
      <w:r>
        <w:rPr>
          <w:rFonts w:ascii="Calibri" w:hAnsi="Calibri" w:cs="Calibri"/>
          <w:color w:val="000000" w:themeColor="text1"/>
          <w:lang w:val="ro-RO"/>
        </w:rPr>
        <w:t>cca</w:t>
      </w:r>
      <w:r w:rsidRPr="001C3B31">
        <w:rPr>
          <w:rFonts w:ascii="Calibri" w:hAnsi="Calibri" w:cs="Calibri"/>
          <w:color w:val="000000" w:themeColor="text1"/>
          <w:lang w:val="ro-RO"/>
        </w:rPr>
        <w:t xml:space="preserve"> 40</w:t>
      </w:r>
      <w:r>
        <w:rPr>
          <w:rFonts w:ascii="Calibri" w:hAnsi="Calibri" w:cs="Calibri"/>
          <w:color w:val="000000" w:themeColor="text1"/>
          <w:lang w:val="ro-RO"/>
        </w:rPr>
        <w:t xml:space="preserve"> </w:t>
      </w:r>
      <w:r w:rsidRPr="001C3B31">
        <w:rPr>
          <w:rFonts w:ascii="Calibri" w:hAnsi="Calibri" w:cs="Calibri"/>
          <w:color w:val="000000" w:themeColor="text1"/>
          <w:lang w:val="ro-RO"/>
        </w:rPr>
        <w:t>% dintre repr</w:t>
      </w:r>
      <w:r>
        <w:rPr>
          <w:rFonts w:ascii="Calibri" w:hAnsi="Calibri" w:cs="Calibri"/>
          <w:color w:val="000000" w:themeColor="text1"/>
          <w:lang w:val="ro-RO"/>
        </w:rPr>
        <w:t>ezentanții GAL-urilor menționează</w:t>
      </w:r>
      <w:r w:rsidRPr="001C3B31">
        <w:rPr>
          <w:rFonts w:ascii="Calibri" w:hAnsi="Calibri" w:cs="Calibri"/>
          <w:color w:val="000000" w:themeColor="text1"/>
          <w:lang w:val="ro-RO"/>
        </w:rPr>
        <w:t xml:space="preserve"> acest lucru. În aceste condiții s-a constatat</w:t>
      </w:r>
      <w:r>
        <w:rPr>
          <w:rFonts w:ascii="Calibri" w:hAnsi="Calibri" w:cs="Calibri"/>
          <w:color w:val="000000" w:themeColor="text1"/>
          <w:lang w:val="ro-RO"/>
        </w:rPr>
        <w:t>,</w:t>
      </w:r>
      <w:r w:rsidRPr="001C3B31">
        <w:rPr>
          <w:rFonts w:ascii="Calibri" w:hAnsi="Calibri" w:cs="Calibri"/>
          <w:color w:val="000000" w:themeColor="text1"/>
          <w:lang w:val="ro-RO"/>
        </w:rPr>
        <w:t xml:space="preserve"> că membrii GAL-urilor, cei care aplică în practică principiile programului LEADER</w:t>
      </w:r>
      <w:r>
        <w:rPr>
          <w:rFonts w:ascii="Calibri" w:hAnsi="Calibri" w:cs="Calibri"/>
          <w:color w:val="000000" w:themeColor="text1"/>
          <w:lang w:val="ro-RO"/>
        </w:rPr>
        <w:t>,</w:t>
      </w:r>
      <w:r w:rsidRPr="001C3B31">
        <w:rPr>
          <w:rFonts w:ascii="Calibri" w:hAnsi="Calibri" w:cs="Calibri"/>
          <w:color w:val="000000" w:themeColor="text1"/>
          <w:lang w:val="ro-RO"/>
        </w:rPr>
        <w:t xml:space="preserve"> înțeleg foarte bine abordarea generală a programului și modalitatea în care acesta funcționează. </w:t>
      </w:r>
    </w:p>
    <w:p w:rsidR="004B3372" w:rsidRPr="001C3B31" w:rsidRDefault="004B3372" w:rsidP="004B3372">
      <w:pPr>
        <w:rPr>
          <w:rFonts w:ascii="Calibri" w:hAnsi="Calibri" w:cs="Calibri"/>
          <w:lang w:val="ro-RO"/>
        </w:rPr>
      </w:pPr>
      <w:r w:rsidRPr="001C3B31">
        <w:rPr>
          <w:rFonts w:ascii="Calibri" w:hAnsi="Calibri" w:cs="Calibri"/>
          <w:lang w:val="ro-RO"/>
        </w:rPr>
        <w:t xml:space="preserve">Metodologia actuală aplicată în implementarea abordării LEADER și crearea Grupurilor de Acțiune Locală cuprinde trei etape și anume:  </w:t>
      </w:r>
    </w:p>
    <w:p w:rsidR="004B3372" w:rsidRPr="001C3B31" w:rsidRDefault="004B3372" w:rsidP="004B3372">
      <w:pPr>
        <w:pStyle w:val="ListParagraph"/>
        <w:numPr>
          <w:ilvl w:val="0"/>
          <w:numId w:val="21"/>
        </w:numPr>
        <w:spacing w:after="0"/>
        <w:contextualSpacing/>
        <w:rPr>
          <w:rFonts w:ascii="Calibri" w:hAnsi="Calibri" w:cs="Calibri"/>
          <w:color w:val="000000" w:themeColor="text1"/>
          <w:lang w:val="ro-RO"/>
        </w:rPr>
      </w:pPr>
      <w:r w:rsidRPr="001C3B31">
        <w:rPr>
          <w:rFonts w:ascii="Calibri" w:hAnsi="Calibri" w:cs="Calibri"/>
          <w:b/>
          <w:iCs/>
          <w:color w:val="000000" w:themeColor="text1"/>
          <w:lang w:val="ro-RO"/>
        </w:rPr>
        <w:t>Etapa I: Facilitarea procesului de creare a GAL-ului</w:t>
      </w:r>
      <w:r w:rsidRPr="001C3B31">
        <w:rPr>
          <w:rFonts w:ascii="Calibri" w:hAnsi="Calibri" w:cs="Calibri"/>
          <w:color w:val="000000" w:themeColor="text1"/>
          <w:lang w:val="ro-RO"/>
        </w:rPr>
        <w:t>. Această etapă durează 10-12 luni și presupune crearea parteneriatului local intersectorial (public, antreprenorial și civic ). În această perioadă are loc elaborarea participativă a Pl</w:t>
      </w:r>
      <w:r>
        <w:rPr>
          <w:rFonts w:ascii="Calibri" w:hAnsi="Calibri" w:cs="Calibri"/>
          <w:color w:val="000000" w:themeColor="text1"/>
          <w:lang w:val="ro-RO"/>
        </w:rPr>
        <w:t>anului Strategic, axat pe micro</w:t>
      </w:r>
      <w:r w:rsidRPr="001C3B31">
        <w:rPr>
          <w:rFonts w:ascii="Calibri" w:hAnsi="Calibri" w:cs="Calibri"/>
          <w:color w:val="000000" w:themeColor="text1"/>
          <w:lang w:val="ro-RO"/>
        </w:rPr>
        <w:t>regiunea acoperită de inițiativa LEADER;</w:t>
      </w:r>
    </w:p>
    <w:p w:rsidR="004B3372" w:rsidRPr="001C3B31" w:rsidRDefault="004B3372" w:rsidP="004B3372">
      <w:pPr>
        <w:pStyle w:val="ListParagraph"/>
        <w:numPr>
          <w:ilvl w:val="0"/>
          <w:numId w:val="21"/>
        </w:numPr>
        <w:spacing w:after="0"/>
        <w:contextualSpacing/>
        <w:rPr>
          <w:rFonts w:ascii="Calibri" w:hAnsi="Calibri" w:cs="Calibri"/>
          <w:color w:val="000000" w:themeColor="text1"/>
          <w:lang w:val="ro-RO"/>
        </w:rPr>
      </w:pPr>
      <w:r w:rsidRPr="001C3B31">
        <w:rPr>
          <w:rFonts w:ascii="Calibri" w:hAnsi="Calibri" w:cs="Calibri"/>
          <w:b/>
          <w:iCs/>
          <w:color w:val="000000" w:themeColor="text1"/>
          <w:lang w:val="ro-RO"/>
        </w:rPr>
        <w:t>Etapa II:</w:t>
      </w:r>
      <w:r w:rsidRPr="001C3B31">
        <w:rPr>
          <w:rFonts w:ascii="Calibri" w:hAnsi="Calibri" w:cs="Calibri"/>
          <w:b/>
          <w:i/>
          <w:color w:val="000000" w:themeColor="text1"/>
          <w:lang w:val="ro-RO"/>
        </w:rPr>
        <w:t xml:space="preserve"> </w:t>
      </w:r>
      <w:r w:rsidRPr="001C3B31">
        <w:rPr>
          <w:rFonts w:ascii="Calibri" w:hAnsi="Calibri" w:cs="Calibri"/>
          <w:b/>
          <w:iCs/>
          <w:color w:val="000000" w:themeColor="text1"/>
          <w:lang w:val="ro-RO"/>
        </w:rPr>
        <w:t>Funcționalitatea GAL.</w:t>
      </w:r>
      <w:r w:rsidRPr="001C3B31">
        <w:rPr>
          <w:rFonts w:ascii="Calibri" w:hAnsi="Calibri" w:cs="Calibri"/>
          <w:color w:val="000000" w:themeColor="text1"/>
          <w:lang w:val="ro-RO"/>
        </w:rPr>
        <w:t xml:space="preserve"> Această etapă durează 10-12 luni și presupune testarea și consolidarea capacităților GAL-ului în baza experiențelor practice și anume lansarea „Concursului GAL”: se</w:t>
      </w:r>
      <w:r>
        <w:rPr>
          <w:rFonts w:ascii="Calibri" w:hAnsi="Calibri" w:cs="Calibri"/>
          <w:color w:val="000000" w:themeColor="text1"/>
          <w:lang w:val="ro-RO"/>
        </w:rPr>
        <w:t>lectarea și implementarea micro</w:t>
      </w:r>
      <w:r w:rsidRPr="001C3B31">
        <w:rPr>
          <w:rFonts w:ascii="Calibri" w:hAnsi="Calibri" w:cs="Calibri"/>
          <w:color w:val="000000" w:themeColor="text1"/>
          <w:lang w:val="ro-RO"/>
        </w:rPr>
        <w:t xml:space="preserve">proiectelor rezidenților teritoriului GAL-ului, aliniate la obiectivele Strategiei de Dezvoltare; </w:t>
      </w:r>
    </w:p>
    <w:p w:rsidR="004B3372" w:rsidRPr="001C3B31" w:rsidRDefault="004B3372" w:rsidP="004B3372">
      <w:pPr>
        <w:pStyle w:val="ListParagraph"/>
        <w:numPr>
          <w:ilvl w:val="0"/>
          <w:numId w:val="21"/>
        </w:numPr>
        <w:ind w:left="714" w:hanging="357"/>
        <w:rPr>
          <w:rFonts w:ascii="Calibri" w:hAnsi="Calibri" w:cs="Calibri"/>
          <w:color w:val="000000" w:themeColor="text1"/>
          <w:lang w:val="ro-RO"/>
        </w:rPr>
      </w:pPr>
      <w:r w:rsidRPr="001C3B31">
        <w:rPr>
          <w:rFonts w:ascii="Calibri" w:hAnsi="Calibri" w:cs="Calibri"/>
          <w:b/>
          <w:iCs/>
          <w:color w:val="000000" w:themeColor="text1"/>
          <w:lang w:val="ro-RO"/>
        </w:rPr>
        <w:t>Etapa III:</w:t>
      </w:r>
      <w:r w:rsidRPr="001C3B31">
        <w:rPr>
          <w:rFonts w:ascii="Calibri" w:hAnsi="Calibri" w:cs="Calibri"/>
          <w:color w:val="000000" w:themeColor="text1"/>
          <w:lang w:val="ro-RO"/>
        </w:rPr>
        <w:t xml:space="preserve"> </w:t>
      </w:r>
      <w:r w:rsidRPr="001C3B31">
        <w:rPr>
          <w:rFonts w:ascii="Calibri" w:hAnsi="Calibri" w:cs="Calibri"/>
          <w:b/>
          <w:iCs/>
          <w:color w:val="000000" w:themeColor="text1"/>
          <w:lang w:val="ro-RO"/>
        </w:rPr>
        <w:t>Consolidarea capacităților.</w:t>
      </w:r>
      <w:r w:rsidRPr="001C3B31">
        <w:rPr>
          <w:rFonts w:ascii="Calibri" w:hAnsi="Calibri" w:cs="Calibri"/>
          <w:iCs/>
          <w:color w:val="000000" w:themeColor="text1"/>
          <w:lang w:val="ro-RO"/>
        </w:rPr>
        <w:t xml:space="preserve"> Această etapă poate dura 3-5 ani și reprezintă consolidarea funcționalității GAL-ului din perspectivă instituțională și de implementare a activităților</w:t>
      </w:r>
      <w:r>
        <w:rPr>
          <w:rFonts w:ascii="Calibri" w:hAnsi="Calibri" w:cs="Calibri"/>
          <w:iCs/>
          <w:color w:val="000000" w:themeColor="text1"/>
          <w:lang w:val="ro-RO"/>
        </w:rPr>
        <w:t>,</w:t>
      </w:r>
      <w:r w:rsidRPr="001C3B31">
        <w:rPr>
          <w:rFonts w:ascii="Calibri" w:hAnsi="Calibri" w:cs="Calibri"/>
          <w:iCs/>
          <w:color w:val="000000" w:themeColor="text1"/>
          <w:lang w:val="ro-RO"/>
        </w:rPr>
        <w:t xml:space="preserve"> conform Strategiei de Dezvoltare.</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lastRenderedPageBreak/>
        <w:t xml:space="preserve">Din cele 32 de GAL-uri existente în Republica Moldova, </w:t>
      </w:r>
      <w:r>
        <w:rPr>
          <w:rFonts w:ascii="Calibri" w:hAnsi="Calibri" w:cs="Calibri"/>
          <w:color w:val="000000" w:themeColor="text1"/>
          <w:lang w:val="ro-RO"/>
        </w:rPr>
        <w:t>peste 10</w:t>
      </w:r>
      <w:r w:rsidRPr="001C3B31">
        <w:rPr>
          <w:rFonts w:ascii="Calibri" w:hAnsi="Calibri" w:cs="Calibri"/>
          <w:color w:val="000000" w:themeColor="text1"/>
          <w:lang w:val="ro-RO"/>
        </w:rPr>
        <w:t xml:space="preserve"> se află</w:t>
      </w:r>
      <w:r>
        <w:rPr>
          <w:rFonts w:ascii="Calibri" w:hAnsi="Calibri" w:cs="Calibri"/>
          <w:color w:val="000000" w:themeColor="text1"/>
          <w:lang w:val="ro-RO"/>
        </w:rPr>
        <w:t xml:space="preserve"> deja</w:t>
      </w:r>
      <w:r w:rsidRPr="001C3B31">
        <w:rPr>
          <w:rFonts w:ascii="Calibri" w:hAnsi="Calibri" w:cs="Calibri"/>
          <w:color w:val="000000" w:themeColor="text1"/>
          <w:lang w:val="ro-RO"/>
        </w:rPr>
        <w:t xml:space="preserve"> în etapa a III-a, reprezentând structuri consolidate, cu proiecte implementate și o structură administrativă destul de închegată. Restul, se află la etapa a II, fiind pe deplin funcționale și în proces de implementare a proiectelor de dezvoltare. </w:t>
      </w:r>
    </w:p>
    <w:p w:rsidR="004B3372" w:rsidRPr="001C3B31" w:rsidRDefault="004B3372" w:rsidP="004B3372">
      <w:pPr>
        <w:rPr>
          <w:lang w:val="ro-RO"/>
        </w:rPr>
      </w:pPr>
      <w:r w:rsidRPr="001C3B31">
        <w:rPr>
          <w:lang w:val="ro-RO"/>
        </w:rPr>
        <w:t>Re</w:t>
      </w:r>
      <w:r>
        <w:rPr>
          <w:lang w:val="ro-RO"/>
        </w:rPr>
        <w:t>ieșind din cele menționate</w:t>
      </w:r>
      <w:r w:rsidRPr="001C3B31">
        <w:rPr>
          <w:lang w:val="ro-RO"/>
        </w:rPr>
        <w:t xml:space="preserve">, analiza activității Grupurilor de Acțiune Locală și în special analiza activității, rezultatelor și impactului intervențiilor a proiectelor implementate de către acestea reprezintă un instrument obiectiv  de evaluare a eficacității măsurii de intervenție propuse de Propunerea de Politică Publică evaluată. </w:t>
      </w:r>
    </w:p>
    <w:p w:rsidR="004B3372" w:rsidRPr="001C3B31" w:rsidRDefault="004B3372" w:rsidP="004B3372">
      <w:pPr>
        <w:rPr>
          <w:lang w:val="ro-RO"/>
        </w:rPr>
      </w:pPr>
      <w:r w:rsidRPr="001C3B31">
        <w:rPr>
          <w:lang w:val="ro-RO"/>
        </w:rPr>
        <w:t>Începând cu apariția primelor GAL-uri în 2016, acestea au beneficiat de suport financiar din mai multe surse, printre finanțatori numărându-se Uniunea Europeană</w:t>
      </w:r>
      <w:r>
        <w:rPr>
          <w:lang w:val="ro-RO"/>
        </w:rPr>
        <w:t>,</w:t>
      </w:r>
      <w:r w:rsidRPr="001C3B31">
        <w:rPr>
          <w:lang w:val="ro-RO"/>
        </w:rPr>
        <w:t xml:space="preserve"> prin intermediul programului SARD, Polish Aid și USAID</w:t>
      </w:r>
      <w:r>
        <w:rPr>
          <w:lang w:val="ro-RO"/>
        </w:rPr>
        <w:t>,</w:t>
      </w:r>
      <w:r w:rsidRPr="001C3B31">
        <w:rPr>
          <w:lang w:val="ro-RO"/>
        </w:rPr>
        <w:t xml:space="preserve"> prin intermediul Solidarity Fund PL în Moldova. </w:t>
      </w:r>
    </w:p>
    <w:p w:rsidR="004B3372" w:rsidRPr="001C3B31" w:rsidRDefault="004B3372" w:rsidP="004B3372">
      <w:pPr>
        <w:rPr>
          <w:lang w:val="ro-RO"/>
        </w:rPr>
      </w:pPr>
      <w:r w:rsidRPr="001C3B31">
        <w:rPr>
          <w:lang w:val="ro-RO"/>
        </w:rPr>
        <w:t>Unul dintre cel mai importanți parteneri ai GAL-urilor din Moldova este Solidarity Fund PL în RM</w:t>
      </w:r>
      <w:r>
        <w:rPr>
          <w:lang w:val="ro-RO"/>
        </w:rPr>
        <w:t>,</w:t>
      </w:r>
      <w:r w:rsidRPr="001C3B31">
        <w:rPr>
          <w:lang w:val="ro-RO"/>
        </w:rPr>
        <w:t xml:space="preserve"> care începând cu anul 2017 implementează anual Programul Fondul de Granturi Mici, ediția Rurală, dedicat finanțării GAL-urilor.</w:t>
      </w:r>
    </w:p>
    <w:p w:rsidR="004B3372" w:rsidRPr="001C3B31" w:rsidRDefault="004B3372" w:rsidP="004B3372">
      <w:pPr>
        <w:rPr>
          <w:lang w:val="ro-RO"/>
        </w:rPr>
      </w:pPr>
      <w:r w:rsidRPr="001C3B31">
        <w:rPr>
          <w:lang w:val="ro-RO"/>
        </w:rPr>
        <w:t>Pornind de la faptul că în cazul Programelor FGM</w:t>
      </w:r>
      <w:r w:rsidRPr="001C3B31">
        <w:rPr>
          <w:rStyle w:val="FootnoteReference"/>
          <w:lang w:val="ro-RO"/>
        </w:rPr>
        <w:footnoteReference w:id="12"/>
      </w:r>
      <w:r w:rsidRPr="001C3B31">
        <w:rPr>
          <w:lang w:val="ro-RO"/>
        </w:rPr>
        <w:t>, implementate  de către Solidarity Fund PL în RM, finanțate din sursele Polish Aid au fost finanțate un număr mare de comunități și</w:t>
      </w:r>
      <w:r>
        <w:rPr>
          <w:lang w:val="ro-RO"/>
        </w:rPr>
        <w:t>,</w:t>
      </w:r>
      <w:r w:rsidRPr="001C3B31">
        <w:rPr>
          <w:lang w:val="ro-RO"/>
        </w:rPr>
        <w:t xml:space="preserve"> respectiv</w:t>
      </w:r>
      <w:r>
        <w:rPr>
          <w:lang w:val="ro-RO"/>
        </w:rPr>
        <w:t>,</w:t>
      </w:r>
      <w:r w:rsidRPr="001C3B31">
        <w:rPr>
          <w:lang w:val="ro-RO"/>
        </w:rPr>
        <w:t xml:space="preserve"> au fost implementate un număr important de proiecte, analiza rezultatelor acestor programe poate oferi informația necesară pentru evaluarea eficacității Politicii Publice Propuse, în condițiile în care are aceleași domenii și subiecți ai intervenției  ca și Programul FGM al Solidarity Fund PL în RM. </w:t>
      </w:r>
    </w:p>
    <w:p w:rsidR="004B3372" w:rsidRPr="001C3B31" w:rsidRDefault="004B3372" w:rsidP="004B3372">
      <w:pPr>
        <w:rPr>
          <w:rFonts w:ascii="Calibri" w:hAnsi="Calibri" w:cs="Calibri"/>
          <w:lang w:val="ro-RO"/>
        </w:rPr>
      </w:pPr>
      <w:r w:rsidRPr="001C3B31">
        <w:rPr>
          <w:lang w:val="ro-RO"/>
        </w:rPr>
        <w:t xml:space="preserve">Drept reper pentru analiză </w:t>
      </w:r>
      <w:r>
        <w:rPr>
          <w:lang w:val="ro-RO"/>
        </w:rPr>
        <w:t xml:space="preserve">a </w:t>
      </w:r>
      <w:r w:rsidRPr="001C3B31">
        <w:rPr>
          <w:lang w:val="ro-RO"/>
        </w:rPr>
        <w:t xml:space="preserve">fost luată ultima ediție a Programului și anume FGM 2019, ediția Rurală. </w:t>
      </w:r>
      <w:r w:rsidRPr="001C3B31">
        <w:rPr>
          <w:rFonts w:ascii="Calibri" w:hAnsi="Calibri" w:cs="Calibri"/>
          <w:lang w:val="ro-RO"/>
        </w:rPr>
        <w:t>Analiza rezultatelor FGM 2019 este importantă din perspectiva înțelegerii măsurii</w:t>
      </w:r>
      <w:r>
        <w:rPr>
          <w:rFonts w:ascii="Calibri" w:hAnsi="Calibri" w:cs="Calibri"/>
          <w:lang w:val="ro-RO"/>
        </w:rPr>
        <w:t>,</w:t>
      </w:r>
      <w:r w:rsidRPr="001C3B31">
        <w:rPr>
          <w:rFonts w:ascii="Calibri" w:hAnsi="Calibri" w:cs="Calibri"/>
          <w:lang w:val="ro-RO"/>
        </w:rPr>
        <w:t xml:space="preserve"> în care GAL-urile pe de o parte au capacitate de gestionare a unor surse financiare substanțiale, iar de pe altă parte</w:t>
      </w:r>
      <w:r>
        <w:rPr>
          <w:rFonts w:ascii="Calibri" w:hAnsi="Calibri" w:cs="Calibri"/>
          <w:lang w:val="ro-RO"/>
        </w:rPr>
        <w:t xml:space="preserve"> a</w:t>
      </w:r>
      <w:r w:rsidRPr="001C3B31">
        <w:rPr>
          <w:rFonts w:ascii="Calibri" w:hAnsi="Calibri" w:cs="Calibri"/>
          <w:lang w:val="ro-RO"/>
        </w:rPr>
        <w:t xml:space="preserve"> măsurii în care proiectele implementate de către GAL-uri au facilitat atingerea obiectivelor stabilite, dar și a motivelor care au stat la baza membrilor care au constituit GAL-ul. </w:t>
      </w:r>
    </w:p>
    <w:p w:rsidR="004B3372" w:rsidRPr="001C3B31" w:rsidRDefault="004B3372" w:rsidP="004B3372">
      <w:pPr>
        <w:rPr>
          <w:rFonts w:ascii="Calibri" w:hAnsi="Calibri" w:cs="Calibri"/>
          <w:lang w:val="ro-RO"/>
        </w:rPr>
      </w:pPr>
      <w:r w:rsidRPr="001C3B31">
        <w:rPr>
          <w:rFonts w:ascii="Calibri" w:hAnsi="Calibri" w:cs="Calibri"/>
          <w:b/>
          <w:bCs/>
          <w:color w:val="1F497D" w:themeColor="text2"/>
          <w:lang w:val="ro-RO"/>
        </w:rPr>
        <w:t>FGM 2019: Ediția Rurală |</w:t>
      </w:r>
      <w:r w:rsidRPr="001C3B31">
        <w:rPr>
          <w:rFonts w:ascii="Calibri" w:hAnsi="Calibri" w:cs="Calibri"/>
          <w:color w:val="000000" w:themeColor="text1"/>
          <w:lang w:val="ro-RO"/>
        </w:rPr>
        <w:t xml:space="preserve">FGM 2019: Ediția Rurală reprezintă un concurs de granturi lansat în anul 2019 de către </w:t>
      </w:r>
      <w:r w:rsidRPr="001C3B31">
        <w:rPr>
          <w:rFonts w:ascii="Calibri" w:hAnsi="Calibri" w:cs="Calibri"/>
          <w:lang w:val="ro-RO"/>
        </w:rPr>
        <w:t>Solidarity Fund PL în RM. În cadrul concursului</w:t>
      </w:r>
      <w:r>
        <w:rPr>
          <w:rFonts w:ascii="Calibri" w:hAnsi="Calibri" w:cs="Calibri"/>
          <w:lang w:val="ro-RO"/>
        </w:rPr>
        <w:t xml:space="preserve">, GAL-urile </w:t>
      </w:r>
      <w:r w:rsidRPr="001C3B31">
        <w:rPr>
          <w:rFonts w:ascii="Calibri" w:hAnsi="Calibri" w:cs="Calibri"/>
          <w:lang w:val="ro-RO"/>
        </w:rPr>
        <w:t>create cu suportul metodolo</w:t>
      </w:r>
      <w:r>
        <w:rPr>
          <w:rFonts w:ascii="Calibri" w:hAnsi="Calibri" w:cs="Calibri"/>
          <w:lang w:val="ro-RO"/>
        </w:rPr>
        <w:t>gic al Solidarity Fund PL în RM</w:t>
      </w:r>
      <w:r w:rsidRPr="001C3B31">
        <w:rPr>
          <w:rFonts w:ascii="Calibri" w:hAnsi="Calibri" w:cs="Calibri"/>
          <w:lang w:val="ro-RO"/>
        </w:rPr>
        <w:t xml:space="preserve"> au fost invitate să aplice pentru obținerea finanțării.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Prin mecanismul de subg</w:t>
      </w:r>
      <w:r>
        <w:rPr>
          <w:rFonts w:ascii="Calibri" w:hAnsi="Calibri" w:cs="Calibri"/>
          <w:color w:val="000000" w:themeColor="text1"/>
          <w:lang w:val="ro-RO"/>
        </w:rPr>
        <w:t>a</w:t>
      </w:r>
      <w:r w:rsidRPr="001C3B31">
        <w:rPr>
          <w:rFonts w:ascii="Calibri" w:hAnsi="Calibri" w:cs="Calibri"/>
          <w:color w:val="000000" w:themeColor="text1"/>
          <w:lang w:val="ro-RO"/>
        </w:rPr>
        <w:t>rantare, aplicat de GAL-uri, au fost analizate rezultatele a 16 Grupuri de Acțiune Locală, care au implementat în total 100 de proiecte. Valoarea totală a proiectelor implementate s-a ridicat la 7.35 milioane MDL, dintre care 3.7 milioane au fost alocate prin cadrul Programului de Granturi Mici, iar 3.7</w:t>
      </w:r>
      <w:r>
        <w:rPr>
          <w:rFonts w:ascii="Calibri" w:hAnsi="Calibri" w:cs="Calibri"/>
          <w:color w:val="000000" w:themeColor="text1"/>
          <w:lang w:val="ro-RO"/>
        </w:rPr>
        <w:t xml:space="preserve"> milioane MDL au reprezentat co</w:t>
      </w:r>
      <w:r w:rsidRPr="001C3B31">
        <w:rPr>
          <w:rFonts w:ascii="Calibri" w:hAnsi="Calibri" w:cs="Calibri"/>
          <w:color w:val="000000" w:themeColor="text1"/>
          <w:lang w:val="ro-RO"/>
        </w:rPr>
        <w:t>finanțarea beneficiarilor. Mai mult de</w:t>
      </w:r>
      <w:r>
        <w:rPr>
          <w:rFonts w:ascii="Calibri" w:hAnsi="Calibri" w:cs="Calibri"/>
          <w:color w:val="000000" w:themeColor="text1"/>
          <w:lang w:val="ro-RO"/>
        </w:rPr>
        <w:t>cât</w:t>
      </w:r>
      <w:r w:rsidRPr="001C3B31">
        <w:rPr>
          <w:rFonts w:ascii="Calibri" w:hAnsi="Calibri" w:cs="Calibri"/>
          <w:color w:val="000000" w:themeColor="text1"/>
          <w:lang w:val="ro-RO"/>
        </w:rPr>
        <w:t xml:space="preserve"> atât, în multe cazuri beneficiarii proiectului au contribuit cu sume suplimentare la implementarea proiectului, însă au documentat contribuția doar ratei obligatorii (cca.30%) de cofinanțare. Astfel, rata reală de cofinanțare depășește cu mult cea oficial documentată.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În vederea evaluării coerenței dintre obiectivele proiectelor implementate de către GAL-uri în cadrul Programului FGM 2019 (ediția rurală) și scopurile pe care le-au urmărit membrii GAL-ului</w:t>
      </w:r>
      <w:r>
        <w:rPr>
          <w:rFonts w:ascii="Calibri" w:hAnsi="Calibri" w:cs="Calibri"/>
          <w:color w:val="000000" w:themeColor="text1"/>
          <w:lang w:val="ro-RO"/>
        </w:rPr>
        <w:t>,</w:t>
      </w:r>
      <w:r w:rsidRPr="001C3B31">
        <w:rPr>
          <w:rFonts w:ascii="Calibri" w:hAnsi="Calibri" w:cs="Calibri"/>
          <w:color w:val="000000" w:themeColor="text1"/>
          <w:lang w:val="ro-RO"/>
        </w:rPr>
        <w:t xml:space="preserve">  când au decis constituirea acestuia, au fost aplicate mai multe instrumente de cercetare. Astfel, în urma chestionării a peste 35 reprezentanți ai GAL-urilor s-a constat</w:t>
      </w:r>
      <w:r>
        <w:rPr>
          <w:rFonts w:ascii="Calibri" w:hAnsi="Calibri" w:cs="Calibri"/>
          <w:color w:val="000000" w:themeColor="text1"/>
          <w:lang w:val="ro-RO"/>
        </w:rPr>
        <w:t>,</w:t>
      </w:r>
      <w:r w:rsidRPr="001C3B31">
        <w:rPr>
          <w:rFonts w:ascii="Calibri" w:hAnsi="Calibri" w:cs="Calibri"/>
          <w:color w:val="000000" w:themeColor="text1"/>
          <w:lang w:val="ro-RO"/>
        </w:rPr>
        <w:t xml:space="preserve"> că marea majoritate </w:t>
      </w:r>
      <w:r>
        <w:rPr>
          <w:rFonts w:ascii="Calibri" w:hAnsi="Calibri" w:cs="Calibri"/>
          <w:color w:val="000000" w:themeColor="text1"/>
          <w:lang w:val="ro-RO"/>
        </w:rPr>
        <w:t>a chestionaților (cca</w:t>
      </w:r>
      <w:r w:rsidRPr="001C3B31">
        <w:rPr>
          <w:rFonts w:ascii="Calibri" w:hAnsi="Calibri" w:cs="Calibri"/>
          <w:color w:val="000000" w:themeColor="text1"/>
          <w:lang w:val="ro-RO"/>
        </w:rPr>
        <w:t xml:space="preserve"> 80</w:t>
      </w:r>
      <w:r>
        <w:rPr>
          <w:rFonts w:ascii="Calibri" w:hAnsi="Calibri" w:cs="Calibri"/>
          <w:color w:val="000000" w:themeColor="text1"/>
          <w:lang w:val="ro-RO"/>
        </w:rPr>
        <w:t xml:space="preserve"> </w:t>
      </w:r>
      <w:r w:rsidRPr="001C3B31">
        <w:rPr>
          <w:rFonts w:ascii="Calibri" w:hAnsi="Calibri" w:cs="Calibri"/>
          <w:color w:val="000000" w:themeColor="text1"/>
          <w:lang w:val="ro-RO"/>
        </w:rPr>
        <w:t>%) consideră contribuția la dezvoltarea mediului rural și creșterea potențialului economic la nivel de microregiune principalele motive care au stat la baza cooperării lor în cadrul GAL-ului</w:t>
      </w:r>
      <w:r w:rsidRPr="001C3B31">
        <w:rPr>
          <w:rStyle w:val="FootnoteReference"/>
          <w:rFonts w:ascii="Calibri" w:hAnsi="Calibri" w:cs="Calibri"/>
          <w:color w:val="000000" w:themeColor="text1"/>
          <w:lang w:val="ro-RO"/>
        </w:rPr>
        <w:footnoteReference w:id="13"/>
      </w:r>
      <w:r w:rsidRPr="001C3B31">
        <w:rPr>
          <w:rFonts w:ascii="Calibri" w:hAnsi="Calibri" w:cs="Calibri"/>
          <w:color w:val="000000" w:themeColor="text1"/>
          <w:lang w:val="ro-RO"/>
        </w:rPr>
        <w:t xml:space="preserve">.  Astfel, s-a constat o coerență majoră între obiectivele proiectelor implementate de către GAL-uri în cadrul programului FGM 2019 și obiectivele care au stat la baza constituirii GAL-ului.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 xml:space="preserve">Pe de altă parte, în urma intervievării membrilor </w:t>
      </w:r>
      <w:r>
        <w:rPr>
          <w:rFonts w:ascii="Calibri" w:hAnsi="Calibri" w:cs="Calibri"/>
          <w:color w:val="000000" w:themeColor="text1"/>
          <w:lang w:val="ro-RO"/>
        </w:rPr>
        <w:t>a 5 GAL-uri</w:t>
      </w:r>
      <w:r w:rsidRPr="001C3B31">
        <w:rPr>
          <w:rFonts w:ascii="Calibri" w:hAnsi="Calibri" w:cs="Calibri"/>
          <w:color w:val="000000" w:themeColor="text1"/>
          <w:lang w:val="ro-RO"/>
        </w:rPr>
        <w:t xml:space="preserve"> din zona de centru și nord a țării, printre care unii aveau și statut de beneficiar al proiectelor, s-a constatat o părere unică referitoare la necesitatea implementării programului LEADER. Toate cele 11 persoane intervievate au catalogat Programul LEADER drept unul extrem de important pentru dezvoltarea comunităților. </w:t>
      </w:r>
    </w:p>
    <w:p w:rsidR="004B3372" w:rsidRPr="001C3B31" w:rsidRDefault="004B3372" w:rsidP="004B3372">
      <w:pPr>
        <w:spacing w:after="0"/>
        <w:rPr>
          <w:rFonts w:ascii="Calibri" w:hAnsi="Calibri" w:cs="Calibri"/>
          <w:color w:val="000000" w:themeColor="text1"/>
          <w:lang w:val="ro-RO"/>
        </w:rPr>
      </w:pPr>
      <w:r w:rsidRPr="001C3B31">
        <w:rPr>
          <w:rFonts w:ascii="Calibri" w:hAnsi="Calibri" w:cs="Calibri"/>
          <w:color w:val="000000" w:themeColor="text1"/>
          <w:lang w:val="ro-RO"/>
        </w:rPr>
        <w:lastRenderedPageBreak/>
        <w:t xml:space="preserve">Mai mult </w:t>
      </w:r>
      <w:r>
        <w:rPr>
          <w:rFonts w:ascii="Calibri" w:hAnsi="Calibri" w:cs="Calibri"/>
          <w:color w:val="000000" w:themeColor="text1"/>
          <w:lang w:val="ro-RO"/>
        </w:rPr>
        <w:t>ca</w:t>
      </w:r>
      <w:r w:rsidRPr="001C3B31">
        <w:rPr>
          <w:rFonts w:ascii="Calibri" w:hAnsi="Calibri" w:cs="Calibri"/>
          <w:color w:val="000000" w:themeColor="text1"/>
          <w:lang w:val="ro-RO"/>
        </w:rPr>
        <w:t xml:space="preserve"> atât, în argumentarea calificativelor oferite, membrii GAL-urilor intervievați atrag atenția asupra următoarelor elemente pozitive ale abordării LEADER</w:t>
      </w:r>
      <w:r w:rsidRPr="001C3B31">
        <w:rPr>
          <w:rStyle w:val="FootnoteReference"/>
          <w:rFonts w:ascii="Calibri" w:hAnsi="Calibri" w:cs="Calibri"/>
          <w:color w:val="000000" w:themeColor="text1"/>
          <w:lang w:val="ro-RO"/>
        </w:rPr>
        <w:footnoteReference w:id="14"/>
      </w:r>
      <w:r w:rsidRPr="001C3B31">
        <w:rPr>
          <w:rFonts w:ascii="Calibri" w:hAnsi="Calibri" w:cs="Calibri"/>
          <w:color w:val="000000" w:themeColor="text1"/>
          <w:lang w:val="ro-RO"/>
        </w:rPr>
        <w:t xml:space="preserve">: </w:t>
      </w:r>
    </w:p>
    <w:p w:rsidR="004B3372" w:rsidRPr="001C3B31" w:rsidRDefault="004B3372" w:rsidP="004B3372">
      <w:pPr>
        <w:pStyle w:val="ListParagraph"/>
        <w:numPr>
          <w:ilvl w:val="0"/>
          <w:numId w:val="23"/>
        </w:numPr>
        <w:spacing w:after="0"/>
        <w:rPr>
          <w:rFonts w:ascii="Calibri" w:hAnsi="Calibri" w:cs="Calibri"/>
          <w:color w:val="000000" w:themeColor="text1"/>
          <w:lang w:val="ro-RO"/>
        </w:rPr>
      </w:pPr>
      <w:r w:rsidRPr="001C3B31">
        <w:rPr>
          <w:rFonts w:ascii="Calibri" w:hAnsi="Calibri" w:cs="Calibri"/>
          <w:color w:val="000000" w:themeColor="text1"/>
          <w:lang w:val="ro-RO"/>
        </w:rPr>
        <w:t>Lipsa presiunii politice, datorită obligativității prezenței unei majorități formate din membri care nu reprezintă vreun APL</w:t>
      </w:r>
      <w:r>
        <w:rPr>
          <w:rFonts w:ascii="Calibri" w:hAnsi="Calibri" w:cs="Calibri"/>
          <w:color w:val="000000" w:themeColor="text1"/>
          <w:lang w:val="ro-RO"/>
        </w:rPr>
        <w:t>;</w:t>
      </w:r>
    </w:p>
    <w:p w:rsidR="004B3372" w:rsidRPr="001C3B31" w:rsidRDefault="004B3372" w:rsidP="004B3372">
      <w:pPr>
        <w:pStyle w:val="ListParagraph"/>
        <w:numPr>
          <w:ilvl w:val="0"/>
          <w:numId w:val="23"/>
        </w:numPr>
        <w:spacing w:after="0"/>
        <w:rPr>
          <w:rFonts w:ascii="Calibri" w:hAnsi="Calibri" w:cs="Calibri"/>
          <w:color w:val="000000" w:themeColor="text1"/>
          <w:lang w:val="ro-RO"/>
        </w:rPr>
      </w:pPr>
      <w:r w:rsidRPr="001C3B31">
        <w:rPr>
          <w:rFonts w:ascii="Calibri" w:hAnsi="Calibri" w:cs="Calibri"/>
          <w:color w:val="000000" w:themeColor="text1"/>
          <w:lang w:val="ro-RO"/>
        </w:rPr>
        <w:t>Oferă posibilitatea finanțării unor proiecte pentru care nu există sau unde nu ajung finanțările ordinare (proiecte cu orientare socială de mică valoare, ex: bănci școlare, rechizite, costume pentru casa de cultură)</w:t>
      </w:r>
      <w:r>
        <w:rPr>
          <w:rFonts w:ascii="Calibri" w:hAnsi="Calibri" w:cs="Calibri"/>
          <w:color w:val="000000" w:themeColor="text1"/>
          <w:lang w:val="ro-RO"/>
        </w:rPr>
        <w:t>;</w:t>
      </w:r>
    </w:p>
    <w:p w:rsidR="004B3372" w:rsidRPr="001C3B31" w:rsidRDefault="004B3372" w:rsidP="004B3372">
      <w:pPr>
        <w:pStyle w:val="ListParagraph"/>
        <w:numPr>
          <w:ilvl w:val="0"/>
          <w:numId w:val="23"/>
        </w:numPr>
        <w:spacing w:after="0"/>
        <w:rPr>
          <w:rFonts w:ascii="Calibri" w:hAnsi="Calibri" w:cs="Calibri"/>
          <w:color w:val="000000" w:themeColor="text1"/>
          <w:lang w:val="ro-RO"/>
        </w:rPr>
      </w:pPr>
      <w:r w:rsidRPr="001C3B31">
        <w:rPr>
          <w:rFonts w:ascii="Calibri" w:hAnsi="Calibri" w:cs="Calibri"/>
          <w:color w:val="000000" w:themeColor="text1"/>
          <w:lang w:val="ro-RO"/>
        </w:rPr>
        <w:t>Contribuie la unirea și creșterea cooperării dintre comunități, iar în unele cazuri chiar și la aplanarea conflictelor istorice dintre 2 comunități vecine</w:t>
      </w:r>
      <w:r>
        <w:rPr>
          <w:rFonts w:ascii="Calibri" w:hAnsi="Calibri" w:cs="Calibri"/>
          <w:color w:val="000000" w:themeColor="text1"/>
          <w:lang w:val="ro-RO"/>
        </w:rPr>
        <w:t>;</w:t>
      </w:r>
    </w:p>
    <w:p w:rsidR="004B3372" w:rsidRPr="001C3B31" w:rsidRDefault="004B3372" w:rsidP="004B3372">
      <w:pPr>
        <w:pStyle w:val="ListParagraph"/>
        <w:numPr>
          <w:ilvl w:val="0"/>
          <w:numId w:val="23"/>
        </w:numPr>
        <w:spacing w:after="0"/>
        <w:rPr>
          <w:rFonts w:ascii="Calibri" w:hAnsi="Calibri" w:cs="Calibri"/>
          <w:color w:val="000000" w:themeColor="text1"/>
          <w:lang w:val="ro-RO"/>
        </w:rPr>
      </w:pPr>
      <w:r w:rsidRPr="001C3B31">
        <w:rPr>
          <w:rFonts w:ascii="Calibri" w:hAnsi="Calibri" w:cs="Calibri"/>
          <w:color w:val="000000" w:themeColor="text1"/>
          <w:lang w:val="ro-RO"/>
        </w:rPr>
        <w:t>Facilitează implicarea agenților economici în dezvoltarea comunității</w:t>
      </w:r>
      <w:r>
        <w:rPr>
          <w:rFonts w:ascii="Calibri" w:hAnsi="Calibri" w:cs="Calibri"/>
          <w:color w:val="000000" w:themeColor="text1"/>
          <w:lang w:val="ro-RO"/>
        </w:rPr>
        <w:t>;</w:t>
      </w:r>
    </w:p>
    <w:p w:rsidR="004B3372" w:rsidRPr="001C3B31" w:rsidRDefault="004B3372" w:rsidP="004B3372">
      <w:pPr>
        <w:pStyle w:val="ListParagraph"/>
        <w:numPr>
          <w:ilvl w:val="0"/>
          <w:numId w:val="23"/>
        </w:numPr>
        <w:rPr>
          <w:rFonts w:ascii="Calibri" w:hAnsi="Calibri" w:cs="Calibri"/>
          <w:color w:val="000000" w:themeColor="text1"/>
          <w:lang w:val="ro-RO"/>
        </w:rPr>
      </w:pPr>
      <w:r w:rsidRPr="001C3B31">
        <w:rPr>
          <w:rFonts w:ascii="Calibri" w:hAnsi="Calibri" w:cs="Calibri"/>
          <w:color w:val="000000" w:themeColor="text1"/>
          <w:lang w:val="ro-RO"/>
        </w:rPr>
        <w:t>Oferă opo</w:t>
      </w:r>
      <w:r>
        <w:rPr>
          <w:rFonts w:ascii="Calibri" w:hAnsi="Calibri" w:cs="Calibri"/>
          <w:color w:val="000000" w:themeColor="text1"/>
          <w:lang w:val="ro-RO"/>
        </w:rPr>
        <w:t>rtunități de dezvoltare a micro</w:t>
      </w:r>
      <w:r w:rsidRPr="001C3B31">
        <w:rPr>
          <w:rFonts w:ascii="Calibri" w:hAnsi="Calibri" w:cs="Calibri"/>
          <w:color w:val="000000" w:themeColor="text1"/>
          <w:lang w:val="ro-RO"/>
        </w:rPr>
        <w:t xml:space="preserve">afacerilor, inclusiv prin înregistrarea oficială a întreprinderilor de familie.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În ceea ce privește eficacitatea proiectelor implementate de GAL-uri în cadrul Programului FGM 2019, acestea pot fi considerate drept intervenții de succes</w:t>
      </w:r>
      <w:r>
        <w:rPr>
          <w:rFonts w:ascii="Calibri" w:hAnsi="Calibri" w:cs="Calibri"/>
          <w:color w:val="000000" w:themeColor="text1"/>
          <w:lang w:val="ro-RO"/>
        </w:rPr>
        <w:t>,</w:t>
      </w:r>
      <w:r w:rsidRPr="001C3B31">
        <w:rPr>
          <w:rFonts w:ascii="Calibri" w:hAnsi="Calibri" w:cs="Calibri"/>
          <w:color w:val="000000" w:themeColor="text1"/>
          <w:lang w:val="ro-RO"/>
        </w:rPr>
        <w:t xml:space="preserve"> care au contribuit la soluționarea problemelor identificate de către membrii GAL-ului și întru soluționarea cărora au fost implementate.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Astfel, în ceea ce privește problema dezvoltării economice a microregiunilor și crearea locurilor de muncă noi, cele 100 de proiecte implementate de către GAL-uri au condus la crearea a 109 locuri de</w:t>
      </w:r>
      <w:r>
        <w:rPr>
          <w:rFonts w:ascii="Calibri" w:hAnsi="Calibri" w:cs="Calibri"/>
          <w:color w:val="000000" w:themeColor="text1"/>
          <w:lang w:val="ro-RO"/>
        </w:rPr>
        <w:t xml:space="preserve"> muncă permanente și încă a cca</w:t>
      </w:r>
      <w:r w:rsidRPr="001C3B31">
        <w:rPr>
          <w:rFonts w:ascii="Calibri" w:hAnsi="Calibri" w:cs="Calibri"/>
          <w:color w:val="000000" w:themeColor="text1"/>
          <w:lang w:val="ro-RO"/>
        </w:rPr>
        <w:t xml:space="preserve"> 200 de locuri de muncă temporare sau sezoniere.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 xml:space="preserve">Pe de altă parte, în direcția dezvoltării economice a regiunilor rurale au fost implementate 53 de proiecte (din totalul 100 analizate), dintre care 40 au fost implementate de către companii înregistrate și au condus la creșterea capacității de producție a acestora sau la îmbunătățirea serviciilor prestate, iar altele 13 au reprezentat proiecte implementate pe persoane fizice care, drept rezultat al implementării proiectului și-au înregistrat întreprinderea, devenind agent economic în condițiile legii. Totodată, în toate cele 53 de cazuri, implementarea proiectelor a condus la crearea a cel puțin a unui loc de muncă permanent.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Într-o altă ordine de idei, implementarea proiectelor prin intermediul GAL-urilor a condus și la creșterea calității serviciilor publice. În total au fost implementate 22 proiecte</w:t>
      </w:r>
      <w:r>
        <w:rPr>
          <w:rFonts w:ascii="Calibri" w:hAnsi="Calibri" w:cs="Calibri"/>
          <w:color w:val="000000" w:themeColor="text1"/>
          <w:lang w:val="ro-RO"/>
        </w:rPr>
        <w:t>,</w:t>
      </w:r>
      <w:r w:rsidRPr="001C3B31">
        <w:rPr>
          <w:rFonts w:ascii="Calibri" w:hAnsi="Calibri" w:cs="Calibri"/>
          <w:color w:val="000000" w:themeColor="text1"/>
          <w:lang w:val="ro-RO"/>
        </w:rPr>
        <w:t xml:space="preserve"> care au avut drept obiectiv principal îmbunătățirea calității serviciilor publice. Acestea s-au referit în mare parte </w:t>
      </w:r>
      <w:r>
        <w:rPr>
          <w:rFonts w:ascii="Calibri" w:hAnsi="Calibri" w:cs="Calibri"/>
          <w:color w:val="000000" w:themeColor="text1"/>
          <w:lang w:val="ro-RO"/>
        </w:rPr>
        <w:t>la</w:t>
      </w:r>
      <w:r w:rsidRPr="001C3B31">
        <w:rPr>
          <w:rFonts w:ascii="Calibri" w:hAnsi="Calibri" w:cs="Calibri"/>
          <w:color w:val="000000" w:themeColor="text1"/>
          <w:lang w:val="ro-RO"/>
        </w:rPr>
        <w:t xml:space="preserve"> creșterea calității serviciilor de educație și medicale în zonele rurale</w:t>
      </w:r>
      <w:r>
        <w:rPr>
          <w:rFonts w:ascii="Calibri" w:hAnsi="Calibri" w:cs="Calibri"/>
          <w:color w:val="000000" w:themeColor="text1"/>
          <w:lang w:val="ro-RO"/>
        </w:rPr>
        <w:t>,</w:t>
      </w:r>
      <w:r w:rsidRPr="001C3B31">
        <w:rPr>
          <w:rFonts w:ascii="Calibri" w:hAnsi="Calibri" w:cs="Calibri"/>
          <w:color w:val="000000" w:themeColor="text1"/>
          <w:lang w:val="ro-RO"/>
        </w:rPr>
        <w:t xml:space="preserve"> prin dotarea instituțiilor de profil cu obiectele necesare sau realizarea unor reparații locale. Totuși au existat și proiecte de dezvoltare a unor servicii publice noi, precum cele de film sau teatru. Deși într-o măsură mai mică, proiectele de dezvoltare a serviciilor publice au condus și ele la crearea locurilor de muncă, ce-i drept în mare măsură temporare sau sezoniere. În total proiectele destinate îmbunătățirii serviciilor publice au condus la crearea a 4 lo</w:t>
      </w:r>
      <w:r>
        <w:rPr>
          <w:rFonts w:ascii="Calibri" w:hAnsi="Calibri" w:cs="Calibri"/>
          <w:color w:val="000000" w:themeColor="text1"/>
          <w:lang w:val="ro-RO"/>
        </w:rPr>
        <w:t>curi de muncă permanente și cca</w:t>
      </w:r>
      <w:r w:rsidRPr="001C3B31">
        <w:rPr>
          <w:rFonts w:ascii="Calibri" w:hAnsi="Calibri" w:cs="Calibri"/>
          <w:color w:val="000000" w:themeColor="text1"/>
          <w:lang w:val="ro-RO"/>
        </w:rPr>
        <w:t xml:space="preserve"> 20 locuri de muncă temporare sau sezoniere.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Pe lângă proiectele orientate spre creșterea potențialului economic al microregiunii și cele dedicate îmbunătățirii serviciilor publice, prin intermediul GAL-ului au fost implementate și un șir de proiecte de dezvoltare a potențialului turistic (16) și cel al patrimoniului cultural (9). În același timp, numărul total de beneficiari direcți ai proiectelor a fost de aproximativ 24 700, iar a celor indirecți de peste 112 600 oameni.</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 xml:space="preserve">Toate cele 100 de proiecte implementate în cadrul FGM 2019 au fost implementate în totalitate și au atins indicatorii stabiliți în cererile de aplicare.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În final, reieșind din datele analizate mai sus, pe de o parte, putem constata că proiectele implementa</w:t>
      </w:r>
      <w:r>
        <w:rPr>
          <w:rFonts w:ascii="Calibri" w:hAnsi="Calibri" w:cs="Calibri"/>
          <w:color w:val="000000" w:themeColor="text1"/>
          <w:lang w:val="ro-RO"/>
        </w:rPr>
        <w:t>te</w:t>
      </w:r>
      <w:r w:rsidRPr="001C3B31">
        <w:rPr>
          <w:rFonts w:ascii="Calibri" w:hAnsi="Calibri" w:cs="Calibri"/>
          <w:color w:val="000000" w:themeColor="text1"/>
          <w:lang w:val="ro-RO"/>
        </w:rPr>
        <w:t xml:space="preserve"> de GAL-uri în baza finanțării obținute prin Programul FGM 2019 sunt coerente cu obiectivele PPP-ului și în mare parte sunt adresate acelorași probleme ca și PPP-ul. </w:t>
      </w:r>
    </w:p>
    <w:p w:rsidR="004B3372" w:rsidRPr="001C3B31" w:rsidRDefault="004B3372" w:rsidP="004B3372">
      <w:pPr>
        <w:rPr>
          <w:rFonts w:ascii="Calibri" w:hAnsi="Calibri" w:cs="Calibri"/>
          <w:color w:val="000000" w:themeColor="text1"/>
          <w:lang w:val="ro-RO"/>
        </w:rPr>
      </w:pPr>
      <w:r w:rsidRPr="001C3B31">
        <w:rPr>
          <w:rFonts w:ascii="Calibri" w:hAnsi="Calibri" w:cs="Calibri"/>
          <w:color w:val="000000" w:themeColor="text1"/>
          <w:lang w:val="ro-RO"/>
        </w:rPr>
        <w:t>Pe de altă parte, se constată că proiectele implementate de către GAL-uri au atins obiectivele stabilite contribuind la soluționarea problemelor microregiunilor. Acest lucru este demonstrat, atât de datele calitative obținute în cadrul interviuril</w:t>
      </w:r>
      <w:r>
        <w:rPr>
          <w:rFonts w:ascii="Calibri" w:hAnsi="Calibri" w:cs="Calibri"/>
          <w:color w:val="000000" w:themeColor="text1"/>
          <w:lang w:val="ro-RO"/>
        </w:rPr>
        <w:t xml:space="preserve">or și chestionării factorilor </w:t>
      </w:r>
      <w:r w:rsidRPr="001C3B31">
        <w:rPr>
          <w:rFonts w:ascii="Calibri" w:hAnsi="Calibri" w:cs="Calibri"/>
          <w:color w:val="000000" w:themeColor="text1"/>
          <w:lang w:val="ro-RO"/>
        </w:rPr>
        <w:t xml:space="preserve">interesați din cadrul GAL-urilor, cât și în </w:t>
      </w:r>
      <w:r w:rsidRPr="001C3B31">
        <w:rPr>
          <w:rFonts w:ascii="Calibri" w:hAnsi="Calibri" w:cs="Calibri"/>
          <w:color w:val="000000" w:themeColor="text1"/>
          <w:lang w:val="ro-RO"/>
        </w:rPr>
        <w:lastRenderedPageBreak/>
        <w:t xml:space="preserve">urma analizei rezultatelor a 100 de proiecte implementate la nivelul GAL-urilor. Astfel, se poate constata că PPP-ul are un potențial de eficacitate </w:t>
      </w:r>
      <w:r>
        <w:rPr>
          <w:rFonts w:ascii="Calibri" w:hAnsi="Calibri" w:cs="Calibri"/>
          <w:color w:val="000000" w:themeColor="text1"/>
          <w:lang w:val="ro-RO"/>
        </w:rPr>
        <w:t>sporit</w:t>
      </w:r>
      <w:r w:rsidRPr="001C3B31">
        <w:rPr>
          <w:rFonts w:ascii="Calibri" w:hAnsi="Calibri" w:cs="Calibri"/>
          <w:color w:val="000000" w:themeColor="text1"/>
          <w:lang w:val="ro-RO"/>
        </w:rPr>
        <w:t xml:space="preserve">, iar implementarea în practică a acesteia, în mare parte, va conduce la soluționarea problemelor cărora le este adresată. </w:t>
      </w:r>
    </w:p>
    <w:p w:rsidR="004B3372" w:rsidRPr="001C3B31" w:rsidRDefault="004B3372" w:rsidP="004B3372">
      <w:pPr>
        <w:pBdr>
          <w:top w:val="single" w:sz="4" w:space="1" w:color="auto"/>
          <w:left w:val="single" w:sz="4" w:space="4" w:color="auto"/>
          <w:bottom w:val="single" w:sz="4" w:space="1" w:color="auto"/>
          <w:right w:val="single" w:sz="4" w:space="4" w:color="auto"/>
        </w:pBdr>
        <w:spacing w:line="276" w:lineRule="auto"/>
        <w:rPr>
          <w:lang w:val="ro-RO"/>
        </w:rPr>
      </w:pPr>
      <w:r w:rsidRPr="001C3B31">
        <w:rPr>
          <w:b/>
          <w:lang w:val="ro-RO"/>
        </w:rPr>
        <w:t xml:space="preserve">C 4: </w:t>
      </w:r>
      <w:r w:rsidRPr="001C3B31">
        <w:rPr>
          <w:lang w:val="ro-RO"/>
        </w:rPr>
        <w:t>Analiza programelor de finanțare a Grupuri</w:t>
      </w:r>
      <w:r>
        <w:rPr>
          <w:lang w:val="ro-RO"/>
        </w:rPr>
        <w:t>lor de Acțiune Locală existente</w:t>
      </w:r>
      <w:r w:rsidRPr="001C3B31">
        <w:rPr>
          <w:lang w:val="ro-RO"/>
        </w:rPr>
        <w:t xml:space="preserve"> este insuficientă pentru a asigura un sprijin complex al tuturor inițiativelor locale. Totuși e</w:t>
      </w:r>
      <w:r>
        <w:rPr>
          <w:lang w:val="ro-RO"/>
        </w:rPr>
        <w:t>xperiența programelor existente</w:t>
      </w:r>
      <w:r w:rsidRPr="001C3B31">
        <w:rPr>
          <w:lang w:val="ro-RO"/>
        </w:rPr>
        <w:t xml:space="preserve"> denotă un grad înalt de absorbție a finanțării</w:t>
      </w:r>
      <w:r>
        <w:rPr>
          <w:lang w:val="ro-RO"/>
        </w:rPr>
        <w:t>,</w:t>
      </w:r>
      <w:r w:rsidRPr="001C3B31">
        <w:rPr>
          <w:lang w:val="ro-RO"/>
        </w:rPr>
        <w:t xml:space="preserve"> cât și atingerea indicatorilor setați ceea ce aparent ar </w:t>
      </w:r>
      <w:r>
        <w:rPr>
          <w:lang w:val="ro-RO"/>
        </w:rPr>
        <w:t>con</w:t>
      </w:r>
      <w:r w:rsidRPr="001C3B31">
        <w:rPr>
          <w:lang w:val="ro-RO"/>
        </w:rPr>
        <w:t>duce la dezvoltarea zonelor rurale și diminuarea problemelor stringente din mediul rural.</w:t>
      </w:r>
    </w:p>
    <w:p w:rsidR="004B3372" w:rsidRPr="001C3B31" w:rsidRDefault="004B3372" w:rsidP="004B3372">
      <w:pPr>
        <w:pBdr>
          <w:top w:val="single" w:sz="4" w:space="1" w:color="auto"/>
          <w:left w:val="single" w:sz="4" w:space="4" w:color="auto"/>
          <w:bottom w:val="single" w:sz="4" w:space="1" w:color="auto"/>
          <w:right w:val="single" w:sz="4" w:space="4" w:color="auto"/>
        </w:pBdr>
        <w:spacing w:line="276" w:lineRule="auto"/>
        <w:rPr>
          <w:lang w:val="ro-RO"/>
        </w:rPr>
      </w:pPr>
      <w:r w:rsidRPr="001C3B31">
        <w:rPr>
          <w:b/>
          <w:bCs/>
          <w:lang w:val="ro-RO"/>
        </w:rPr>
        <w:t>C 5:</w:t>
      </w:r>
      <w:r w:rsidRPr="001C3B31">
        <w:rPr>
          <w:lang w:val="ro-RO"/>
        </w:rPr>
        <w:t xml:space="preserve"> Toate cele 100 de proiecte analizate din cele implementate de către GAL-uri cu finanțarea în anul 2019 au atins indicatorii stabiliți, ceea ce de</w:t>
      </w:r>
      <w:r>
        <w:rPr>
          <w:lang w:val="ro-RO"/>
        </w:rPr>
        <w:t>notă o înaltă eficacitate</w:t>
      </w:r>
      <w:r w:rsidRPr="001C3B31">
        <w:rPr>
          <w:lang w:val="ro-RO"/>
        </w:rPr>
        <w:t xml:space="preserve"> a proiectelor implementate prin intermediul GAL-urilor. </w:t>
      </w:r>
    </w:p>
    <w:p w:rsidR="004B3372" w:rsidRPr="007F0A8B" w:rsidRDefault="004B3372" w:rsidP="004B3372">
      <w:pPr>
        <w:pStyle w:val="Heading2"/>
        <w:rPr>
          <w:b/>
          <w:color w:val="0070C0"/>
          <w:lang w:val="ro-RO"/>
        </w:rPr>
      </w:pPr>
      <w:bookmarkStart w:id="19" w:name="_Toc32964812"/>
      <w:r w:rsidRPr="007F0A8B">
        <w:rPr>
          <w:b/>
          <w:color w:val="0070C0"/>
          <w:lang w:val="ro-RO"/>
        </w:rPr>
        <w:t>Eficiența propunerii de Politică Publică</w:t>
      </w:r>
      <w:bookmarkEnd w:id="19"/>
    </w:p>
    <w:p w:rsidR="004B3372" w:rsidRPr="001C3B31" w:rsidRDefault="004B3372" w:rsidP="004B3372">
      <w:pPr>
        <w:tabs>
          <w:tab w:val="left" w:pos="1864"/>
        </w:tabs>
        <w:rPr>
          <w:rFonts w:ascii="Calibri" w:hAnsi="Calibri"/>
          <w:i/>
          <w:color w:val="134753"/>
          <w:lang w:val="ro-RO"/>
        </w:rPr>
      </w:pPr>
      <w:r w:rsidRPr="001C3B31">
        <w:rPr>
          <w:rFonts w:ascii="Calibri" w:hAnsi="Calibri"/>
          <w:i/>
          <w:color w:val="134753"/>
          <w:lang w:val="ro-RO"/>
        </w:rPr>
        <w:t>În ce măsură există capacitate administrativă și financiară pentru asigurarea implementării intervențiilor propuse de PPP?</w:t>
      </w:r>
    </w:p>
    <w:p w:rsidR="004B3372" w:rsidRPr="001C3B31" w:rsidRDefault="004B3372" w:rsidP="004B3372">
      <w:pPr>
        <w:rPr>
          <w:lang w:val="ro-RO"/>
        </w:rPr>
      </w:pPr>
      <w:r w:rsidRPr="001C3B31">
        <w:rPr>
          <w:lang w:val="ro-RO"/>
        </w:rPr>
        <w:t>Măsurile de intervenție în Propunerea de Politică Publică supusă evaluării sunt destinate în exclusivitate Grupurilor de Acțiune Locală. Astfel, pentru evaluarea eficienței acestor măsuri, urmează să fie stabilită capacitatea potențialilor beneficiari de a administra și valorifica resursele financiare alocate, precum și capacitatea</w:t>
      </w:r>
      <w:r>
        <w:rPr>
          <w:lang w:val="ro-RO"/>
        </w:rPr>
        <w:t xml:space="preserve"> financiară pentru a asigura co</w:t>
      </w:r>
      <w:r w:rsidRPr="001C3B31">
        <w:rPr>
          <w:lang w:val="ro-RO"/>
        </w:rPr>
        <w:t xml:space="preserve">finanțarea proiectelor la nivel de microregiune.  </w:t>
      </w:r>
    </w:p>
    <w:p w:rsidR="004B3372" w:rsidRPr="001C3B31" w:rsidRDefault="004B3372" w:rsidP="004B3372">
      <w:pPr>
        <w:rPr>
          <w:lang w:val="ro-RO"/>
        </w:rPr>
      </w:pPr>
      <w:r w:rsidRPr="001C3B31">
        <w:rPr>
          <w:lang w:val="ro-RO"/>
        </w:rPr>
        <w:t>Pe de alta parte</w:t>
      </w:r>
      <w:r>
        <w:rPr>
          <w:lang w:val="ro-RO"/>
        </w:rPr>
        <w:t>,</w:t>
      </w:r>
      <w:r w:rsidRPr="001C3B31">
        <w:rPr>
          <w:lang w:val="ro-RO"/>
        </w:rPr>
        <w:t xml:space="preserve"> prin eficientă poate fi evaluată măsura în care din sume relativ mici alocate pentru inițiative prioritizate de </w:t>
      </w:r>
      <w:r>
        <w:rPr>
          <w:lang w:val="ro-RO"/>
        </w:rPr>
        <w:t>GAL</w:t>
      </w:r>
      <w:r w:rsidRPr="001C3B31">
        <w:rPr>
          <w:lang w:val="ro-RO"/>
        </w:rPr>
        <w:t xml:space="preserve"> poate fi</w:t>
      </w:r>
      <w:r w:rsidR="007F0A8B">
        <w:rPr>
          <w:lang w:val="ro-RO"/>
        </w:rPr>
        <w:t xml:space="preserve"> adusa valoare adăugată comunită</w:t>
      </w:r>
      <w:r>
        <w:rPr>
          <w:lang w:val="ro-RO"/>
        </w:rPr>
        <w:t>ții.</w:t>
      </w:r>
    </w:p>
    <w:p w:rsidR="004B3372" w:rsidRPr="001C3B31" w:rsidRDefault="004B3372" w:rsidP="004B3372">
      <w:pPr>
        <w:rPr>
          <w:lang w:val="ro-RO"/>
        </w:rPr>
      </w:pPr>
      <w:r w:rsidRPr="001C3B31">
        <w:rPr>
          <w:lang w:val="ro-RO"/>
        </w:rPr>
        <w:t>Totodată, având în vedere că Grupurile de Acțiune Locală reprezintă entități complexe</w:t>
      </w:r>
      <w:r>
        <w:rPr>
          <w:lang w:val="ro-RO"/>
        </w:rPr>
        <w:t xml:space="preserve">, care includ numeroase părți </w:t>
      </w:r>
      <w:r w:rsidRPr="001C3B31">
        <w:rPr>
          <w:lang w:val="ro-RO"/>
        </w:rPr>
        <w:t xml:space="preserve">interesate din mai multe sectoare – APL, agenți economici, ONG, activiști civici – este esențială evaluarea capacității acestora de organizare și dezvoltare în calitate de structură organică capabilă să se organizeze omogen în vederea identificării și prioritizării potențialului de dezvoltare, problemelor microregiunii, gestionării fondurilor, inclusiv publice, atragerea fondurilor externe și în final soluționarea problemelor la nivel local. </w:t>
      </w:r>
    </w:p>
    <w:p w:rsidR="004B3372" w:rsidRPr="001C3B31" w:rsidRDefault="004B3372" w:rsidP="004B3372">
      <w:pPr>
        <w:rPr>
          <w:lang w:val="ro-RO"/>
        </w:rPr>
      </w:pPr>
      <w:r w:rsidRPr="001C3B31">
        <w:rPr>
          <w:lang w:val="ro-RO"/>
        </w:rPr>
        <w:t>La fel ca și în cazul eficacității, evaluarea eficienței PPP-ului va fi realizată în baza rezultatelor obținute de GAL-urile deja create în Republica Moldova, iar analiza istoricului și evaluarea capacității administrative și financiare ale acestora va oferi materialul argumentativ pentru o înțelegere mai corect</w:t>
      </w:r>
      <w:r>
        <w:rPr>
          <w:lang w:val="ro-RO"/>
        </w:rPr>
        <w:t>ă</w:t>
      </w:r>
      <w:r w:rsidRPr="001C3B31">
        <w:rPr>
          <w:lang w:val="ro-RO"/>
        </w:rPr>
        <w:t xml:space="preserve"> a capac</w:t>
      </w:r>
      <w:r>
        <w:rPr>
          <w:lang w:val="ro-RO"/>
        </w:rPr>
        <w:t>ității GAL-urilor de organizare</w:t>
      </w:r>
      <w:r w:rsidRPr="001C3B31">
        <w:rPr>
          <w:lang w:val="ro-RO"/>
        </w:rPr>
        <w:t xml:space="preserve"> administrativă eficientă, dar și a sustenabilității, inclusiv financiare.  </w:t>
      </w:r>
    </w:p>
    <w:p w:rsidR="004B3372" w:rsidRPr="001C3B31" w:rsidRDefault="004B3372" w:rsidP="004B3372">
      <w:pPr>
        <w:rPr>
          <w:lang w:val="ro-RO"/>
        </w:rPr>
      </w:pPr>
      <w:r w:rsidRPr="001C3B31">
        <w:rPr>
          <w:lang w:val="ro-RO"/>
        </w:rPr>
        <w:t xml:space="preserve">Implementarea abordării LEADER și implicit formarea GAL-urilor a început în Republica Moldova în anul 2015. Procesul </w:t>
      </w:r>
      <w:r>
        <w:rPr>
          <w:lang w:val="ro-RO"/>
        </w:rPr>
        <w:t>menționat</w:t>
      </w:r>
      <w:r w:rsidRPr="001C3B31">
        <w:rPr>
          <w:lang w:val="ro-RO"/>
        </w:rPr>
        <w:t xml:space="preserve"> a fost susținut de un șir larg de parteneri externi</w:t>
      </w:r>
      <w:r>
        <w:rPr>
          <w:lang w:val="ro-RO"/>
        </w:rPr>
        <w:t>,</w:t>
      </w:r>
      <w:r w:rsidRPr="001C3B31">
        <w:rPr>
          <w:lang w:val="ro-RO"/>
        </w:rPr>
        <w:t xml:space="preserve"> printre care Uniunea Europeană, Polonia, USAID, Elveția, Marea Britanie, Estonia, România, Republica Cehă. Din cauza spectrului larg de parteneri implicați în procesul de formare și dezvoltare a GAL-urilor, acestea diferă din punct de vedere a</w:t>
      </w:r>
      <w:r>
        <w:rPr>
          <w:lang w:val="ro-RO"/>
        </w:rPr>
        <w:t>l</w:t>
      </w:r>
      <w:r w:rsidRPr="001C3B31">
        <w:rPr>
          <w:lang w:val="ro-RO"/>
        </w:rPr>
        <w:t xml:space="preserve"> dezvoltării, capacității organizatorice sau rezultatelor atinse. Cu toate acestea, structura și etapele de organizare ale GAL-urilor sunt identice pentru toate entitățile, indiferent de regiune și partenerul extern care a facilitat dezvoltarea acestora. La moment Rețeaua Națională LEADER</w:t>
      </w:r>
      <w:r>
        <w:rPr>
          <w:lang w:val="ro-RO"/>
        </w:rPr>
        <w:t>,</w:t>
      </w:r>
      <w:r w:rsidRPr="001C3B31">
        <w:rPr>
          <w:lang w:val="ro-RO"/>
        </w:rPr>
        <w:t xml:space="preserve"> cu sprijin</w:t>
      </w:r>
      <w:r>
        <w:rPr>
          <w:lang w:val="ro-RO"/>
        </w:rPr>
        <w:t>ul</w:t>
      </w:r>
      <w:r w:rsidRPr="001C3B31">
        <w:rPr>
          <w:lang w:val="ro-RO"/>
        </w:rPr>
        <w:t xml:space="preserve"> partenerilor de dezvoltare</w:t>
      </w:r>
      <w:r>
        <w:rPr>
          <w:lang w:val="ro-RO"/>
        </w:rPr>
        <w:t>,</w:t>
      </w:r>
      <w:r w:rsidRPr="001C3B31">
        <w:rPr>
          <w:lang w:val="ro-RO"/>
        </w:rPr>
        <w:t xml:space="preserve"> întreprinde</w:t>
      </w:r>
      <w:r>
        <w:rPr>
          <w:lang w:val="ro-RO"/>
        </w:rPr>
        <w:t xml:space="preserve"> eforturi</w:t>
      </w:r>
      <w:r w:rsidRPr="001C3B31">
        <w:rPr>
          <w:lang w:val="ro-RO"/>
        </w:rPr>
        <w:t xml:space="preserve"> pentru uniformizarea GAL-urilor și dezvoltarea acestora din punct de vedere instituțional. </w:t>
      </w:r>
    </w:p>
    <w:p w:rsidR="004B3372" w:rsidRPr="001C3B31" w:rsidRDefault="004B3372" w:rsidP="004B3372">
      <w:pPr>
        <w:rPr>
          <w:lang w:val="ro-RO"/>
        </w:rPr>
      </w:pPr>
      <w:r w:rsidRPr="001C3B31">
        <w:rPr>
          <w:lang w:val="ro-RO"/>
        </w:rPr>
        <w:t>Din punct de vedere juridic, Grupurile de Acțiune Locală nu sunt înregistrate ca persoane juridice din cauza limitărilor cadrului juridic din Republica Moldova, și anume: entitatea reprezintă un parteneriat intersectorial (cu participarea reprezentanților sectorului public, antreprenorial și civic), iar le</w:t>
      </w:r>
      <w:r>
        <w:rPr>
          <w:lang w:val="ro-RO"/>
        </w:rPr>
        <w:t>gislația în vigoare nu permite autorităților publice l</w:t>
      </w:r>
      <w:r w:rsidRPr="001C3B31">
        <w:rPr>
          <w:lang w:val="ro-RO"/>
        </w:rPr>
        <w:t xml:space="preserve">ocale să devină membru fondator al unor asemenea parteneriate (Legea  Nr. 837 din 17.05.1996 cu privire la asociațiile obștești). </w:t>
      </w:r>
    </w:p>
    <w:p w:rsidR="004B3372" w:rsidRPr="004C63A9" w:rsidRDefault="004B3372" w:rsidP="004B3372">
      <w:pPr>
        <w:rPr>
          <w:b/>
          <w:u w:val="single"/>
          <w:lang w:val="ro-RO"/>
        </w:rPr>
      </w:pPr>
      <w:r w:rsidRPr="001C3B31">
        <w:rPr>
          <w:lang w:val="ro-RO"/>
        </w:rPr>
        <w:t>În cadrul analizei desfășurate în contextul evaluării s-a constat, că pentru a asigura funcționarea în lipsa  cadrului legislativ și a celui normativ, GAL-urile aplică una</w:t>
      </w:r>
      <w:r>
        <w:rPr>
          <w:lang w:val="ro-RO"/>
        </w:rPr>
        <w:t xml:space="preserve"> din cele 2 practici existente - </w:t>
      </w:r>
      <w:r w:rsidRPr="004C63A9">
        <w:rPr>
          <w:b/>
          <w:u w:val="single"/>
          <w:lang w:val="ro-RO"/>
        </w:rPr>
        <w:t>constituirea GAL-</w:t>
      </w:r>
      <w:r w:rsidRPr="004C63A9">
        <w:rPr>
          <w:b/>
          <w:u w:val="single"/>
          <w:lang w:val="ro-RO"/>
        </w:rPr>
        <w:lastRenderedPageBreak/>
        <w:t>ului fără entitate juridică separată și transferarea statutului oficial către o asociație obștească parteneră</w:t>
      </w:r>
      <w:r>
        <w:rPr>
          <w:b/>
          <w:u w:val="single"/>
          <w:lang w:val="ro-RO"/>
        </w:rPr>
        <w:t>.</w:t>
      </w:r>
    </w:p>
    <w:p w:rsidR="004B3372" w:rsidRPr="001C3B31" w:rsidRDefault="004B3372" w:rsidP="004B3372">
      <w:pPr>
        <w:rPr>
          <w:lang w:val="ro-RO"/>
        </w:rPr>
      </w:pPr>
      <w:r w:rsidRPr="001C3B31">
        <w:rPr>
          <w:lang w:val="ro-RO"/>
        </w:rPr>
        <w:t>Acest scenariu nu prevede crearea unei entități juridice separate a GAL-ului. Mai mult de</w:t>
      </w:r>
      <w:r>
        <w:rPr>
          <w:lang w:val="ro-RO"/>
        </w:rPr>
        <w:t>cât</w:t>
      </w:r>
      <w:r w:rsidRPr="001C3B31">
        <w:rPr>
          <w:lang w:val="ro-RO"/>
        </w:rPr>
        <w:t xml:space="preserve"> atât, GAL-ul are doar statut neformal, deciziile consiliului de administrare a acestuia nepurtând careva efecte juridice. </w:t>
      </w:r>
    </w:p>
    <w:p w:rsidR="004B3372" w:rsidRPr="001C3B31" w:rsidRDefault="004B3372" w:rsidP="004B3372">
      <w:pPr>
        <w:rPr>
          <w:lang w:val="ro-RO"/>
        </w:rPr>
      </w:pPr>
      <w:r w:rsidRPr="001C3B31">
        <w:rPr>
          <w:lang w:val="ro-RO"/>
        </w:rPr>
        <w:t>Totodată, pentru a putea atrage fonduri, implementa proiecte, efectua transferuri bănești, monitoriza și evalua implementarea proiectelor, GAL-urile transferă atribuț</w:t>
      </w:r>
      <w:r>
        <w:rPr>
          <w:lang w:val="ro-RO"/>
        </w:rPr>
        <w:t>iile sale administrative unei asociații o</w:t>
      </w:r>
      <w:r w:rsidRPr="001C3B31">
        <w:rPr>
          <w:lang w:val="ro-RO"/>
        </w:rPr>
        <w:t xml:space="preserve">bștești formal înregistrate, care este responsabilă de îndeplinirea tuturor atribuțiilor administrative. </w:t>
      </w:r>
    </w:p>
    <w:p w:rsidR="004B3372" w:rsidRPr="001C3B31" w:rsidRDefault="004B3372" w:rsidP="004B3372">
      <w:pPr>
        <w:rPr>
          <w:lang w:val="ro-RO"/>
        </w:rPr>
      </w:pPr>
      <w:r w:rsidRPr="001C3B31">
        <w:rPr>
          <w:lang w:val="ro-RO"/>
        </w:rPr>
        <w:t>Din punct de vedere administrativ</w:t>
      </w:r>
      <w:r>
        <w:rPr>
          <w:lang w:val="ro-RO"/>
        </w:rPr>
        <w:t>,</w:t>
      </w:r>
      <w:r w:rsidRPr="001C3B31">
        <w:rPr>
          <w:lang w:val="ro-RO"/>
        </w:rPr>
        <w:t xml:space="preserve"> structura GAL-ului poate fi separată în două tipuri de organe și anume: i) organele colegiale de conducere și ii) organele administrative. </w:t>
      </w:r>
    </w:p>
    <w:p w:rsidR="004B3372" w:rsidRPr="001C3B31" w:rsidRDefault="004B3372" w:rsidP="004B3372">
      <w:pPr>
        <w:rPr>
          <w:lang w:val="ro-RO"/>
        </w:rPr>
      </w:pPr>
      <w:r w:rsidRPr="001C3B31">
        <w:rPr>
          <w:lang w:val="ro-RO"/>
        </w:rPr>
        <w:t>Organele colegiale de conducere sunt formate din membrii GAL-ului și activează pe bază de voluntariat. Organele colegiale de conducere îndeplinesc sarcinile de reprezentare a GAL-ului în raport cu alte entități din țară sau străinătate, constituie comisiile de evaluare a pro</w:t>
      </w:r>
      <w:r>
        <w:rPr>
          <w:lang w:val="ro-RO"/>
        </w:rPr>
        <w:t>iectelor, evaluează aplicațiile</w:t>
      </w:r>
      <w:r w:rsidRPr="001C3B31">
        <w:rPr>
          <w:lang w:val="ro-RO"/>
        </w:rPr>
        <w:t xml:space="preserve"> potențialilor beneficiari, etc. </w:t>
      </w:r>
    </w:p>
    <w:p w:rsidR="004B3372" w:rsidRPr="001C3B31" w:rsidRDefault="004B3372" w:rsidP="004B3372">
      <w:pPr>
        <w:rPr>
          <w:lang w:val="ro-RO"/>
        </w:rPr>
      </w:pPr>
      <w:r>
        <w:rPr>
          <w:lang w:val="ro-RO"/>
        </w:rPr>
        <w:t>La rândul său o</w:t>
      </w:r>
      <w:r w:rsidRPr="001C3B31">
        <w:rPr>
          <w:lang w:val="ro-RO"/>
        </w:rPr>
        <w:t>rganele administrative sunt responsabile de toate aspectele tehnice ale activității GAL-ului și</w:t>
      </w:r>
      <w:r>
        <w:rPr>
          <w:lang w:val="ro-RO"/>
        </w:rPr>
        <w:t>,</w:t>
      </w:r>
      <w:r w:rsidRPr="001C3B31">
        <w:rPr>
          <w:lang w:val="ro-RO"/>
        </w:rPr>
        <w:t xml:space="preserve"> în special</w:t>
      </w:r>
      <w:r>
        <w:rPr>
          <w:lang w:val="ro-RO"/>
        </w:rPr>
        <w:t>,</w:t>
      </w:r>
      <w:r w:rsidRPr="001C3B31">
        <w:rPr>
          <w:lang w:val="ro-RO"/>
        </w:rPr>
        <w:t xml:space="preserve"> sunt responsabile de monitorizarea implementării proiectelor finanțate de GAL, coordonarea activităților beneficiarilor, colectarea actelor relevante proiectelor, verificarea corectitudinii întocmirii tuturor actelor aferente proiectului, oferirea asistenței tehnice beneficiarilor în implementarea proiectului, etc. Organele administrative sunt formate din profesioniști salarizați care se supun Consiliului de Administrare al GAL-ului. </w:t>
      </w:r>
    </w:p>
    <w:p w:rsidR="004B3372" w:rsidRPr="001C3B31" w:rsidRDefault="004B3372" w:rsidP="004B3372">
      <w:pPr>
        <w:rPr>
          <w:lang w:val="ro-RO"/>
        </w:rPr>
      </w:pPr>
      <w:r w:rsidRPr="001C3B31">
        <w:rPr>
          <w:lang w:val="ro-RO"/>
        </w:rPr>
        <w:t>Atât în cadrul discuțiilor în grup, cât și în urma intervievării reprezentanților GAL-urilor s-a constatat</w:t>
      </w:r>
      <w:r>
        <w:rPr>
          <w:lang w:val="ro-RO"/>
        </w:rPr>
        <w:t xml:space="preserve">, </w:t>
      </w:r>
      <w:r w:rsidRPr="001C3B31">
        <w:rPr>
          <w:lang w:val="ro-RO"/>
        </w:rPr>
        <w:t xml:space="preserve">că în cadrul GAL-urilor constituite în Republica Moldova numărul mediu de personal în organul administrativ al GAL-ului este 2-3 persoane care activează în regim part-time și care este format din 2 manageri și 1 contabil. </w:t>
      </w:r>
    </w:p>
    <w:p w:rsidR="004B3372" w:rsidRPr="001C3B31" w:rsidRDefault="004B3372" w:rsidP="004B3372">
      <w:pPr>
        <w:rPr>
          <w:lang w:val="ro-RO"/>
        </w:rPr>
      </w:pPr>
      <w:r w:rsidRPr="001C3B31">
        <w:rPr>
          <w:lang w:val="ro-RO"/>
        </w:rPr>
        <w:t>Deși, GAL-urile au parte de un personal administrativ redus, acest lucru nu reprezintă un impediment major în implementarea cu succes a proiectelor și în general în buna gestionare a activității GAL-ului. Mai mult de</w:t>
      </w:r>
      <w:r>
        <w:rPr>
          <w:lang w:val="ro-RO"/>
        </w:rPr>
        <w:t>cât</w:t>
      </w:r>
      <w:r w:rsidRPr="001C3B31">
        <w:rPr>
          <w:lang w:val="ro-RO"/>
        </w:rPr>
        <w:t xml:space="preserve"> atât</w:t>
      </w:r>
      <w:r>
        <w:rPr>
          <w:lang w:val="ro-RO"/>
        </w:rPr>
        <w:t>,</w:t>
      </w:r>
      <w:r w:rsidRPr="001C3B31">
        <w:rPr>
          <w:lang w:val="ro-RO"/>
        </w:rPr>
        <w:t xml:space="preserve"> aplicarea instrumentelor de evaluare </w:t>
      </w:r>
      <w:r>
        <w:rPr>
          <w:lang w:val="ro-RO"/>
        </w:rPr>
        <w:t>demonstrează</w:t>
      </w:r>
      <w:r w:rsidRPr="001C3B31">
        <w:rPr>
          <w:lang w:val="ro-RO"/>
        </w:rPr>
        <w:t xml:space="preserve"> că majoritatea covârșitoare (75%) a respo</w:t>
      </w:r>
      <w:r>
        <w:rPr>
          <w:lang w:val="ro-RO"/>
        </w:rPr>
        <w:t>ndenților din cadrul GAL-urilor</w:t>
      </w:r>
      <w:r w:rsidRPr="001C3B31">
        <w:rPr>
          <w:lang w:val="ro-RO"/>
        </w:rPr>
        <w:t xml:space="preserve"> sunt de părere că numărul optim de personal administrativ pentru o bună gestionare a GAL-ului este de 2-5 persoane. </w:t>
      </w:r>
    </w:p>
    <w:p w:rsidR="004B3372" w:rsidRPr="001C3B31" w:rsidRDefault="004B3372" w:rsidP="004B3372">
      <w:pPr>
        <w:rPr>
          <w:lang w:val="ro-RO"/>
        </w:rPr>
      </w:pPr>
      <w:r w:rsidRPr="001C3B31">
        <w:rPr>
          <w:lang w:val="ro-RO"/>
        </w:rPr>
        <w:t xml:space="preserve">Cu toate acestea, GAL-urile continuă să ducă </w:t>
      </w:r>
      <w:r>
        <w:rPr>
          <w:lang w:val="ro-RO"/>
        </w:rPr>
        <w:t>lipsă</w:t>
      </w:r>
      <w:r w:rsidRPr="001C3B31">
        <w:rPr>
          <w:lang w:val="ro-RO"/>
        </w:rPr>
        <w:t xml:space="preserve"> de personal calificat, prezența căruia ar facilita buna organizare a activităților, dar și ar crește potențialul de </w:t>
      </w:r>
      <w:r>
        <w:rPr>
          <w:lang w:val="ro-RO"/>
        </w:rPr>
        <w:t>muncă</w:t>
      </w:r>
      <w:r w:rsidRPr="001C3B31">
        <w:rPr>
          <w:lang w:val="ro-RO"/>
        </w:rPr>
        <w:t>. Chestionarea membrilor GAL-urilor denotă necesitatea</w:t>
      </w:r>
      <w:r>
        <w:rPr>
          <w:lang w:val="ro-RO"/>
        </w:rPr>
        <w:t>,</w:t>
      </w:r>
      <w:r w:rsidRPr="001C3B31">
        <w:rPr>
          <w:lang w:val="ro-RO"/>
        </w:rPr>
        <w:t xml:space="preserve"> în special</w:t>
      </w:r>
      <w:r>
        <w:rPr>
          <w:lang w:val="ro-RO"/>
        </w:rPr>
        <w:t>,</w:t>
      </w:r>
      <w:r w:rsidRPr="001C3B31">
        <w:rPr>
          <w:lang w:val="ro-RO"/>
        </w:rPr>
        <w:t xml:space="preserve"> în juriști calificați, precum și specialiști în domeniul atragerii investițiilor. O astfel de abordare denotă un nivel </w:t>
      </w:r>
      <w:r>
        <w:rPr>
          <w:lang w:val="ro-RO"/>
        </w:rPr>
        <w:t>sporit</w:t>
      </w:r>
      <w:r w:rsidRPr="001C3B31">
        <w:rPr>
          <w:lang w:val="ro-RO"/>
        </w:rPr>
        <w:t xml:space="preserve"> de dezvoltare al GAL-ului, </w:t>
      </w:r>
      <w:r w:rsidRPr="00E40F91">
        <w:rPr>
          <w:lang w:val="ro-RO"/>
        </w:rPr>
        <w:t>care implement</w:t>
      </w:r>
      <w:r>
        <w:rPr>
          <w:lang w:val="ro-RO"/>
        </w:rPr>
        <w:t>e</w:t>
      </w:r>
      <w:r w:rsidRPr="00E40F91">
        <w:rPr>
          <w:lang w:val="ro-RO"/>
        </w:rPr>
        <w:t>a</w:t>
      </w:r>
      <w:r>
        <w:rPr>
          <w:lang w:val="ro-RO"/>
        </w:rPr>
        <w:t xml:space="preserve">ză proiecte </w:t>
      </w:r>
      <w:r w:rsidRPr="00E40F91">
        <w:rPr>
          <w:lang w:val="ro-RO"/>
        </w:rPr>
        <w:t>cu suport extern</w:t>
      </w:r>
      <w:r>
        <w:rPr>
          <w:lang w:val="ro-RO"/>
        </w:rPr>
        <w:t xml:space="preserve">, fiind </w:t>
      </w:r>
      <w:r w:rsidRPr="00E40F91">
        <w:rPr>
          <w:lang w:val="ro-RO"/>
        </w:rPr>
        <w:t>drept unica modalitate de contribuție la dezvoltarea microregiunii.</w:t>
      </w:r>
      <w:r w:rsidRPr="001C3B31">
        <w:rPr>
          <w:lang w:val="ro-RO"/>
        </w:rPr>
        <w:t xml:space="preserve"> </w:t>
      </w:r>
    </w:p>
    <w:p w:rsidR="004B3372" w:rsidRPr="001C3B31" w:rsidRDefault="004B3372" w:rsidP="004B3372">
      <w:pPr>
        <w:spacing w:after="0"/>
        <w:rPr>
          <w:lang w:val="ro-RO"/>
        </w:rPr>
      </w:pPr>
      <w:r w:rsidRPr="001C3B31">
        <w:rPr>
          <w:lang w:val="ro-RO"/>
        </w:rPr>
        <w:t xml:space="preserve">Un alt element esențial pentru buna organizare a activității GAL-urilor îl reprezintă implicarea financiară a </w:t>
      </w:r>
      <w:r>
        <w:rPr>
          <w:lang w:val="ro-RO"/>
        </w:rPr>
        <w:t>beneficiarilor și asigurarea co</w:t>
      </w:r>
      <w:r w:rsidRPr="001C3B31">
        <w:rPr>
          <w:lang w:val="ro-RO"/>
        </w:rPr>
        <w:t xml:space="preserve">finanțării proiectelor implementate. Analiza a 100 de proiecte implementate în cadrul a 16 GAL-uri pe parcursul anului 2019 denotă un grad sporit de implicare a beneficiarilor și o capacitate înaltă financiară de contribuție la implementarea proiectelor, finanțate prin intermediul GAL-urilor. </w:t>
      </w:r>
    </w:p>
    <w:p w:rsidR="004B3372" w:rsidRPr="001C3B31" w:rsidRDefault="004B3372" w:rsidP="004B3372">
      <w:pPr>
        <w:spacing w:after="0"/>
        <w:rPr>
          <w:lang w:val="ro-RO"/>
        </w:rPr>
      </w:pPr>
      <w:r w:rsidRPr="001C3B31">
        <w:rPr>
          <w:lang w:val="ro-RO"/>
        </w:rPr>
        <w:t>Astfel, media cofinanțării pentru cele 100 de proiecte a ajuns la cota de 49.6</w:t>
      </w:r>
      <w:r>
        <w:rPr>
          <w:lang w:val="ro-RO"/>
        </w:rPr>
        <w:t xml:space="preserve"> </w:t>
      </w:r>
      <w:r w:rsidRPr="001C3B31">
        <w:rPr>
          <w:lang w:val="ro-RO"/>
        </w:rPr>
        <w:t>%, în condițiile în care contribuția obligatorie a beneficiarilor este de doar 30</w:t>
      </w:r>
      <w:r>
        <w:rPr>
          <w:lang w:val="ro-RO"/>
        </w:rPr>
        <w:t xml:space="preserve"> </w:t>
      </w:r>
      <w:r w:rsidRPr="001C3B31">
        <w:rPr>
          <w:lang w:val="ro-RO"/>
        </w:rPr>
        <w:t xml:space="preserve">%. </w:t>
      </w:r>
    </w:p>
    <w:p w:rsidR="004B3372" w:rsidRPr="001C3B31" w:rsidRDefault="004B3372" w:rsidP="004B3372">
      <w:pPr>
        <w:rPr>
          <w:lang w:val="ro-RO"/>
        </w:rPr>
      </w:pPr>
      <w:r w:rsidRPr="001C3B31">
        <w:rPr>
          <w:lang w:val="ro-RO"/>
        </w:rPr>
        <w:t>În același timp,  se constată că valorile cofinanțării diferă de la un Grup de Acțiune Locală la altul, existând cazuri în care rata cofinanțării a fost cu puțin peste limita minimă admisă (32.5%), dar și cazuri în care ponderea medie a cofinanțării per GAL depășea de 2 ori minimul admis (68.1</w:t>
      </w:r>
      <w:r>
        <w:rPr>
          <w:lang w:val="ro-RO"/>
        </w:rPr>
        <w:t xml:space="preserve"> </w:t>
      </w:r>
      <w:r w:rsidRPr="001C3B31">
        <w:rPr>
          <w:lang w:val="ro-RO"/>
        </w:rPr>
        <w:t>%). Totuși, în niciunul din cele 16 GAL-uri analizate nu au fost constatate cazuri  în care cofinanțarea să fie mai mică decât valoarea minimă admisă de 30</w:t>
      </w:r>
      <w:r>
        <w:rPr>
          <w:lang w:val="ro-RO"/>
        </w:rPr>
        <w:t xml:space="preserve"> </w:t>
      </w:r>
      <w:r w:rsidRPr="001C3B31">
        <w:rPr>
          <w:lang w:val="ro-RO"/>
        </w:rPr>
        <w:t>%. Mai mult de</w:t>
      </w:r>
      <w:r>
        <w:rPr>
          <w:lang w:val="ro-RO"/>
        </w:rPr>
        <w:t>cât</w:t>
      </w:r>
      <w:r w:rsidRPr="001C3B31">
        <w:rPr>
          <w:lang w:val="ro-RO"/>
        </w:rPr>
        <w:t xml:space="preserve"> atât</w:t>
      </w:r>
      <w:r>
        <w:rPr>
          <w:lang w:val="ro-RO"/>
        </w:rPr>
        <w:t xml:space="preserve">, </w:t>
      </w:r>
      <w:r w:rsidRPr="001C3B31">
        <w:rPr>
          <w:lang w:val="ro-RO"/>
        </w:rPr>
        <w:t xml:space="preserve">s-a constat că per total, la nivelul Programului FGM 2019, în cele 16 GAL-uri valoarea finanțării proiectelor din sursele Programului a fost mai mică decât valoarea totală a cofinanțării. </w:t>
      </w:r>
    </w:p>
    <w:p w:rsidR="004B3372" w:rsidRPr="001C3B31" w:rsidRDefault="004B3372" w:rsidP="004B3372">
      <w:pPr>
        <w:rPr>
          <w:lang w:val="ro-RO"/>
        </w:rPr>
      </w:pPr>
      <w:r w:rsidRPr="001C3B31">
        <w:rPr>
          <w:lang w:val="ro-RO"/>
        </w:rPr>
        <w:lastRenderedPageBreak/>
        <w:t>Analiză relevă faptul</w:t>
      </w:r>
      <w:r>
        <w:rPr>
          <w:lang w:val="ro-RO"/>
        </w:rPr>
        <w:t xml:space="preserve">, </w:t>
      </w:r>
      <w:r w:rsidRPr="001C3B31">
        <w:rPr>
          <w:lang w:val="ro-RO"/>
        </w:rPr>
        <w:t xml:space="preserve">că aplicarea metodelor participative în planificarea strategică și în prioritizarea </w:t>
      </w:r>
      <w:r>
        <w:rPr>
          <w:lang w:val="ro-RO"/>
        </w:rPr>
        <w:t>problemelor la nivel de regiune</w:t>
      </w:r>
      <w:r w:rsidRPr="001C3B31">
        <w:rPr>
          <w:lang w:val="ro-RO"/>
        </w:rPr>
        <w:t xml:space="preserve"> are un impact semnificativ asupra mobilizării financiare.</w:t>
      </w:r>
    </w:p>
    <w:p w:rsidR="004B3372" w:rsidRPr="001C3B31" w:rsidRDefault="004B3372" w:rsidP="004B3372">
      <w:pPr>
        <w:rPr>
          <w:lang w:val="ro-RO"/>
        </w:rPr>
      </w:pPr>
      <w:r w:rsidRPr="001C3B31">
        <w:rPr>
          <w:lang w:val="ro-RO"/>
        </w:rPr>
        <w:t>În ceea ce privește capacitatea de atrage</w:t>
      </w:r>
      <w:r>
        <w:rPr>
          <w:lang w:val="ro-RO"/>
        </w:rPr>
        <w:t>re a</w:t>
      </w:r>
      <w:r w:rsidRPr="001C3B31">
        <w:rPr>
          <w:lang w:val="ro-RO"/>
        </w:rPr>
        <w:t xml:space="preserve"> fonduri</w:t>
      </w:r>
      <w:r>
        <w:rPr>
          <w:lang w:val="ro-RO"/>
        </w:rPr>
        <w:t>lor</w:t>
      </w:r>
      <w:r w:rsidRPr="001C3B31">
        <w:rPr>
          <w:lang w:val="ro-RO"/>
        </w:rPr>
        <w:t>, a</w:t>
      </w:r>
      <w:r>
        <w:rPr>
          <w:lang w:val="ro-RO"/>
        </w:rPr>
        <w:t>naliza situației financiare a</w:t>
      </w:r>
      <w:r w:rsidRPr="001C3B31">
        <w:rPr>
          <w:lang w:val="ro-RO"/>
        </w:rPr>
        <w:t xml:space="preserve"> GAL-urilor</w:t>
      </w:r>
      <w:r>
        <w:rPr>
          <w:lang w:val="ro-RO"/>
        </w:rPr>
        <w:t xml:space="preserve"> demonstrează</w:t>
      </w:r>
      <w:r w:rsidRPr="001C3B31">
        <w:rPr>
          <w:lang w:val="ro-RO"/>
        </w:rPr>
        <w:t xml:space="preserve"> că în condițiile unei lipse de finanțare din surse bugetare, din cele 31 de GAL-uri existente, 26 au reușit să obțină finanțare din surse externe, cât și contribuții individuale, pentru implementarea proiectelor.</w:t>
      </w:r>
    </w:p>
    <w:p w:rsidR="004B3372" w:rsidRPr="001C3B31" w:rsidRDefault="004B3372" w:rsidP="004B3372">
      <w:pPr>
        <w:rPr>
          <w:lang w:val="ro-RO"/>
        </w:rPr>
      </w:pPr>
      <w:r w:rsidRPr="001C3B31">
        <w:rPr>
          <w:lang w:val="ro-RO"/>
        </w:rPr>
        <w:t>Finanțările obținute variază substanțial în materie de donator și experiența GAL-urilor în implementarea proiectelor, dar prezența acestora denotă credibilitatea ș</w:t>
      </w:r>
      <w:r>
        <w:rPr>
          <w:lang w:val="ro-RO"/>
        </w:rPr>
        <w:t>i funcționalitatea entităților</w:t>
      </w:r>
      <w:r w:rsidRPr="001C3B31">
        <w:rPr>
          <w:lang w:val="ro-RO"/>
        </w:rPr>
        <w:t xml:space="preserve">, cât și încrederea partenerilor de dezvoltare în aceste forme de cooperare și în eficiența mecanismelor </w:t>
      </w:r>
      <w:r>
        <w:rPr>
          <w:lang w:val="ro-RO"/>
        </w:rPr>
        <w:t>respective</w:t>
      </w:r>
      <w:r w:rsidRPr="001C3B31">
        <w:rPr>
          <w:lang w:val="ro-RO"/>
        </w:rPr>
        <w:t xml:space="preserve"> în adresarea dezvoltării rurale cât și abilitarea economică a populației din aceste zone. </w:t>
      </w:r>
    </w:p>
    <w:p w:rsidR="004B3372" w:rsidRPr="001C3B31" w:rsidRDefault="004B3372" w:rsidP="004B3372">
      <w:pPr>
        <w:pStyle w:val="Caption"/>
        <w:framePr w:wrap="around"/>
        <w:rPr>
          <w:lang w:val="ro-RO"/>
        </w:rPr>
      </w:pPr>
      <w:r w:rsidRPr="001C3B31">
        <w:rPr>
          <w:lang w:val="ro-RO"/>
        </w:rPr>
        <w:t>Tabelul 4. Finanțările obținute de gal-uri, după sursa de finanțare</w:t>
      </w:r>
    </w:p>
    <w:tbl>
      <w:tblPr>
        <w:tblStyle w:val="Civittatable"/>
        <w:tblW w:w="9380" w:type="dxa"/>
        <w:tblLook w:val="04A0" w:firstRow="1" w:lastRow="0" w:firstColumn="1" w:lastColumn="0" w:noHBand="0" w:noVBand="1"/>
      </w:tblPr>
      <w:tblGrid>
        <w:gridCol w:w="506"/>
        <w:gridCol w:w="2069"/>
        <w:gridCol w:w="1275"/>
        <w:gridCol w:w="1985"/>
        <w:gridCol w:w="3545"/>
      </w:tblGrid>
      <w:tr w:rsidR="004B3372" w:rsidRPr="001C3B31" w:rsidTr="00B50045">
        <w:trPr>
          <w:cnfStyle w:val="100000000000" w:firstRow="1" w:lastRow="0" w:firstColumn="0" w:lastColumn="0" w:oddVBand="0" w:evenVBand="0" w:oddHBand="0" w:evenHBand="0" w:firstRowFirstColumn="0" w:firstRowLastColumn="0" w:lastRowFirstColumn="0" w:lastRowLastColumn="0"/>
        </w:trPr>
        <w:tc>
          <w:tcPr>
            <w:tcW w:w="0" w:type="dxa"/>
          </w:tcPr>
          <w:p w:rsidR="004B3372" w:rsidRPr="001C3B31" w:rsidRDefault="004B3372" w:rsidP="00B50045">
            <w:pPr>
              <w:spacing w:after="60"/>
              <w:rPr>
                <w:lang w:val="ro-RO"/>
              </w:rPr>
            </w:pPr>
            <w:r w:rsidRPr="001C3B31">
              <w:rPr>
                <w:lang w:val="ro-RO"/>
              </w:rPr>
              <w:t>nr.</w:t>
            </w:r>
          </w:p>
        </w:tc>
        <w:tc>
          <w:tcPr>
            <w:tcW w:w="2069" w:type="dxa"/>
          </w:tcPr>
          <w:p w:rsidR="004B3372" w:rsidRPr="001C3B31" w:rsidRDefault="004B3372" w:rsidP="00B50045">
            <w:pPr>
              <w:spacing w:after="60"/>
              <w:rPr>
                <w:lang w:val="ro-RO"/>
              </w:rPr>
            </w:pPr>
            <w:r w:rsidRPr="001C3B31">
              <w:rPr>
                <w:lang w:val="ro-RO"/>
              </w:rPr>
              <w:t>Sursa de finanțare</w:t>
            </w:r>
          </w:p>
        </w:tc>
        <w:tc>
          <w:tcPr>
            <w:tcW w:w="1275" w:type="dxa"/>
          </w:tcPr>
          <w:p w:rsidR="004B3372" w:rsidRPr="001C3B31" w:rsidRDefault="004B3372" w:rsidP="00B50045">
            <w:pPr>
              <w:spacing w:after="60"/>
              <w:rPr>
                <w:lang w:val="ro-RO"/>
              </w:rPr>
            </w:pPr>
            <w:r w:rsidRPr="001C3B31">
              <w:rPr>
                <w:lang w:val="ro-RO"/>
              </w:rPr>
              <w:t>Număr de Beneficiari</w:t>
            </w:r>
          </w:p>
        </w:tc>
        <w:tc>
          <w:tcPr>
            <w:tcW w:w="1985" w:type="dxa"/>
          </w:tcPr>
          <w:p w:rsidR="004B3372" w:rsidRPr="001C3B31" w:rsidRDefault="004B3372" w:rsidP="00B50045">
            <w:pPr>
              <w:spacing w:after="60"/>
              <w:rPr>
                <w:lang w:val="ro-RO"/>
              </w:rPr>
            </w:pPr>
            <w:r w:rsidRPr="001C3B31">
              <w:rPr>
                <w:lang w:val="ro-RO"/>
              </w:rPr>
              <w:t>Valoarea finanțare per GAL</w:t>
            </w:r>
          </w:p>
        </w:tc>
        <w:tc>
          <w:tcPr>
            <w:tcW w:w="3544" w:type="dxa"/>
          </w:tcPr>
          <w:p w:rsidR="004B3372" w:rsidRPr="001C3B31" w:rsidRDefault="004B3372" w:rsidP="00B50045">
            <w:pPr>
              <w:spacing w:after="60"/>
              <w:rPr>
                <w:lang w:val="ro-RO"/>
              </w:rPr>
            </w:pPr>
            <w:r w:rsidRPr="001C3B31">
              <w:rPr>
                <w:lang w:val="ro-RO"/>
              </w:rPr>
              <w:t>Comentarii</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0" w:type="dxa"/>
          </w:tcPr>
          <w:p w:rsidR="004B3372" w:rsidRPr="001C3B31" w:rsidRDefault="004B3372" w:rsidP="00B50045">
            <w:pPr>
              <w:spacing w:after="60"/>
              <w:rPr>
                <w:lang w:val="ro-RO"/>
              </w:rPr>
            </w:pPr>
            <w:r w:rsidRPr="001C3B31">
              <w:rPr>
                <w:lang w:val="ro-RO"/>
              </w:rPr>
              <w:t>1</w:t>
            </w:r>
          </w:p>
        </w:tc>
        <w:tc>
          <w:tcPr>
            <w:tcW w:w="2069" w:type="dxa"/>
          </w:tcPr>
          <w:p w:rsidR="004B3372" w:rsidRPr="001C3B31" w:rsidRDefault="004B3372" w:rsidP="00B50045">
            <w:pPr>
              <w:spacing w:after="60"/>
              <w:rPr>
                <w:lang w:val="ro-RO"/>
              </w:rPr>
            </w:pPr>
            <w:r w:rsidRPr="001C3B31">
              <w:rPr>
                <w:lang w:val="ro-RO"/>
              </w:rPr>
              <w:t>Polish Aid LEADER</w:t>
            </w:r>
          </w:p>
        </w:tc>
        <w:tc>
          <w:tcPr>
            <w:tcW w:w="1275" w:type="dxa"/>
          </w:tcPr>
          <w:p w:rsidR="004B3372" w:rsidRPr="001C3B31" w:rsidRDefault="004B3372" w:rsidP="00B50045">
            <w:pPr>
              <w:spacing w:after="60"/>
              <w:rPr>
                <w:lang w:val="ro-RO"/>
              </w:rPr>
            </w:pPr>
            <w:r w:rsidRPr="001C3B31">
              <w:rPr>
                <w:lang w:val="ro-RO"/>
              </w:rPr>
              <w:t>11</w:t>
            </w:r>
          </w:p>
        </w:tc>
        <w:tc>
          <w:tcPr>
            <w:tcW w:w="1985" w:type="dxa"/>
          </w:tcPr>
          <w:p w:rsidR="004B3372" w:rsidRPr="001C3B31" w:rsidRDefault="004B3372" w:rsidP="00B50045">
            <w:pPr>
              <w:spacing w:after="60"/>
              <w:rPr>
                <w:lang w:val="ro-RO"/>
              </w:rPr>
            </w:pPr>
            <w:r w:rsidRPr="001C3B31">
              <w:rPr>
                <w:lang w:val="ro-RO"/>
              </w:rPr>
              <w:t>30 mii EUR</w:t>
            </w:r>
          </w:p>
        </w:tc>
        <w:tc>
          <w:tcPr>
            <w:tcW w:w="3544" w:type="dxa"/>
          </w:tcPr>
          <w:p w:rsidR="004B3372" w:rsidRPr="001C3B31" w:rsidRDefault="004B3372" w:rsidP="00B50045">
            <w:pPr>
              <w:spacing w:after="60"/>
              <w:rPr>
                <w:lang w:val="ro-RO"/>
              </w:rPr>
            </w:pPr>
            <w:r w:rsidRPr="001C3B31">
              <w:rPr>
                <w:lang w:val="ro-RO"/>
              </w:rPr>
              <w:t xml:space="preserve">GAL-uri cu experiență de funcționare în anul 2018, cu proiecte finanțate, cu Strategie de Dezvoltare </w:t>
            </w:r>
            <w:r>
              <w:rPr>
                <w:lang w:val="ro-RO"/>
              </w:rPr>
              <w:t>Locală  a</w:t>
            </w:r>
            <w:r w:rsidRPr="001C3B31">
              <w:rPr>
                <w:lang w:val="ro-RO"/>
              </w:rPr>
              <w:t>probată</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0" w:type="dxa"/>
          </w:tcPr>
          <w:p w:rsidR="004B3372" w:rsidRPr="001C3B31" w:rsidRDefault="004B3372" w:rsidP="00B50045">
            <w:pPr>
              <w:spacing w:after="60"/>
              <w:rPr>
                <w:lang w:val="ro-RO"/>
              </w:rPr>
            </w:pPr>
            <w:r w:rsidRPr="001C3B31">
              <w:rPr>
                <w:lang w:val="ro-RO"/>
              </w:rPr>
              <w:t>2</w:t>
            </w:r>
          </w:p>
        </w:tc>
        <w:tc>
          <w:tcPr>
            <w:tcW w:w="2069" w:type="dxa"/>
          </w:tcPr>
          <w:p w:rsidR="004B3372" w:rsidRPr="001C3B31" w:rsidRDefault="004B3372" w:rsidP="00B50045">
            <w:pPr>
              <w:spacing w:after="60"/>
              <w:rPr>
                <w:lang w:val="ro-RO"/>
              </w:rPr>
            </w:pPr>
            <w:r w:rsidRPr="001C3B31">
              <w:rPr>
                <w:lang w:val="ro-RO"/>
              </w:rPr>
              <w:t>Polish Aid LEADER +</w:t>
            </w:r>
          </w:p>
        </w:tc>
        <w:tc>
          <w:tcPr>
            <w:tcW w:w="1275" w:type="dxa"/>
          </w:tcPr>
          <w:p w:rsidR="004B3372" w:rsidRPr="001C3B31" w:rsidRDefault="004B3372" w:rsidP="00B50045">
            <w:pPr>
              <w:spacing w:after="60"/>
              <w:rPr>
                <w:lang w:val="ro-RO"/>
              </w:rPr>
            </w:pPr>
            <w:r w:rsidRPr="001C3B31">
              <w:rPr>
                <w:lang w:val="ro-RO"/>
              </w:rPr>
              <w:t>7</w:t>
            </w:r>
          </w:p>
        </w:tc>
        <w:tc>
          <w:tcPr>
            <w:tcW w:w="1985" w:type="dxa"/>
          </w:tcPr>
          <w:p w:rsidR="004B3372" w:rsidRPr="001C3B31" w:rsidRDefault="004B3372" w:rsidP="00B50045">
            <w:pPr>
              <w:spacing w:after="60"/>
              <w:rPr>
                <w:lang w:val="ro-RO"/>
              </w:rPr>
            </w:pPr>
            <w:r w:rsidRPr="001C3B31">
              <w:rPr>
                <w:lang w:val="ro-RO"/>
              </w:rPr>
              <w:t>3 mii EUR</w:t>
            </w:r>
          </w:p>
        </w:tc>
        <w:tc>
          <w:tcPr>
            <w:tcW w:w="3544" w:type="dxa"/>
          </w:tcPr>
          <w:p w:rsidR="004B3372" w:rsidRPr="001C3B31" w:rsidRDefault="004B3372" w:rsidP="00B50045">
            <w:pPr>
              <w:spacing w:after="60"/>
              <w:rPr>
                <w:lang w:val="ro-RO"/>
              </w:rPr>
            </w:pPr>
            <w:r w:rsidRPr="001C3B31">
              <w:rPr>
                <w:lang w:val="ro-RO"/>
              </w:rPr>
              <w:t xml:space="preserve">GAL-uri fără experiență de funcționare, aflate în perioada de testare a procesului de luare a deciziilor – aprobarea SDL, implementare proiecte, etc. </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0" w:type="dxa"/>
          </w:tcPr>
          <w:p w:rsidR="004B3372" w:rsidRPr="001C3B31" w:rsidRDefault="004B3372" w:rsidP="00B50045">
            <w:pPr>
              <w:spacing w:after="60"/>
              <w:rPr>
                <w:lang w:val="ro-RO"/>
              </w:rPr>
            </w:pPr>
            <w:r w:rsidRPr="001C3B31">
              <w:rPr>
                <w:lang w:val="ro-RO"/>
              </w:rPr>
              <w:t>3</w:t>
            </w:r>
          </w:p>
        </w:tc>
        <w:tc>
          <w:tcPr>
            <w:tcW w:w="2069" w:type="dxa"/>
          </w:tcPr>
          <w:p w:rsidR="004B3372" w:rsidRPr="001C3B31" w:rsidRDefault="004B3372" w:rsidP="00B50045">
            <w:pPr>
              <w:spacing w:after="60"/>
              <w:rPr>
                <w:lang w:val="ro-RO"/>
              </w:rPr>
            </w:pPr>
            <w:r w:rsidRPr="001C3B31">
              <w:rPr>
                <w:lang w:val="ro-RO"/>
              </w:rPr>
              <w:t>USAID, Polish Aid</w:t>
            </w:r>
          </w:p>
        </w:tc>
        <w:tc>
          <w:tcPr>
            <w:tcW w:w="1275" w:type="dxa"/>
          </w:tcPr>
          <w:p w:rsidR="004B3372" w:rsidRPr="001C3B31" w:rsidRDefault="004B3372" w:rsidP="00B50045">
            <w:pPr>
              <w:spacing w:after="60"/>
              <w:rPr>
                <w:lang w:val="ro-RO"/>
              </w:rPr>
            </w:pPr>
            <w:r w:rsidRPr="001C3B31">
              <w:rPr>
                <w:lang w:val="ro-RO"/>
              </w:rPr>
              <w:t>8</w:t>
            </w:r>
          </w:p>
        </w:tc>
        <w:tc>
          <w:tcPr>
            <w:tcW w:w="1985" w:type="dxa"/>
          </w:tcPr>
          <w:p w:rsidR="004B3372" w:rsidRPr="001C3B31" w:rsidRDefault="004B3372" w:rsidP="00B50045">
            <w:pPr>
              <w:spacing w:after="60"/>
              <w:rPr>
                <w:lang w:val="ro-RO"/>
              </w:rPr>
            </w:pPr>
            <w:r w:rsidRPr="001C3B31">
              <w:rPr>
                <w:lang w:val="ro-RO"/>
              </w:rPr>
              <w:t>20 mii EUR</w:t>
            </w:r>
          </w:p>
        </w:tc>
        <w:tc>
          <w:tcPr>
            <w:tcW w:w="3544" w:type="dxa"/>
          </w:tcPr>
          <w:p w:rsidR="004B3372" w:rsidRPr="001C3B31" w:rsidRDefault="004B3372" w:rsidP="00B50045">
            <w:pPr>
              <w:spacing w:after="60"/>
              <w:rPr>
                <w:lang w:val="ro-RO"/>
              </w:rPr>
            </w:pPr>
            <w:r w:rsidRPr="001C3B31">
              <w:rPr>
                <w:lang w:val="ro-RO"/>
              </w:rPr>
              <w:t xml:space="preserve">GAL-uri noi înființate, fără experiență. </w:t>
            </w:r>
          </w:p>
        </w:tc>
      </w:tr>
    </w:tbl>
    <w:p w:rsidR="004B3372" w:rsidRPr="001C3B31" w:rsidRDefault="004B3372" w:rsidP="004B3372">
      <w:pPr>
        <w:pStyle w:val="Bottomcaption"/>
        <w:framePr w:wrap="around"/>
        <w:rPr>
          <w:lang w:val="ro-RO"/>
        </w:rPr>
      </w:pPr>
      <w:r w:rsidRPr="001C3B31">
        <w:rPr>
          <w:lang w:val="ro-RO"/>
        </w:rPr>
        <w:t>Sursa: Solidarity Fund PL</w:t>
      </w:r>
    </w:p>
    <w:p w:rsidR="004B3372" w:rsidRPr="001C3B31" w:rsidRDefault="004B3372" w:rsidP="004B3372">
      <w:pPr>
        <w:rPr>
          <w:lang w:val="ro-RO"/>
        </w:rPr>
      </w:pPr>
      <w:r w:rsidRPr="001C3B31">
        <w:rPr>
          <w:lang w:val="ro-RO"/>
        </w:rPr>
        <w:t xml:space="preserve">Deși în Republica Moldova nu există un program de finanțare din surse publice a GAL-urilor, iar unica oportunitate de finanțare reprezintă obținerea fondurilor din surse externe, se poate constata că majoritatea din cele 32 de GAL-uri din Republica Moldova au reușit să-și construiască o identitate la nivel local (de microregiune), au reușit să elaboreze Strategiile de Dezvoltare Locală și își desfășoară activitatea în scopul identificării surselor de finanțare pentru implementarea Strategiei. </w:t>
      </w:r>
    </w:p>
    <w:p w:rsidR="004B3372" w:rsidRPr="001C3B31" w:rsidRDefault="004B3372" w:rsidP="004B3372">
      <w:pPr>
        <w:rPr>
          <w:lang w:val="ro-RO"/>
        </w:rPr>
      </w:pPr>
      <w:r w:rsidRPr="001C3B31">
        <w:rPr>
          <w:lang w:val="ro-RO"/>
        </w:rPr>
        <w:t xml:space="preserve">Cu toate acestea, atât în cadrul discuțiilor în grup, cât și în cadrul interviurilor cu reprezentanții GAL-urilor problema majoră relevată de GAL-uri rămâne asigurarea sustenabilității financiare a Grupurilor. Pe lângă finanțarea proiectelor, GAL-ul necesită anumite resurse constante pentru administrarea propriu-zisă a GAL-ului. Majoritatea angajamentelor financiare existente nu acoperă decât parțial această necesitate și având în vedere disponibilitatea limitată a acestora, resursele în cea mai mare parte sunt direcționate spre implementarea intervențiilor incluse în strategii și nu în administrarea GAL-urilor, în pofida existenței deși activitatea operațională a Grupului impune anumite costuri. Acest aspect se impune a fi adresat în implementarea PPP-ului, pentru a asigura pârghiile în asigurarea sustenabilității funcționării entităților </w:t>
      </w:r>
      <w:r>
        <w:rPr>
          <w:lang w:val="ro-RO"/>
        </w:rPr>
        <w:t>respective</w:t>
      </w:r>
      <w:r w:rsidRPr="001C3B31">
        <w:rPr>
          <w:lang w:val="ro-RO"/>
        </w:rPr>
        <w:t xml:space="preserve">, precum și pentru a spori performanța acestora. </w:t>
      </w:r>
    </w:p>
    <w:p w:rsidR="004B3372" w:rsidRDefault="004B3372" w:rsidP="004B3372">
      <w:pPr>
        <w:rPr>
          <w:lang w:val="ro-RO"/>
        </w:rPr>
      </w:pPr>
      <w:r w:rsidRPr="001C3B31">
        <w:rPr>
          <w:lang w:val="ro-RO"/>
        </w:rPr>
        <w:t>În cadrul exercițiului de evaluare a fost analizată structura și procesele existente în cadrul unui GAL</w:t>
      </w:r>
      <w:r>
        <w:rPr>
          <w:lang w:val="ro-RO"/>
        </w:rPr>
        <w:t>,</w:t>
      </w:r>
      <w:r w:rsidRPr="001C3B31">
        <w:rPr>
          <w:lang w:val="ro-RO"/>
        </w:rPr>
        <w:t xml:space="preserve"> dar și evaluată percepția reprezentanților GAL în ceea ce privește modalitatea de administrare, disponibilitatea de personal, performanța structurii și perspective de dezvoltare. În acest context, bugetele estimate de GAL-uri pentru administrarea entității și pentru asigurarea proceselor operaționale constituie între </w:t>
      </w:r>
      <w:r>
        <w:rPr>
          <w:lang w:val="ro-RO"/>
        </w:rPr>
        <w:t xml:space="preserve">      </w:t>
      </w:r>
      <w:r w:rsidRPr="001C3B31">
        <w:rPr>
          <w:lang w:val="ro-RO"/>
        </w:rPr>
        <w:t>200 000 și 600 000 MDL</w:t>
      </w:r>
      <w:r>
        <w:rPr>
          <w:lang w:val="ro-RO"/>
        </w:rPr>
        <w:t xml:space="preserve">, </w:t>
      </w:r>
      <w:r w:rsidRPr="001C3B31">
        <w:rPr>
          <w:lang w:val="ro-RO"/>
        </w:rPr>
        <w:t xml:space="preserve">în </w:t>
      </w:r>
      <w:r>
        <w:rPr>
          <w:lang w:val="ro-RO"/>
        </w:rPr>
        <w:t xml:space="preserve">funcție </w:t>
      </w:r>
      <w:r w:rsidRPr="001C3B31">
        <w:rPr>
          <w:lang w:val="ro-RO"/>
        </w:rPr>
        <w:t>de mărimea GAL-ului, dar și a portofoliului de proiecte administrate, respectiv</w:t>
      </w:r>
      <w:r>
        <w:rPr>
          <w:lang w:val="ro-RO"/>
        </w:rPr>
        <w:t>,</w:t>
      </w:r>
      <w:r w:rsidRPr="001C3B31">
        <w:rPr>
          <w:lang w:val="ro-RO"/>
        </w:rPr>
        <w:t xml:space="preserve"> în eventualitatea alocării unei finanțări pentru implementarea strategiei, trebuie prevăzute mijloace alocate pentru partea administrativă, pe</w:t>
      </w:r>
      <w:r>
        <w:rPr>
          <w:lang w:val="ro-RO"/>
        </w:rPr>
        <w:t>ntru a asigura buna implementare</w:t>
      </w:r>
      <w:r w:rsidRPr="001C3B31">
        <w:rPr>
          <w:lang w:val="ro-RO"/>
        </w:rPr>
        <w:t xml:space="preserve"> și continuitate</w:t>
      </w:r>
      <w:r>
        <w:rPr>
          <w:lang w:val="ro-RO"/>
        </w:rPr>
        <w:t xml:space="preserve"> </w:t>
      </w:r>
      <w:r w:rsidRPr="001C3B31">
        <w:rPr>
          <w:lang w:val="ro-RO"/>
        </w:rPr>
        <w:t xml:space="preserve">a proiectelor respective. Având în vedere capacitatea diferită a GAL-urilor, este recomandată alocarea mijloacelor respective în </w:t>
      </w:r>
      <w:r>
        <w:rPr>
          <w:lang w:val="ro-RO"/>
        </w:rPr>
        <w:t>funcție</w:t>
      </w:r>
      <w:r w:rsidRPr="001C3B31">
        <w:rPr>
          <w:lang w:val="ro-RO"/>
        </w:rPr>
        <w:t xml:space="preserve"> de suma totală administrată. Estimând valoarea totală a proiectelor </w:t>
      </w:r>
      <w:r w:rsidRPr="001C3B31">
        <w:rPr>
          <w:lang w:val="ro-RO"/>
        </w:rPr>
        <w:lastRenderedPageBreak/>
        <w:t>incluse în Strategii și ponderea cheltuielilor administrative, ponderea acestora este de circa 15-20</w:t>
      </w:r>
      <w:r>
        <w:rPr>
          <w:lang w:val="ro-RO"/>
        </w:rPr>
        <w:t xml:space="preserve"> </w:t>
      </w:r>
      <w:r w:rsidRPr="001C3B31">
        <w:rPr>
          <w:lang w:val="ro-RO"/>
        </w:rPr>
        <w:t xml:space="preserve">%, formulă ce poate fi aplicată și în cazul implementării PPP. </w:t>
      </w:r>
    </w:p>
    <w:p w:rsidR="007F0A8B" w:rsidRPr="007F0A8B" w:rsidRDefault="007F0A8B" w:rsidP="004B3372">
      <w:pPr>
        <w:rPr>
          <w:b/>
          <w:color w:val="0070C0"/>
          <w:sz w:val="24"/>
          <w:szCs w:val="24"/>
          <w:lang w:val="ro-RO"/>
        </w:rPr>
      </w:pPr>
      <w:r w:rsidRPr="007F0A8B">
        <w:rPr>
          <w:b/>
          <w:color w:val="0070C0"/>
          <w:sz w:val="24"/>
          <w:szCs w:val="24"/>
          <w:lang w:val="ro-RO"/>
        </w:rPr>
        <w:t>CONCLUZII</w:t>
      </w:r>
    </w:p>
    <w:p w:rsidR="004B3372" w:rsidRPr="001C3B31" w:rsidRDefault="004B3372" w:rsidP="004B3372">
      <w:pPr>
        <w:pBdr>
          <w:top w:val="single" w:sz="4" w:space="1" w:color="auto"/>
          <w:left w:val="single" w:sz="4" w:space="4" w:color="auto"/>
          <w:bottom w:val="single" w:sz="4" w:space="1" w:color="auto"/>
          <w:right w:val="single" w:sz="4" w:space="4" w:color="auto"/>
        </w:pBdr>
        <w:spacing w:line="276" w:lineRule="auto"/>
        <w:rPr>
          <w:bCs/>
          <w:lang w:val="ro-RO"/>
        </w:rPr>
      </w:pPr>
      <w:r w:rsidRPr="001C3B31">
        <w:rPr>
          <w:b/>
          <w:lang w:val="ro-RO"/>
        </w:rPr>
        <w:t xml:space="preserve">C 6 : </w:t>
      </w:r>
      <w:r w:rsidRPr="001C3B31">
        <w:rPr>
          <w:bCs/>
          <w:lang w:val="ro-RO"/>
        </w:rPr>
        <w:t>Deși în Republica Moldova nu există un program de susținere a GAL-urilor din surse publice, iar finanțarea din surse externe este realizată doar în cadrul unor proiecte specifice, GAL-urile existente au reușit să-și construiască o identitate la nivel local și denotă capacitate deplină de acțiune în vederea implementării Strategiilor de Dezvoltare Locală</w:t>
      </w:r>
      <w:r>
        <w:rPr>
          <w:bCs/>
          <w:lang w:val="ro-RO"/>
        </w:rPr>
        <w:t>.</w:t>
      </w:r>
    </w:p>
    <w:p w:rsidR="004B3372" w:rsidRPr="001C3B31" w:rsidRDefault="004B3372" w:rsidP="004B3372">
      <w:pPr>
        <w:pBdr>
          <w:top w:val="single" w:sz="4" w:space="1" w:color="auto"/>
          <w:left w:val="single" w:sz="4" w:space="4" w:color="auto"/>
          <w:bottom w:val="single" w:sz="4" w:space="1" w:color="auto"/>
          <w:right w:val="single" w:sz="4" w:space="4" w:color="auto"/>
        </w:pBdr>
        <w:spacing w:line="276" w:lineRule="auto"/>
        <w:rPr>
          <w:bCs/>
          <w:lang w:val="ro-RO"/>
        </w:rPr>
      </w:pPr>
      <w:r w:rsidRPr="001C3B31">
        <w:rPr>
          <w:b/>
          <w:lang w:val="ro-RO"/>
        </w:rPr>
        <w:t>C 7:</w:t>
      </w:r>
      <w:r w:rsidRPr="001C3B31">
        <w:rPr>
          <w:bCs/>
          <w:lang w:val="ro-RO"/>
        </w:rPr>
        <w:t xml:space="preserve"> Principiul implementării proiectelor finanțate prin intermediul GAL-ur</w:t>
      </w:r>
      <w:r>
        <w:rPr>
          <w:bCs/>
          <w:lang w:val="ro-RO"/>
        </w:rPr>
        <w:t>i</w:t>
      </w:r>
      <w:r w:rsidRPr="001C3B31">
        <w:rPr>
          <w:bCs/>
          <w:lang w:val="ro-RO"/>
        </w:rPr>
        <w:t>lor este condiționat de cofinanțare</w:t>
      </w:r>
      <w:r>
        <w:rPr>
          <w:bCs/>
          <w:lang w:val="ro-RO"/>
        </w:rPr>
        <w:t>a</w:t>
      </w:r>
      <w:r w:rsidRPr="001C3B31">
        <w:rPr>
          <w:bCs/>
          <w:lang w:val="ro-RO"/>
        </w:rPr>
        <w:t xml:space="preserve"> proiectelor de către beneficiar, acest element reprezentând un important factor în vederea asigurării eficienței p</w:t>
      </w:r>
      <w:r>
        <w:rPr>
          <w:bCs/>
          <w:lang w:val="ro-RO"/>
        </w:rPr>
        <w:t xml:space="preserve">roiectelor. În acest sens </w:t>
      </w:r>
      <w:r w:rsidRPr="001C3B31">
        <w:rPr>
          <w:bCs/>
          <w:lang w:val="ro-RO"/>
        </w:rPr>
        <w:t>se constată că</w:t>
      </w:r>
      <w:r>
        <w:rPr>
          <w:bCs/>
          <w:lang w:val="ro-RO"/>
        </w:rPr>
        <w:t>,</w:t>
      </w:r>
      <w:r w:rsidRPr="001C3B31">
        <w:rPr>
          <w:bCs/>
          <w:lang w:val="ro-RO"/>
        </w:rPr>
        <w:t xml:space="preserve"> în cazul GAL-urilor existente, ponderea medie a cofinanțării este de peste 50</w:t>
      </w:r>
      <w:r>
        <w:rPr>
          <w:bCs/>
          <w:lang w:val="ro-RO"/>
        </w:rPr>
        <w:t xml:space="preserve"> </w:t>
      </w:r>
      <w:r w:rsidRPr="001C3B31">
        <w:rPr>
          <w:bCs/>
          <w:lang w:val="ro-RO"/>
        </w:rPr>
        <w:t>%, în condițiile în care minimul solicitat în acest sens este de doar 30</w:t>
      </w:r>
      <w:r>
        <w:rPr>
          <w:bCs/>
          <w:lang w:val="ro-RO"/>
        </w:rPr>
        <w:t xml:space="preserve"> </w:t>
      </w:r>
      <w:r w:rsidRPr="001C3B31">
        <w:rPr>
          <w:bCs/>
          <w:lang w:val="ro-RO"/>
        </w:rPr>
        <w:t xml:space="preserve">%. </w:t>
      </w:r>
    </w:p>
    <w:p w:rsidR="004B3372" w:rsidRPr="001C3B31" w:rsidRDefault="004B3372" w:rsidP="004B3372">
      <w:pPr>
        <w:pBdr>
          <w:top w:val="single" w:sz="4" w:space="1" w:color="auto"/>
          <w:left w:val="single" w:sz="4" w:space="4" w:color="auto"/>
          <w:bottom w:val="single" w:sz="4" w:space="1" w:color="auto"/>
          <w:right w:val="single" w:sz="4" w:space="4" w:color="auto"/>
        </w:pBdr>
        <w:spacing w:line="276" w:lineRule="auto"/>
        <w:rPr>
          <w:color w:val="000000" w:themeColor="text1"/>
          <w:lang w:val="ro-RO"/>
        </w:rPr>
      </w:pPr>
      <w:r w:rsidRPr="001C3B31">
        <w:rPr>
          <w:b/>
          <w:bCs/>
          <w:color w:val="000000" w:themeColor="text1"/>
          <w:lang w:val="ro-RO"/>
        </w:rPr>
        <w:t>C 8:</w:t>
      </w:r>
      <w:r w:rsidRPr="001C3B31">
        <w:rPr>
          <w:color w:val="000000" w:themeColor="text1"/>
          <w:lang w:val="ro-RO"/>
        </w:rPr>
        <w:t xml:space="preserve"> Analiza dimensiunii de eficiență a măsurii de intervenție denotă un grad înalt al probabilității atingerii rezultatelor preconizate prin resursele alocate din FNDAMR, astfel, în condițiile unei implementări corespunzătoare a resursele financiare alocate ar putea fi atinși indicatorii setați în planul de acțiuni al SNDAR. În același timp, procesul absorbției finanțării este condiționat de o serie de factori</w:t>
      </w:r>
      <w:r>
        <w:rPr>
          <w:color w:val="000000" w:themeColor="text1"/>
          <w:lang w:val="ro-RO"/>
        </w:rPr>
        <w:t>,</w:t>
      </w:r>
      <w:r w:rsidRPr="001C3B31">
        <w:rPr>
          <w:color w:val="000000" w:themeColor="text1"/>
          <w:lang w:val="ro-RO"/>
        </w:rPr>
        <w:t xml:space="preserve"> precum capacitatea GAL-urilor de a se organiza pentru implementarea proiectelor, dar și pentru a asigura buna administrare a tuturor proceselor conexe implementării proiectelor. </w:t>
      </w:r>
    </w:p>
    <w:p w:rsidR="004B3372" w:rsidRPr="001C3B31" w:rsidRDefault="004B3372" w:rsidP="004B3372">
      <w:pPr>
        <w:pBdr>
          <w:top w:val="single" w:sz="4" w:space="1" w:color="auto"/>
          <w:left w:val="single" w:sz="4" w:space="4" w:color="auto"/>
          <w:bottom w:val="single" w:sz="4" w:space="1" w:color="auto"/>
          <w:right w:val="single" w:sz="4" w:space="4" w:color="auto"/>
        </w:pBdr>
        <w:spacing w:line="276" w:lineRule="auto"/>
        <w:rPr>
          <w:lang w:val="ro-RO"/>
        </w:rPr>
      </w:pPr>
      <w:r w:rsidRPr="001C3B31">
        <w:rPr>
          <w:b/>
          <w:bCs/>
          <w:color w:val="000000" w:themeColor="text1"/>
          <w:lang w:val="ro-RO"/>
        </w:rPr>
        <w:t>C 9:</w:t>
      </w:r>
      <w:r w:rsidRPr="001C3B31">
        <w:rPr>
          <w:color w:val="000000" w:themeColor="text1"/>
          <w:lang w:val="ro-RO"/>
        </w:rPr>
        <w:t xml:space="preserve"> Analiza efectuată denotă suficiența de personal calificat pentru implementarea proiectelor la nivel local, totuși în cazul creșterii valorii finanțării</w:t>
      </w:r>
      <w:r>
        <w:rPr>
          <w:color w:val="000000" w:themeColor="text1"/>
          <w:lang w:val="ro-RO"/>
        </w:rPr>
        <w:t>,</w:t>
      </w:r>
      <w:r w:rsidRPr="001C3B31">
        <w:rPr>
          <w:color w:val="000000" w:themeColor="text1"/>
          <w:lang w:val="ro-RO"/>
        </w:rPr>
        <w:t xml:space="preserve"> dar și complexității proiectelor, se constată lipsa în unele regiuni, a profesioniștilor specializați în anumite domenii specifice precum marketing, proiectare, evaluare și monitorizare, etc.</w:t>
      </w:r>
    </w:p>
    <w:p w:rsidR="004B3372" w:rsidRPr="007F0A8B" w:rsidRDefault="004B3372" w:rsidP="004B3372">
      <w:pPr>
        <w:pStyle w:val="Heading2"/>
        <w:rPr>
          <w:b/>
          <w:color w:val="0070C0"/>
          <w:lang w:val="ro-RO"/>
        </w:rPr>
      </w:pPr>
      <w:bookmarkStart w:id="20" w:name="_Toc32964813"/>
      <w:r w:rsidRPr="007F0A8B">
        <w:rPr>
          <w:b/>
          <w:color w:val="0070C0"/>
          <w:lang w:val="ro-RO"/>
        </w:rPr>
        <w:t>Impactul Propunerii de politică Publică</w:t>
      </w:r>
      <w:bookmarkEnd w:id="20"/>
    </w:p>
    <w:p w:rsidR="004B3372" w:rsidRPr="001C3B31" w:rsidRDefault="004B3372" w:rsidP="004B3372">
      <w:pPr>
        <w:rPr>
          <w:lang w:val="ro-RO"/>
        </w:rPr>
      </w:pPr>
      <w:r w:rsidRPr="001C3B31">
        <w:rPr>
          <w:lang w:val="ro-RO"/>
        </w:rPr>
        <w:t>Pentru a evalua dimensiunea de impact a PPP</w:t>
      </w:r>
      <w:r>
        <w:rPr>
          <w:lang w:val="ro-RO"/>
        </w:rPr>
        <w:t>,</w:t>
      </w:r>
      <w:r w:rsidRPr="001C3B31">
        <w:rPr>
          <w:lang w:val="ro-RO"/>
        </w:rPr>
        <w:t xml:space="preserve"> analiza a ținut cont de complexitatea PPP care vizează multiple domenii vizate de intervențiile propuse și a structurat dimensiunea de impact pe domeniul juridic, social, economic, administrativ, fiscal și de mediu</w:t>
      </w:r>
      <w:r>
        <w:rPr>
          <w:lang w:val="ro-RO"/>
        </w:rPr>
        <w:t>.</w:t>
      </w:r>
    </w:p>
    <w:p w:rsidR="004B3372" w:rsidRPr="007F0A8B" w:rsidRDefault="004B3372" w:rsidP="004B3372">
      <w:pPr>
        <w:pStyle w:val="Heading3"/>
        <w:rPr>
          <w:color w:val="0070C0"/>
          <w:lang w:val="ro-RO"/>
        </w:rPr>
      </w:pPr>
      <w:bookmarkStart w:id="21" w:name="_Toc32964814"/>
      <w:r w:rsidRPr="007F0A8B">
        <w:rPr>
          <w:color w:val="0070C0"/>
          <w:lang w:val="ro-RO"/>
        </w:rPr>
        <w:t>Impactul Juridic</w:t>
      </w:r>
      <w:bookmarkEnd w:id="21"/>
    </w:p>
    <w:p w:rsidR="004B3372" w:rsidRPr="001C3B31" w:rsidRDefault="004B3372" w:rsidP="004B3372">
      <w:pPr>
        <w:rPr>
          <w:lang w:val="ro-RO"/>
        </w:rPr>
      </w:pPr>
      <w:r w:rsidRPr="001C3B31">
        <w:rPr>
          <w:lang w:val="ro-RO"/>
        </w:rPr>
        <w:t xml:space="preserve">Cadrul legislativ actual în Republica Moldova nu prevede forme ce permite înregistrarea GAL-urilor </w:t>
      </w:r>
      <w:r>
        <w:rPr>
          <w:lang w:val="ro-RO"/>
        </w:rPr>
        <w:t>drept</w:t>
      </w:r>
      <w:r w:rsidRPr="001C3B31">
        <w:rPr>
          <w:lang w:val="ro-RO"/>
        </w:rPr>
        <w:t xml:space="preserve"> entități autonome. Principalul impediment legal în acest sens reprezent</w:t>
      </w:r>
      <w:r>
        <w:rPr>
          <w:lang w:val="ro-RO"/>
        </w:rPr>
        <w:t>ă</w:t>
      </w:r>
      <w:r w:rsidRPr="001C3B31">
        <w:rPr>
          <w:lang w:val="ro-RO"/>
        </w:rPr>
        <w:t xml:space="preserve"> cadrul restrictiv stabilit prin Legea </w:t>
      </w:r>
      <w:r>
        <w:rPr>
          <w:lang w:val="ro-RO"/>
        </w:rPr>
        <w:t>nr. 837/1996 privind asociațiile obștești, care interzice a</w:t>
      </w:r>
      <w:r w:rsidRPr="001C3B31">
        <w:rPr>
          <w:lang w:val="ro-RO"/>
        </w:rPr>
        <w:t xml:space="preserve">utorităților </w:t>
      </w:r>
      <w:r>
        <w:rPr>
          <w:lang w:val="ro-RO"/>
        </w:rPr>
        <w:t>p</w:t>
      </w:r>
      <w:r w:rsidRPr="001C3B31">
        <w:rPr>
          <w:lang w:val="ro-RO"/>
        </w:rPr>
        <w:t xml:space="preserve">ublice </w:t>
      </w:r>
      <w:r>
        <w:rPr>
          <w:lang w:val="ro-RO"/>
        </w:rPr>
        <w:t>l</w:t>
      </w:r>
      <w:r w:rsidRPr="001C3B31">
        <w:rPr>
          <w:lang w:val="ro-RO"/>
        </w:rPr>
        <w:t xml:space="preserve">ocale să </w:t>
      </w:r>
      <w:r>
        <w:rPr>
          <w:lang w:val="ro-RO"/>
        </w:rPr>
        <w:t>dețină</w:t>
      </w:r>
      <w:r w:rsidRPr="001C3B31">
        <w:rPr>
          <w:lang w:val="ro-RO"/>
        </w:rPr>
        <w:t xml:space="preserve"> rolul de fondator sau membru al </w:t>
      </w:r>
      <w:r>
        <w:rPr>
          <w:lang w:val="ro-RO"/>
        </w:rPr>
        <w:t>a</w:t>
      </w:r>
      <w:r w:rsidRPr="001C3B31">
        <w:rPr>
          <w:lang w:val="ro-RO"/>
        </w:rPr>
        <w:t xml:space="preserve">sociațiilor </w:t>
      </w:r>
      <w:r>
        <w:rPr>
          <w:lang w:val="ro-RO"/>
        </w:rPr>
        <w:t>o</w:t>
      </w:r>
      <w:r w:rsidRPr="001C3B31">
        <w:rPr>
          <w:lang w:val="ro-RO"/>
        </w:rPr>
        <w:t>bștești, or GAL-urile</w:t>
      </w:r>
      <w:r>
        <w:rPr>
          <w:lang w:val="ro-RO"/>
        </w:rPr>
        <w:t>,</w:t>
      </w:r>
      <w:r w:rsidRPr="001C3B31">
        <w:rPr>
          <w:lang w:val="ro-RO"/>
        </w:rPr>
        <w:t xml:space="preserve"> ca formă organizatorică</w:t>
      </w:r>
      <w:r>
        <w:rPr>
          <w:lang w:val="ro-RO"/>
        </w:rPr>
        <w:t>, au statut de asociație n</w:t>
      </w:r>
      <w:r w:rsidRPr="001C3B31">
        <w:rPr>
          <w:lang w:val="ro-RO"/>
        </w:rPr>
        <w:t xml:space="preserve">ecomercială. </w:t>
      </w:r>
    </w:p>
    <w:p w:rsidR="004B3372" w:rsidRPr="001C3B31" w:rsidRDefault="004B3372" w:rsidP="004B3372">
      <w:pPr>
        <w:rPr>
          <w:lang w:val="ro-RO"/>
        </w:rPr>
      </w:pPr>
      <w:r w:rsidRPr="001C3B31">
        <w:rPr>
          <w:lang w:val="ro-RO"/>
        </w:rPr>
        <w:t>La etapa actuală, GAL-urile constituite pe teritoriul Republicii Moldova deleagă atribuțiile ad</w:t>
      </w:r>
      <w:r>
        <w:rPr>
          <w:lang w:val="ro-RO"/>
        </w:rPr>
        <w:t>ministrative ale GAL-ului unei asociații o</w:t>
      </w:r>
      <w:r w:rsidRPr="001C3B31">
        <w:rPr>
          <w:lang w:val="ro-RO"/>
        </w:rPr>
        <w:t>bștești deja existente</w:t>
      </w:r>
      <w:r>
        <w:rPr>
          <w:lang w:val="ro-RO"/>
        </w:rPr>
        <w:t>,</w:t>
      </w:r>
      <w:r w:rsidRPr="001C3B31">
        <w:rPr>
          <w:lang w:val="ro-RO"/>
        </w:rPr>
        <w:t xml:space="preserve"> în baza unui acord de colaborare, prin care sunt realizate acțiunile/programele de finanțare ale GAL-ului.</w:t>
      </w:r>
    </w:p>
    <w:p w:rsidR="004B3372" w:rsidRPr="001C3B31" w:rsidRDefault="004B3372" w:rsidP="004B3372">
      <w:pPr>
        <w:rPr>
          <w:lang w:val="ro-RO"/>
        </w:rPr>
      </w:pPr>
      <w:r w:rsidRPr="001C3B31">
        <w:rPr>
          <w:lang w:val="ro-RO"/>
        </w:rPr>
        <w:t>În acest sens, implementarea Programului LEADER în Republica Moldova</w:t>
      </w:r>
      <w:r>
        <w:rPr>
          <w:lang w:val="ro-RO"/>
        </w:rPr>
        <w:t>, drept</w:t>
      </w:r>
      <w:r w:rsidRPr="001C3B31">
        <w:rPr>
          <w:lang w:val="ro-RO"/>
        </w:rPr>
        <w:t xml:space="preserve"> măsură de subvenționar</w:t>
      </w:r>
      <w:r>
        <w:rPr>
          <w:lang w:val="ro-RO"/>
        </w:rPr>
        <w:t>e din sursele Fondului Național</w:t>
      </w:r>
      <w:r w:rsidRPr="001C3B31">
        <w:rPr>
          <w:lang w:val="ro-RO"/>
        </w:rPr>
        <w:t xml:space="preserve"> de Dezvoltare Agricolă </w:t>
      </w:r>
      <w:r>
        <w:rPr>
          <w:lang w:val="ro-RO"/>
        </w:rPr>
        <w:t>și Rurală</w:t>
      </w:r>
      <w:r w:rsidRPr="001C3B31">
        <w:rPr>
          <w:lang w:val="ro-RO"/>
        </w:rPr>
        <w:t xml:space="preserve">, implică un impact asupra cadrului juridic existent, </w:t>
      </w:r>
      <w:r>
        <w:rPr>
          <w:lang w:val="ro-RO"/>
        </w:rPr>
        <w:t>care</w:t>
      </w:r>
      <w:r w:rsidRPr="001C3B31">
        <w:rPr>
          <w:lang w:val="ro-RO"/>
        </w:rPr>
        <w:t xml:space="preserve"> variază </w:t>
      </w:r>
      <w:r>
        <w:rPr>
          <w:lang w:val="ro-RO"/>
        </w:rPr>
        <w:t xml:space="preserve">însă </w:t>
      </w:r>
      <w:r w:rsidRPr="001C3B31">
        <w:rPr>
          <w:lang w:val="ro-RO"/>
        </w:rPr>
        <w:t xml:space="preserve">în </w:t>
      </w:r>
      <w:r>
        <w:rPr>
          <w:lang w:val="ro-RO"/>
        </w:rPr>
        <w:t>funcție</w:t>
      </w:r>
      <w:r w:rsidRPr="001C3B31">
        <w:rPr>
          <w:lang w:val="ro-RO"/>
        </w:rPr>
        <w:t xml:space="preserve"> de alternativa selectată. </w:t>
      </w:r>
    </w:p>
    <w:p w:rsidR="004B3372" w:rsidRPr="00614BC1" w:rsidRDefault="004B3372" w:rsidP="004B3372">
      <w:pPr>
        <w:pStyle w:val="Focus"/>
        <w:rPr>
          <w:lang w:val="ro-RO"/>
        </w:rPr>
      </w:pPr>
      <w:r w:rsidRPr="00614BC1">
        <w:rPr>
          <w:lang w:val="ro-RO"/>
        </w:rPr>
        <w:t>Scenariul I: Status-quo</w:t>
      </w:r>
    </w:p>
    <w:p w:rsidR="004B3372" w:rsidRPr="001C3B31" w:rsidRDefault="004B3372" w:rsidP="004B3372">
      <w:pPr>
        <w:rPr>
          <w:b/>
          <w:bCs/>
          <w:color w:val="1F497D" w:themeColor="text2"/>
          <w:lang w:val="ro-RO"/>
        </w:rPr>
      </w:pPr>
      <w:r w:rsidRPr="001C3B31">
        <w:rPr>
          <w:b/>
          <w:bCs/>
          <w:color w:val="1F497D" w:themeColor="text2"/>
          <w:lang w:val="ro-RO"/>
        </w:rPr>
        <w:t xml:space="preserve">DESCRIEREA SCENARIULUI | </w:t>
      </w:r>
      <w:r w:rsidRPr="001C3B31">
        <w:rPr>
          <w:lang w:val="ro-RO"/>
        </w:rPr>
        <w:t xml:space="preserve">Scenariul Status-Quo presupune lipsa unor intervenții la cadrul legal existent și păstrarea situației curente în ceea ce privește modul de organizare a activității GAL-urilor. </w:t>
      </w:r>
    </w:p>
    <w:p w:rsidR="004B3372" w:rsidRPr="001C3B31" w:rsidRDefault="004B3372" w:rsidP="004B3372">
      <w:pPr>
        <w:rPr>
          <w:lang w:val="ro-RO"/>
        </w:rPr>
      </w:pPr>
      <w:r w:rsidRPr="001C3B31">
        <w:rPr>
          <w:lang w:val="ro-RO"/>
        </w:rPr>
        <w:lastRenderedPageBreak/>
        <w:t xml:space="preserve">În cazul implementării scenariului </w:t>
      </w:r>
      <w:r>
        <w:rPr>
          <w:lang w:val="ro-RO"/>
        </w:rPr>
        <w:t>respectiv</w:t>
      </w:r>
      <w:r w:rsidRPr="001C3B31">
        <w:rPr>
          <w:lang w:val="ro-RO"/>
        </w:rPr>
        <w:t xml:space="preserve"> și anume păstrarea situației curente, fără aplicarea schimbărilor necesare recunoașterii statutului entității la cadrul legislativ și/sau normativ</w:t>
      </w:r>
      <w:r>
        <w:rPr>
          <w:lang w:val="ro-RO"/>
        </w:rPr>
        <w:t>,</w:t>
      </w:r>
      <w:r w:rsidRPr="001C3B31">
        <w:rPr>
          <w:lang w:val="ro-RO"/>
        </w:rPr>
        <w:t xml:space="preserve"> activitatea Grupurilor de Acțiune Locală va avea  un șir de limitări de diferită natură</w:t>
      </w:r>
      <w:r>
        <w:rPr>
          <w:lang w:val="ro-RO"/>
        </w:rPr>
        <w:t>,</w:t>
      </w:r>
      <w:r w:rsidRPr="001C3B31">
        <w:rPr>
          <w:lang w:val="ro-RO"/>
        </w:rPr>
        <w:t xml:space="preserve"> ce afectează cadrul de implementa</w:t>
      </w:r>
      <w:r>
        <w:rPr>
          <w:lang w:val="ro-RO"/>
        </w:rPr>
        <w:t>rea a proiectelor, atragerea co</w:t>
      </w:r>
      <w:r w:rsidRPr="001C3B31">
        <w:rPr>
          <w:lang w:val="ro-RO"/>
        </w:rPr>
        <w:t>finanțării</w:t>
      </w:r>
      <w:r>
        <w:rPr>
          <w:lang w:val="ro-RO"/>
        </w:rPr>
        <w:t>,</w:t>
      </w:r>
      <w:r w:rsidRPr="001C3B31">
        <w:rPr>
          <w:lang w:val="ro-RO"/>
        </w:rPr>
        <w:t xml:space="preserve"> precum și a partenerilor.</w:t>
      </w:r>
    </w:p>
    <w:p w:rsidR="004B3372" w:rsidRPr="001C3B31" w:rsidRDefault="004B3372" w:rsidP="004B3372">
      <w:pPr>
        <w:rPr>
          <w:lang w:val="ro-RO"/>
        </w:rPr>
      </w:pPr>
      <w:r w:rsidRPr="001C3B31">
        <w:rPr>
          <w:lang w:val="ro-RO"/>
        </w:rPr>
        <w:t xml:space="preserve">În cazul aplicării scenariului </w:t>
      </w:r>
      <w:r>
        <w:rPr>
          <w:lang w:val="ro-RO"/>
        </w:rPr>
        <w:t>respectiv</w:t>
      </w:r>
      <w:r w:rsidRPr="001C3B31">
        <w:rPr>
          <w:lang w:val="ro-RO"/>
        </w:rPr>
        <w:t xml:space="preserve">, GAL-ul se poate constitui </w:t>
      </w:r>
      <w:r>
        <w:rPr>
          <w:lang w:val="ro-RO"/>
        </w:rPr>
        <w:t>drept</w:t>
      </w:r>
      <w:r w:rsidRPr="001C3B31">
        <w:rPr>
          <w:lang w:val="ro-RO"/>
        </w:rPr>
        <w:t xml:space="preserve"> entitate juridică doar aplicând o formulă prin care entitățile juridice</w:t>
      </w:r>
      <w:r>
        <w:rPr>
          <w:lang w:val="ro-RO"/>
        </w:rPr>
        <w:t>,</w:t>
      </w:r>
      <w:r w:rsidRPr="001C3B31">
        <w:rPr>
          <w:lang w:val="ro-RO"/>
        </w:rPr>
        <w:t xml:space="preserve"> precum APL sau agenți economici sunt reprezentați prin delegații săi.</w:t>
      </w:r>
    </w:p>
    <w:p w:rsidR="004B3372" w:rsidRPr="001C3B31" w:rsidRDefault="004B3372" w:rsidP="004B3372">
      <w:pPr>
        <w:rPr>
          <w:lang w:val="ro-RO"/>
        </w:rPr>
      </w:pPr>
      <w:r w:rsidRPr="001C3B31">
        <w:rPr>
          <w:lang w:val="ro-RO"/>
        </w:rPr>
        <w:t xml:space="preserve">În ceea ce privește etapele constituirii și formarea organelor executive ale GAL-ului, mecanismul este bine determinat și verificat în practică în </w:t>
      </w:r>
      <w:r>
        <w:rPr>
          <w:lang w:val="ro-RO"/>
        </w:rPr>
        <w:t>aproximativ</w:t>
      </w:r>
      <w:r w:rsidRPr="001C3B31">
        <w:rPr>
          <w:lang w:val="ro-RO"/>
        </w:rPr>
        <w:t xml:space="preserve"> 30 GAL-uri, care deja activează în Republica Moldova. Etapele, descrierea și actorii implicați în procesul de constituire a GAL-ului sunt prezentate în Tabelul 6. </w:t>
      </w:r>
    </w:p>
    <w:p w:rsidR="004B3372" w:rsidRPr="001C3B31" w:rsidRDefault="004B3372" w:rsidP="004B3372">
      <w:pPr>
        <w:pStyle w:val="Caption"/>
        <w:framePr w:wrap="around"/>
        <w:rPr>
          <w:lang w:val="ro-RO"/>
        </w:rPr>
      </w:pPr>
      <w:r w:rsidRPr="001C3B31">
        <w:rPr>
          <w:lang w:val="ro-RO"/>
        </w:rPr>
        <w:t>Tabelul 5. Etapele constituirii și organele executive ale GAL-ului</w:t>
      </w:r>
    </w:p>
    <w:tbl>
      <w:tblPr>
        <w:tblStyle w:val="Civittatable"/>
        <w:tblW w:w="0" w:type="auto"/>
        <w:tblLook w:val="04A0" w:firstRow="1" w:lastRow="0" w:firstColumn="1" w:lastColumn="0" w:noHBand="0" w:noVBand="1"/>
      </w:tblPr>
      <w:tblGrid>
        <w:gridCol w:w="875"/>
        <w:gridCol w:w="1984"/>
        <w:gridCol w:w="1985"/>
        <w:gridCol w:w="4478"/>
      </w:tblGrid>
      <w:tr w:rsidR="004B3372" w:rsidRPr="001C3B31" w:rsidTr="00B50045">
        <w:trPr>
          <w:cnfStyle w:val="100000000000" w:firstRow="1" w:lastRow="0" w:firstColumn="0" w:lastColumn="0" w:oddVBand="0" w:evenVBand="0" w:oddHBand="0" w:evenHBand="0" w:firstRowFirstColumn="0" w:firstRowLastColumn="0" w:lastRowFirstColumn="0" w:lastRowLastColumn="0"/>
        </w:trPr>
        <w:tc>
          <w:tcPr>
            <w:tcW w:w="875" w:type="dxa"/>
          </w:tcPr>
          <w:p w:rsidR="004B3372" w:rsidRPr="001C3B31" w:rsidRDefault="004B3372" w:rsidP="00B50045">
            <w:pPr>
              <w:spacing w:after="60"/>
              <w:rPr>
                <w:lang w:val="ro-RO"/>
              </w:rPr>
            </w:pPr>
            <w:r w:rsidRPr="001C3B31">
              <w:rPr>
                <w:lang w:val="ro-RO"/>
              </w:rPr>
              <w:t>Etapa</w:t>
            </w:r>
          </w:p>
        </w:tc>
        <w:tc>
          <w:tcPr>
            <w:tcW w:w="1984" w:type="dxa"/>
          </w:tcPr>
          <w:p w:rsidR="004B3372" w:rsidRPr="001C3B31" w:rsidRDefault="004B3372" w:rsidP="00B50045">
            <w:pPr>
              <w:spacing w:after="60"/>
              <w:rPr>
                <w:lang w:val="ro-RO"/>
              </w:rPr>
            </w:pPr>
            <w:r w:rsidRPr="001C3B31">
              <w:rPr>
                <w:lang w:val="ro-RO"/>
              </w:rPr>
              <w:t>DEnumirea etapei</w:t>
            </w:r>
          </w:p>
        </w:tc>
        <w:tc>
          <w:tcPr>
            <w:tcW w:w="1985" w:type="dxa"/>
          </w:tcPr>
          <w:p w:rsidR="004B3372" w:rsidRPr="001C3B31" w:rsidRDefault="004B3372" w:rsidP="00B50045">
            <w:pPr>
              <w:spacing w:after="60"/>
              <w:rPr>
                <w:lang w:val="ro-RO"/>
              </w:rPr>
            </w:pPr>
            <w:r w:rsidRPr="001C3B31">
              <w:rPr>
                <w:lang w:val="ro-RO"/>
              </w:rPr>
              <w:t>Actori Implicați</w:t>
            </w:r>
          </w:p>
        </w:tc>
        <w:tc>
          <w:tcPr>
            <w:tcW w:w="4478" w:type="dxa"/>
          </w:tcPr>
          <w:p w:rsidR="004B3372" w:rsidRPr="001C3B31" w:rsidRDefault="004B3372" w:rsidP="00B50045">
            <w:pPr>
              <w:spacing w:after="60"/>
              <w:rPr>
                <w:lang w:val="ro-RO"/>
              </w:rPr>
            </w:pPr>
            <w:r w:rsidRPr="001C3B31">
              <w:rPr>
                <w:lang w:val="ro-RO"/>
              </w:rPr>
              <w:t>DEscriere</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875" w:type="dxa"/>
          </w:tcPr>
          <w:p w:rsidR="004B3372" w:rsidRPr="001C3B31" w:rsidRDefault="004B3372" w:rsidP="00B50045">
            <w:pPr>
              <w:spacing w:after="60"/>
              <w:rPr>
                <w:lang w:val="ro-RO"/>
              </w:rPr>
            </w:pPr>
            <w:r w:rsidRPr="001C3B31">
              <w:rPr>
                <w:lang w:val="ro-RO"/>
              </w:rPr>
              <w:t>1</w:t>
            </w:r>
          </w:p>
        </w:tc>
        <w:tc>
          <w:tcPr>
            <w:tcW w:w="1984" w:type="dxa"/>
          </w:tcPr>
          <w:p w:rsidR="004B3372" w:rsidRPr="001C3B31" w:rsidRDefault="004B3372" w:rsidP="00B50045">
            <w:pPr>
              <w:spacing w:after="60"/>
              <w:rPr>
                <w:lang w:val="ro-RO"/>
              </w:rPr>
            </w:pPr>
            <w:r w:rsidRPr="001C3B31">
              <w:rPr>
                <w:lang w:val="ro-RO"/>
              </w:rPr>
              <w:t xml:space="preserve">Mobilizarea comunitară și Formarea teritoriului GAL  </w:t>
            </w:r>
          </w:p>
        </w:tc>
        <w:tc>
          <w:tcPr>
            <w:tcW w:w="1985" w:type="dxa"/>
          </w:tcPr>
          <w:p w:rsidR="004B3372" w:rsidRPr="001C3B31" w:rsidRDefault="004B3372" w:rsidP="00B50045">
            <w:pPr>
              <w:spacing w:after="60"/>
              <w:rPr>
                <w:lang w:val="ro-RO"/>
              </w:rPr>
            </w:pPr>
            <w:r w:rsidRPr="001C3B31">
              <w:rPr>
                <w:lang w:val="ro-RO"/>
              </w:rPr>
              <w:t xml:space="preserve">Reprezentanții sectorului public, antreprenorial și civic </w:t>
            </w:r>
          </w:p>
        </w:tc>
        <w:tc>
          <w:tcPr>
            <w:tcW w:w="4478" w:type="dxa"/>
          </w:tcPr>
          <w:p w:rsidR="004B3372" w:rsidRPr="001C3B31" w:rsidRDefault="004B3372" w:rsidP="00B50045">
            <w:pPr>
              <w:spacing w:after="60"/>
              <w:rPr>
                <w:lang w:val="ro-RO"/>
              </w:rPr>
            </w:pPr>
            <w:r>
              <w:rPr>
                <w:lang w:val="ro-RO"/>
              </w:rPr>
              <w:t>La</w:t>
            </w:r>
            <w:r w:rsidRPr="001C3B31">
              <w:rPr>
                <w:lang w:val="ro-RO"/>
              </w:rPr>
              <w:t xml:space="preserve"> prim</w:t>
            </w:r>
            <w:r>
              <w:rPr>
                <w:lang w:val="ro-RO"/>
              </w:rPr>
              <w:t xml:space="preserve">a etapă, părțile </w:t>
            </w:r>
            <w:r w:rsidRPr="001C3B31">
              <w:rPr>
                <w:lang w:val="ro-RO"/>
              </w:rPr>
              <w:t xml:space="preserve">interesate, viitori membri ai GAL-ului, formulează conceptul GAL-ului, stabilesc hotarele acestuia (coincide cu hotarele localităților din care provin membrii viitorului GAL). </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875" w:type="dxa"/>
          </w:tcPr>
          <w:p w:rsidR="004B3372" w:rsidRPr="001C3B31" w:rsidRDefault="004B3372" w:rsidP="00B50045">
            <w:pPr>
              <w:spacing w:after="60"/>
              <w:rPr>
                <w:lang w:val="ro-RO"/>
              </w:rPr>
            </w:pPr>
            <w:r w:rsidRPr="001C3B31">
              <w:rPr>
                <w:lang w:val="ro-RO"/>
              </w:rPr>
              <w:t>2</w:t>
            </w:r>
          </w:p>
        </w:tc>
        <w:tc>
          <w:tcPr>
            <w:tcW w:w="1984" w:type="dxa"/>
          </w:tcPr>
          <w:p w:rsidR="004B3372" w:rsidRPr="001C3B31" w:rsidRDefault="004B3372" w:rsidP="00B50045">
            <w:pPr>
              <w:spacing w:after="60"/>
              <w:rPr>
                <w:lang w:val="ro-RO"/>
              </w:rPr>
            </w:pPr>
            <w:r w:rsidRPr="001C3B31">
              <w:rPr>
                <w:lang w:val="ro-RO"/>
              </w:rPr>
              <w:t xml:space="preserve">Formarea GAL și elaborarea </w:t>
            </w:r>
            <w:r>
              <w:rPr>
                <w:lang w:val="ro-RO"/>
              </w:rPr>
              <w:t>Strategiei de Dezvoltare Locală</w:t>
            </w:r>
          </w:p>
        </w:tc>
        <w:tc>
          <w:tcPr>
            <w:tcW w:w="1985" w:type="dxa"/>
          </w:tcPr>
          <w:p w:rsidR="004B3372" w:rsidRPr="001C3B31" w:rsidRDefault="004B3372" w:rsidP="00B50045">
            <w:pPr>
              <w:spacing w:after="60"/>
              <w:rPr>
                <w:lang w:val="ro-RO"/>
              </w:rPr>
            </w:pPr>
            <w:r>
              <w:rPr>
                <w:lang w:val="ro-RO"/>
              </w:rPr>
              <w:t>Reprezentanți ai APL-uri, agenți e</w:t>
            </w:r>
            <w:r w:rsidRPr="001C3B31">
              <w:rPr>
                <w:lang w:val="ro-RO"/>
              </w:rPr>
              <w:t>c</w:t>
            </w:r>
            <w:r>
              <w:rPr>
                <w:lang w:val="ro-RO"/>
              </w:rPr>
              <w:t>onomici, antreprenori ONG-uri, a</w:t>
            </w:r>
            <w:r w:rsidRPr="001C3B31">
              <w:rPr>
                <w:lang w:val="ro-RO"/>
              </w:rPr>
              <w:t xml:space="preserve">ctiviști </w:t>
            </w:r>
            <w:r>
              <w:rPr>
                <w:lang w:val="ro-RO"/>
              </w:rPr>
              <w:t>c</w:t>
            </w:r>
            <w:r w:rsidRPr="001C3B31">
              <w:rPr>
                <w:lang w:val="ro-RO"/>
              </w:rPr>
              <w:t>ivici</w:t>
            </w:r>
          </w:p>
        </w:tc>
        <w:tc>
          <w:tcPr>
            <w:tcW w:w="4478" w:type="dxa"/>
          </w:tcPr>
          <w:p w:rsidR="004B3372" w:rsidRPr="001C3B31" w:rsidRDefault="004B3372" w:rsidP="00B50045">
            <w:pPr>
              <w:spacing w:after="60"/>
              <w:rPr>
                <w:lang w:val="ro-RO"/>
              </w:rPr>
            </w:pPr>
            <w:r w:rsidRPr="001C3B31">
              <w:rPr>
                <w:lang w:val="ro-RO"/>
              </w:rPr>
              <w:t xml:space="preserve">Pe </w:t>
            </w:r>
            <w:r>
              <w:rPr>
                <w:lang w:val="ro-RO"/>
              </w:rPr>
              <w:t>parcursul a cca</w:t>
            </w:r>
            <w:r w:rsidRPr="001C3B31">
              <w:rPr>
                <w:lang w:val="ro-RO"/>
              </w:rPr>
              <w:t xml:space="preserve"> 8 ședințe de lucru potențialii membrii GAL lucrează asupra informațiilor ce vor reprezenta compartimente</w:t>
            </w:r>
            <w:r>
              <w:rPr>
                <w:lang w:val="ro-RO"/>
              </w:rPr>
              <w:t>le</w:t>
            </w:r>
            <w:r w:rsidRPr="001C3B31">
              <w:rPr>
                <w:lang w:val="ro-RO"/>
              </w:rPr>
              <w:t xml:space="preserve"> Strategiei de Dezvoltare Locală GAL, elaborează misiunea, viziunea, stabilesc denumirea GAL. Acest proces este și un pretext pentru crearea și consolidarea parteneriatului între potențialii membrii GAL și pentru definitivarea hotarelor</w:t>
            </w:r>
            <w:r>
              <w:rPr>
                <w:lang w:val="ro-RO"/>
              </w:rPr>
              <w:t xml:space="preserve"> </w:t>
            </w:r>
            <w:r w:rsidRPr="001C3B31">
              <w:rPr>
                <w:lang w:val="ro-RO"/>
              </w:rPr>
              <w:t>GAL-ului.</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875" w:type="dxa"/>
          </w:tcPr>
          <w:p w:rsidR="004B3372" w:rsidRPr="001C3B31" w:rsidRDefault="004B3372" w:rsidP="00B50045">
            <w:pPr>
              <w:spacing w:after="60"/>
              <w:rPr>
                <w:lang w:val="ro-RO"/>
              </w:rPr>
            </w:pPr>
            <w:r w:rsidRPr="001C3B31">
              <w:rPr>
                <w:lang w:val="ro-RO"/>
              </w:rPr>
              <w:t>3</w:t>
            </w:r>
          </w:p>
        </w:tc>
        <w:tc>
          <w:tcPr>
            <w:tcW w:w="1984" w:type="dxa"/>
          </w:tcPr>
          <w:p w:rsidR="004B3372" w:rsidRPr="001C3B31" w:rsidRDefault="004B3372" w:rsidP="00B50045">
            <w:pPr>
              <w:spacing w:after="60"/>
              <w:rPr>
                <w:lang w:val="ro-RO"/>
              </w:rPr>
            </w:pPr>
            <w:r w:rsidRPr="001C3B31">
              <w:rPr>
                <w:lang w:val="ro-RO"/>
              </w:rPr>
              <w:t>Instituționalizarea  GAL-ului</w:t>
            </w:r>
          </w:p>
        </w:tc>
        <w:tc>
          <w:tcPr>
            <w:tcW w:w="1985" w:type="dxa"/>
          </w:tcPr>
          <w:p w:rsidR="004B3372" w:rsidRPr="001C3B31" w:rsidRDefault="004B3372" w:rsidP="00B50045">
            <w:pPr>
              <w:spacing w:after="60"/>
              <w:rPr>
                <w:lang w:val="ro-RO"/>
              </w:rPr>
            </w:pPr>
            <w:r w:rsidRPr="001C3B31">
              <w:rPr>
                <w:lang w:val="ro-RO"/>
              </w:rPr>
              <w:t xml:space="preserve">Reprezentanți ai </w:t>
            </w:r>
            <w:r>
              <w:rPr>
                <w:lang w:val="ro-RO"/>
              </w:rPr>
              <w:t>APL-uri, agenți e</w:t>
            </w:r>
            <w:r w:rsidRPr="001C3B31">
              <w:rPr>
                <w:lang w:val="ro-RO"/>
              </w:rPr>
              <w:t>conomici, antreprenori</w:t>
            </w:r>
            <w:r>
              <w:rPr>
                <w:lang w:val="ro-RO"/>
              </w:rPr>
              <w:t xml:space="preserve"> ONG-uri, activiști c</w:t>
            </w:r>
            <w:r w:rsidRPr="001C3B31">
              <w:rPr>
                <w:lang w:val="ro-RO"/>
              </w:rPr>
              <w:t>ivici</w:t>
            </w:r>
          </w:p>
        </w:tc>
        <w:tc>
          <w:tcPr>
            <w:tcW w:w="4478" w:type="dxa"/>
          </w:tcPr>
          <w:p w:rsidR="004B3372" w:rsidRPr="001C3B31" w:rsidRDefault="004B3372" w:rsidP="00B50045">
            <w:pPr>
              <w:spacing w:after="60"/>
              <w:rPr>
                <w:lang w:val="ro-RO"/>
              </w:rPr>
            </w:pPr>
            <w:r w:rsidRPr="001C3B31">
              <w:rPr>
                <w:lang w:val="ro-RO"/>
              </w:rPr>
              <w:t xml:space="preserve">Instituționalizarea GAL-ului are loc prin semnarea unui acord de constituire (statut) care stabilește structura, organele, componența numerică a organelor, etc. Organele GAL sunt: președintele GAL, consiliul de administrare, comitetul de selectare, consiliul de cenzori, etc.. Acordul de constituire stabilește în același timp și obiectivele GAL-ului și alte aspecte legate de activitatea GAL-ului. </w:t>
            </w:r>
          </w:p>
          <w:p w:rsidR="004B3372" w:rsidRPr="001C3B31" w:rsidRDefault="004B3372" w:rsidP="00B50045">
            <w:pPr>
              <w:spacing w:after="60"/>
              <w:rPr>
                <w:lang w:val="ro-RO"/>
              </w:rPr>
            </w:pPr>
            <w:r w:rsidRPr="001C3B31">
              <w:rPr>
                <w:lang w:val="ro-RO"/>
              </w:rPr>
              <w:t>Toți fondatorii GAL-ului devin membri ai GAL-ului: În cazul persoanelor juridice – membre GAL, ultimele trebuie să adopte decizia de aderare la GAL și de delegare a reprezentantului său în GAL (decizia trebuie să fie adoptată de organ</w:t>
            </w:r>
            <w:r>
              <w:rPr>
                <w:lang w:val="ro-RO"/>
              </w:rPr>
              <w:t>ul</w:t>
            </w:r>
            <w:r w:rsidRPr="001C3B31">
              <w:rPr>
                <w:lang w:val="ro-RO"/>
              </w:rPr>
              <w:t xml:space="preserve"> abilitat prin lege ori prin statut al persoanei juridice respective). În cazul unităților administrativ-teritoriale</w:t>
            </w:r>
            <w:r>
              <w:rPr>
                <w:lang w:val="ro-RO"/>
              </w:rPr>
              <w:t>,</w:t>
            </w:r>
            <w:r w:rsidRPr="001C3B31">
              <w:rPr>
                <w:lang w:val="ro-RO"/>
              </w:rPr>
              <w:t xml:space="preserve"> decizia se adoptă de către consiliul local. </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875" w:type="dxa"/>
          </w:tcPr>
          <w:p w:rsidR="004B3372" w:rsidRPr="001C3B31" w:rsidRDefault="004B3372" w:rsidP="00B50045">
            <w:pPr>
              <w:spacing w:after="60"/>
              <w:rPr>
                <w:lang w:val="ro-RO"/>
              </w:rPr>
            </w:pPr>
            <w:r w:rsidRPr="001C3B31">
              <w:rPr>
                <w:lang w:val="ro-RO"/>
              </w:rPr>
              <w:t>6</w:t>
            </w:r>
          </w:p>
        </w:tc>
        <w:tc>
          <w:tcPr>
            <w:tcW w:w="1984" w:type="dxa"/>
          </w:tcPr>
          <w:p w:rsidR="004B3372" w:rsidRPr="001C3B31" w:rsidRDefault="004B3372" w:rsidP="00B50045">
            <w:pPr>
              <w:spacing w:after="60"/>
              <w:rPr>
                <w:lang w:val="ro-RO"/>
              </w:rPr>
            </w:pPr>
            <w:r w:rsidRPr="001C3B31">
              <w:rPr>
                <w:lang w:val="ro-RO"/>
              </w:rPr>
              <w:t xml:space="preserve">Aprobarea Strategiei </w:t>
            </w:r>
          </w:p>
          <w:p w:rsidR="004B3372" w:rsidRPr="001C3B31" w:rsidRDefault="004B3372" w:rsidP="00B50045">
            <w:pPr>
              <w:spacing w:after="60"/>
              <w:rPr>
                <w:lang w:val="ro-RO"/>
              </w:rPr>
            </w:pPr>
          </w:p>
        </w:tc>
        <w:tc>
          <w:tcPr>
            <w:tcW w:w="1985" w:type="dxa"/>
          </w:tcPr>
          <w:p w:rsidR="004B3372" w:rsidRPr="001C3B31" w:rsidRDefault="004B3372" w:rsidP="00B50045">
            <w:pPr>
              <w:spacing w:after="60"/>
              <w:rPr>
                <w:lang w:val="ro-RO"/>
              </w:rPr>
            </w:pPr>
            <w:r w:rsidRPr="001C3B31">
              <w:rPr>
                <w:lang w:val="ro-RO"/>
              </w:rPr>
              <w:t xml:space="preserve">Adunarea Generală </w:t>
            </w:r>
          </w:p>
        </w:tc>
        <w:tc>
          <w:tcPr>
            <w:tcW w:w="4478" w:type="dxa"/>
          </w:tcPr>
          <w:p w:rsidR="004B3372" w:rsidRPr="001C3B31" w:rsidRDefault="004B3372" w:rsidP="00B50045">
            <w:pPr>
              <w:spacing w:after="60"/>
              <w:rPr>
                <w:lang w:val="ro-RO"/>
              </w:rPr>
            </w:pPr>
            <w:r w:rsidRPr="001C3B31">
              <w:rPr>
                <w:lang w:val="ro-RO"/>
              </w:rPr>
              <w:t>Aprobarea Strategiei reprezintă ultima etapă a procesului de formare a GAL-ului. Odată cu aprobarea Strategiei</w:t>
            </w:r>
            <w:r>
              <w:rPr>
                <w:lang w:val="ro-RO"/>
              </w:rPr>
              <w:t>,</w:t>
            </w:r>
            <w:r w:rsidRPr="001C3B31">
              <w:rPr>
                <w:lang w:val="ro-RO"/>
              </w:rPr>
              <w:t xml:space="preserve"> GAL-ul intră în procesul de implementare a strategiei, care inc</w:t>
            </w:r>
            <w:r>
              <w:rPr>
                <w:lang w:val="ro-RO"/>
              </w:rPr>
              <w:t>lude acțiunile de identificare</w:t>
            </w:r>
            <w:r w:rsidRPr="001C3B31">
              <w:rPr>
                <w:lang w:val="ro-RO"/>
              </w:rPr>
              <w:t xml:space="preserve">a finanțării, anunțarea apelurilor de aplicare pentru implementarea proiectelor în conformitate cu obiectivele Strategiei, etc. </w:t>
            </w:r>
          </w:p>
        </w:tc>
      </w:tr>
    </w:tbl>
    <w:p w:rsidR="004B3372" w:rsidRPr="001C3B31" w:rsidRDefault="004B3372" w:rsidP="004B3372">
      <w:pPr>
        <w:spacing w:before="240"/>
        <w:rPr>
          <w:lang w:val="ro-RO"/>
        </w:rPr>
      </w:pPr>
      <w:r w:rsidRPr="001C3B31">
        <w:rPr>
          <w:lang w:val="ro-RO"/>
        </w:rPr>
        <w:t xml:space="preserve">În scopul implementării Strategiei, care are o perioadă de implementare și un buget prestabilit, GAL-ul întreprinde măsuri de identificare și mobilizare a surselor financiare. Sursele de finanțare necesare </w:t>
      </w:r>
      <w:r w:rsidRPr="001C3B31">
        <w:rPr>
          <w:lang w:val="ro-RO"/>
        </w:rPr>
        <w:lastRenderedPageBreak/>
        <w:t>pentru acoperirea cheltuielilor aferente implementării Strategiei Locale de Dezvoltare p</w:t>
      </w:r>
      <w:r>
        <w:rPr>
          <w:lang w:val="ro-RO"/>
        </w:rPr>
        <w:t>rovin din sursele bugetare ale a</w:t>
      </w:r>
      <w:r w:rsidRPr="001C3B31">
        <w:rPr>
          <w:lang w:val="ro-RO"/>
        </w:rPr>
        <w:t xml:space="preserve">utorităților </w:t>
      </w:r>
      <w:r>
        <w:rPr>
          <w:lang w:val="ro-RO"/>
        </w:rPr>
        <w:t>p</w:t>
      </w:r>
      <w:r w:rsidRPr="001C3B31">
        <w:rPr>
          <w:lang w:val="ro-RO"/>
        </w:rPr>
        <w:t xml:space="preserve">ublice </w:t>
      </w:r>
      <w:r>
        <w:rPr>
          <w:lang w:val="ro-RO"/>
        </w:rPr>
        <w:t>l</w:t>
      </w:r>
      <w:r w:rsidRPr="001C3B31">
        <w:rPr>
          <w:lang w:val="ro-RO"/>
        </w:rPr>
        <w:t>ocale de nivelul I care fac parte din GAL, sursele agenților economici din cadrul GAL-ului, finanțările provenite din cadrul programelor și proiectelor cu finanțare străină, co-finanțare</w:t>
      </w:r>
      <w:r>
        <w:rPr>
          <w:lang w:val="ro-RO"/>
        </w:rPr>
        <w:t>a</w:t>
      </w:r>
      <w:r w:rsidRPr="001C3B31">
        <w:rPr>
          <w:lang w:val="ro-RO"/>
        </w:rPr>
        <w:t xml:space="preserve"> beneficiarilor proiectelor de dezvoltare locală. </w:t>
      </w:r>
    </w:p>
    <w:p w:rsidR="004B3372" w:rsidRPr="001C3B31" w:rsidRDefault="004B3372" w:rsidP="004B3372">
      <w:pPr>
        <w:rPr>
          <w:lang w:val="ro-RO"/>
        </w:rPr>
      </w:pPr>
      <w:r w:rsidRPr="001C3B31">
        <w:rPr>
          <w:lang w:val="ro-RO"/>
        </w:rPr>
        <w:t>Pentru gestionarea fondurilor necesare pentru implementarea Strategiilor de Dezvoltare Locală, GAL-ul are nevoie de existența unei entități juridice înregistrate, care să asigure administrarea fondurilor respective. Având în vedere faptul</w:t>
      </w:r>
      <w:r>
        <w:rPr>
          <w:lang w:val="ro-RO"/>
        </w:rPr>
        <w:t>,</w:t>
      </w:r>
      <w:r w:rsidRPr="001C3B31">
        <w:rPr>
          <w:lang w:val="ro-RO"/>
        </w:rPr>
        <w:t xml:space="preserve"> că norma juridică curentă interzice APL-urilor să </w:t>
      </w:r>
      <w:r>
        <w:rPr>
          <w:lang w:val="ro-RO"/>
        </w:rPr>
        <w:t>dețină</w:t>
      </w:r>
      <w:r w:rsidRPr="001C3B31">
        <w:rPr>
          <w:lang w:val="ro-RO"/>
        </w:rPr>
        <w:t xml:space="preserve"> statut de Fondator al Asociațiilor Obștești</w:t>
      </w:r>
      <w:r w:rsidRPr="001C3B31">
        <w:rPr>
          <w:rStyle w:val="FootnoteReference"/>
          <w:lang w:val="ro-RO"/>
        </w:rPr>
        <w:footnoteReference w:id="15"/>
      </w:r>
      <w:r w:rsidRPr="001C3B31">
        <w:rPr>
          <w:lang w:val="ro-RO"/>
        </w:rPr>
        <w:t>, GAL-urile evită înregis</w:t>
      </w:r>
      <w:r>
        <w:rPr>
          <w:lang w:val="ro-RO"/>
        </w:rPr>
        <w:t>trarea oficială în calitate de asociație o</w:t>
      </w:r>
      <w:r w:rsidRPr="001C3B31">
        <w:rPr>
          <w:lang w:val="ro-RO"/>
        </w:rPr>
        <w:t>bștească și de cele mai multe ori practică transmiterea atribuțiilor administrative, inclusiv de raportare financiară, către o entitate juridică legal instituită (de obicei ONG). La rândul său entitatea juridică în cauză intervine în calitate de implementator principal al proiectelor de dezvoltare locală</w:t>
      </w:r>
      <w:r>
        <w:rPr>
          <w:lang w:val="ro-RO"/>
        </w:rPr>
        <w:t>,</w:t>
      </w:r>
      <w:r w:rsidRPr="001C3B31">
        <w:rPr>
          <w:lang w:val="ro-RO"/>
        </w:rPr>
        <w:t xml:space="preserve"> finanțat</w:t>
      </w:r>
      <w:r>
        <w:rPr>
          <w:lang w:val="ro-RO"/>
        </w:rPr>
        <w:t>e în baza Strategiei Locale de D</w:t>
      </w:r>
      <w:r w:rsidRPr="001C3B31">
        <w:rPr>
          <w:lang w:val="ro-RO"/>
        </w:rPr>
        <w:t xml:space="preserve">ezvoltare, elaborate de GAL. </w:t>
      </w:r>
    </w:p>
    <w:p w:rsidR="004B3372" w:rsidRPr="001C3B31" w:rsidRDefault="004B3372" w:rsidP="004B3372">
      <w:pPr>
        <w:rPr>
          <w:lang w:val="ro-RO"/>
        </w:rPr>
      </w:pPr>
      <w:r w:rsidRPr="001C3B31">
        <w:rPr>
          <w:lang w:val="ro-RO"/>
        </w:rPr>
        <w:t xml:space="preserve">Entitatea în cauză obligatoriu este membră a GAL-ului, fiind o parte cointeresată a procesului și implicată plenar în elaborarea și implementarea strategiei de dezvoltare locală. </w:t>
      </w:r>
    </w:p>
    <w:p w:rsidR="004B3372" w:rsidRPr="001C3B31" w:rsidRDefault="004B3372" w:rsidP="004B3372">
      <w:pPr>
        <w:rPr>
          <w:lang w:val="ro-RO"/>
        </w:rPr>
      </w:pPr>
      <w:r w:rsidRPr="001C3B31">
        <w:rPr>
          <w:lang w:val="ro-RO"/>
        </w:rPr>
        <w:t>Așa după cum se vede din Figura nr. 2</w:t>
      </w:r>
      <w:r>
        <w:rPr>
          <w:lang w:val="ro-RO"/>
        </w:rPr>
        <w:t>,</w:t>
      </w:r>
      <w:r w:rsidRPr="001C3B31">
        <w:rPr>
          <w:lang w:val="ro-RO"/>
        </w:rPr>
        <w:t xml:space="preserve"> în cazul aplicării acestui scenariu, GAL-urile, de cele mai multe ori vor continua să rămână entități lipsite de personalitate juridică, iar asigurarea tuturor aspectelor administrative, inclusiv a celor de monitorizare, evaluare, prelucrare tehnică a dosarelor, etc. va fi efectuată prin intermediul unei </w:t>
      </w:r>
      <w:r>
        <w:rPr>
          <w:lang w:val="ro-RO"/>
        </w:rPr>
        <w:t>asociații o</w:t>
      </w:r>
      <w:r w:rsidRPr="001C3B31">
        <w:rPr>
          <w:lang w:val="ro-RO"/>
        </w:rPr>
        <w:t xml:space="preserve">bștești, care este unul dintre membrii GAL și funcționează în baza unui acord cu GAL. </w:t>
      </w:r>
    </w:p>
    <w:p w:rsidR="004B3372" w:rsidRPr="001C3B31" w:rsidRDefault="004B3372" w:rsidP="004B3372">
      <w:pPr>
        <w:pStyle w:val="Caption"/>
        <w:framePr w:wrap="around"/>
        <w:rPr>
          <w:lang w:val="ro-RO"/>
        </w:rPr>
      </w:pPr>
      <w:r w:rsidRPr="001C3B31">
        <w:rPr>
          <w:lang w:val="ro-RO"/>
        </w:rPr>
        <w:t>Figura 2. STRUCTURA ORGANIZATORICĂ a implementării Scenariului I – Status QUO</w:t>
      </w:r>
      <w:r>
        <w:rPr>
          <w:lang w:val="ro-RO"/>
        </w:rPr>
        <w:t>,</w:t>
      </w:r>
      <w:r w:rsidRPr="001C3B31">
        <w:rPr>
          <w:lang w:val="ro-RO"/>
        </w:rPr>
        <w:t xml:space="preserve"> în cazul finanțării GAL-urilor din sursele FNDAMR</w:t>
      </w:r>
    </w:p>
    <w:p w:rsidR="004B3372" w:rsidRPr="001C3B31" w:rsidRDefault="004B3372" w:rsidP="004B3372">
      <w:pPr>
        <w:rPr>
          <w:lang w:val="ro-RO"/>
        </w:rPr>
      </w:pPr>
      <w:r w:rsidRPr="001C3B31">
        <w:rPr>
          <w:noProof/>
          <w:lang w:val="ru-RU" w:eastAsia="ru-RU"/>
        </w:rPr>
        <w:drawing>
          <wp:inline distT="0" distB="0" distL="0" distR="0" wp14:anchorId="3F8D0F42" wp14:editId="218F32B1">
            <wp:extent cx="4737535" cy="4020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43325" cy="4025585"/>
                    </a:xfrm>
                    <a:prstGeom prst="rect">
                      <a:avLst/>
                    </a:prstGeom>
                  </pic:spPr>
                </pic:pic>
              </a:graphicData>
            </a:graphic>
          </wp:inline>
        </w:drawing>
      </w:r>
    </w:p>
    <w:p w:rsidR="004B3372" w:rsidRPr="001C3B31" w:rsidRDefault="004B3372" w:rsidP="004B3372">
      <w:pPr>
        <w:rPr>
          <w:lang w:val="ro-RO"/>
        </w:rPr>
      </w:pPr>
      <w:r w:rsidRPr="001C3B31">
        <w:rPr>
          <w:b/>
          <w:bCs/>
          <w:color w:val="1F497D" w:themeColor="text2"/>
          <w:lang w:val="ro-RO"/>
        </w:rPr>
        <w:t>AVANTAJELE SCENARIULUI |</w:t>
      </w:r>
      <w:r w:rsidRPr="001C3B31">
        <w:rPr>
          <w:color w:val="1F497D" w:themeColor="text2"/>
          <w:lang w:val="ro-RO"/>
        </w:rPr>
        <w:t xml:space="preserve"> </w:t>
      </w:r>
      <w:r w:rsidRPr="001C3B31">
        <w:rPr>
          <w:lang w:val="ro-RO"/>
        </w:rPr>
        <w:t xml:space="preserve">Scenariul în cauză este avantajos din perspectiva că nu necesită careva modificări la nivel legislativ sau normativ, fiind posibilă implementarea imediată </w:t>
      </w:r>
      <w:r>
        <w:rPr>
          <w:lang w:val="ro-RO"/>
        </w:rPr>
        <w:t xml:space="preserve">a </w:t>
      </w:r>
      <w:r w:rsidRPr="001C3B31">
        <w:rPr>
          <w:lang w:val="ro-RO"/>
        </w:rPr>
        <w:t xml:space="preserve">proiectelor cu finanțare din sursele FNDAMR. Un alt avantaj major al Scenariului în cauză îl reprezintă Sarcina </w:t>
      </w:r>
      <w:r w:rsidRPr="001C3B31">
        <w:rPr>
          <w:lang w:val="ro-RO"/>
        </w:rPr>
        <w:lastRenderedPageBreak/>
        <w:t xml:space="preserve">Administrativă scăzută pentru membrii GAL-urilor, precum și existența unei flexibilități </w:t>
      </w:r>
      <w:r>
        <w:rPr>
          <w:lang w:val="ro-RO"/>
        </w:rPr>
        <w:t>sporite</w:t>
      </w:r>
      <w:r w:rsidRPr="001C3B31">
        <w:rPr>
          <w:lang w:val="ro-RO"/>
        </w:rPr>
        <w:t xml:space="preserve"> în cooptarea de noi membri în cadrul GAL-ului, prin evitarea procedurilor administrative de includere a unor membri noi. </w:t>
      </w:r>
    </w:p>
    <w:p w:rsidR="004B3372" w:rsidRPr="001C3B31" w:rsidRDefault="004B3372" w:rsidP="004B3372">
      <w:pPr>
        <w:rPr>
          <w:lang w:val="ro-RO"/>
        </w:rPr>
      </w:pPr>
      <w:r w:rsidRPr="001C3B31">
        <w:rPr>
          <w:lang w:val="ro-RO"/>
        </w:rPr>
        <w:t>Percepția reprezentanților GAL-urilor față de modul actual de funcționare a structurilor existente și eficiența proceselor existente este diferită, întrucât majoritatea structurilor se află la diferite etape de implementare, în același timp, peste 2/3 din reprezentanții GAL ce au fost chestionați sugerează aplicarea unor ajustări ce ar adresa funcționarea GAL și eficientizarea proceselor, întrucât constată careva carențe. Unul dintre aspectele conturate și prioritizate de respondenți se referă la cadrul legal și absența unor norme care să reglementeze activitatea acestor structuri, iar alternativele implemen</w:t>
      </w:r>
      <w:r>
        <w:rPr>
          <w:lang w:val="ro-RO"/>
        </w:rPr>
        <w:t>tate de către GAL-uri la moment</w:t>
      </w:r>
      <w:r w:rsidRPr="001C3B31">
        <w:rPr>
          <w:lang w:val="ro-RO"/>
        </w:rPr>
        <w:t xml:space="preserve"> au o serie de limitări și reduc din avantajele abordării LEADER. </w:t>
      </w:r>
    </w:p>
    <w:p w:rsidR="004B3372" w:rsidRPr="001C3B31" w:rsidRDefault="004B3372" w:rsidP="004B3372">
      <w:pPr>
        <w:rPr>
          <w:lang w:val="ro-RO"/>
        </w:rPr>
      </w:pPr>
      <w:r w:rsidRPr="001C3B31">
        <w:rPr>
          <w:b/>
          <w:bCs/>
          <w:color w:val="1F497D" w:themeColor="text2"/>
          <w:lang w:val="ro-RO"/>
        </w:rPr>
        <w:t>RISCURI |</w:t>
      </w:r>
      <w:r w:rsidRPr="001C3B31">
        <w:rPr>
          <w:color w:val="1F497D" w:themeColor="text2"/>
          <w:lang w:val="ro-RO"/>
        </w:rPr>
        <w:t xml:space="preserve"> </w:t>
      </w:r>
      <w:r w:rsidRPr="001C3B31">
        <w:rPr>
          <w:lang w:val="ro-RO"/>
        </w:rPr>
        <w:t>Lipsa unei entități formalizate implică un șir de riscuri pentru GAL-uri</w:t>
      </w:r>
      <w:r>
        <w:rPr>
          <w:lang w:val="ro-RO"/>
        </w:rPr>
        <w:t>,</w:t>
      </w:r>
      <w:r w:rsidRPr="001C3B31">
        <w:rPr>
          <w:lang w:val="ro-RO"/>
        </w:rPr>
        <w:t xml:space="preserve"> precum diminuarea încrederii, sustenabilitatea intervențiilor</w:t>
      </w:r>
      <w:r>
        <w:rPr>
          <w:lang w:val="ro-RO"/>
        </w:rPr>
        <w:t>,</w:t>
      </w:r>
      <w:r w:rsidRPr="001C3B31">
        <w:rPr>
          <w:lang w:val="ro-RO"/>
        </w:rPr>
        <w:t xml:space="preserve"> precum și uniformitatea proceselor. Totodată, lipsa unei entități formalizate conduce la diminuarea pârghiilor de influență asupra proceselor administrative legate de implementarea Strategiei Locale de Dezvoltare de către membrii GAL-urilor.</w:t>
      </w:r>
    </w:p>
    <w:p w:rsidR="004B3372" w:rsidRPr="001C3B31" w:rsidRDefault="004B3372" w:rsidP="004B3372">
      <w:pPr>
        <w:rPr>
          <w:lang w:val="ro-RO"/>
        </w:rPr>
      </w:pPr>
      <w:r w:rsidRPr="001C3B31">
        <w:rPr>
          <w:lang w:val="ro-RO"/>
        </w:rPr>
        <w:t xml:space="preserve">O altă problemă majoră o reprezintă lipsa unei clarități administrative în procesul de identificare a ideilor de proiect, finanțării, raportării și achitării serviciilor și bunurilor achiziționate în vederea implementării Strategiei de Dezvoltare Locală, care se manifestă prin imposibilitatea formalizării tuturor operațiunilor. Lipsa unei astfel de posibilități afectează direct istoricul GAL-ului, care nu va fi capabil să demonstreze din punct de vedere juridic (formal) rezultatele obținute în procesul de implementare al Strategiei de Dezvoltare Locală și implicit va fi împiedicat să obțină finanțări din anumite surse bugetare și/sau externe. </w:t>
      </w:r>
    </w:p>
    <w:p w:rsidR="004B3372" w:rsidRPr="00A032C1" w:rsidRDefault="004B3372" w:rsidP="004B3372">
      <w:pPr>
        <w:rPr>
          <w:b/>
          <w:u w:val="single"/>
          <w:lang w:val="ro-RO"/>
        </w:rPr>
      </w:pPr>
      <w:r w:rsidRPr="001C3B31">
        <w:rPr>
          <w:b/>
          <w:bCs/>
          <w:color w:val="1F497D" w:themeColor="text2"/>
          <w:lang w:val="ro-RO"/>
        </w:rPr>
        <w:t xml:space="preserve">IMPACTUL JURIDIC | </w:t>
      </w:r>
      <w:r w:rsidRPr="001C3B31">
        <w:rPr>
          <w:lang w:val="ro-RO"/>
        </w:rPr>
        <w:t>Deși implementarea scenariului în cauză aparent nu implica modificarea cadrului legal sau normativ existent pentru reglementarea activit</w:t>
      </w:r>
      <w:r>
        <w:rPr>
          <w:lang w:val="ro-RO"/>
        </w:rPr>
        <w:t>ății</w:t>
      </w:r>
      <w:r w:rsidRPr="001C3B31">
        <w:rPr>
          <w:lang w:val="ro-RO"/>
        </w:rPr>
        <w:t xml:space="preserve"> APL-urilor</w:t>
      </w:r>
      <w:r>
        <w:rPr>
          <w:lang w:val="ro-RO"/>
        </w:rPr>
        <w:t>, a</w:t>
      </w:r>
      <w:r w:rsidRPr="001C3B31">
        <w:rPr>
          <w:lang w:val="ro-RO"/>
        </w:rPr>
        <w:t xml:space="preserve">sociațiilor </w:t>
      </w:r>
      <w:r>
        <w:rPr>
          <w:lang w:val="ro-RO"/>
        </w:rPr>
        <w:t>o</w:t>
      </w:r>
      <w:r w:rsidRPr="001C3B31">
        <w:rPr>
          <w:lang w:val="ro-RO"/>
        </w:rPr>
        <w:t>bștești sau GAL-urilor, totuși în vederea bunei funcționări a mecanismului de subvenționare ar implica oricum alinierea cadrului legal auxiliar la rigorile FNDAMR, prin modificarea</w:t>
      </w:r>
      <w:r>
        <w:rPr>
          <w:lang w:val="ro-RO"/>
        </w:rPr>
        <w:t xml:space="preserve"> L</w:t>
      </w:r>
      <w:r w:rsidRPr="001C3B31">
        <w:rPr>
          <w:lang w:val="ro-RO"/>
        </w:rPr>
        <w:t xml:space="preserve">egii </w:t>
      </w:r>
      <w:r>
        <w:rPr>
          <w:lang w:val="ro-RO"/>
        </w:rPr>
        <w:t xml:space="preserve">nr. </w:t>
      </w:r>
      <w:r w:rsidRPr="001C3B31">
        <w:rPr>
          <w:lang w:val="ro-RO"/>
        </w:rPr>
        <w:t xml:space="preserve">276/2016 cu privire la principiile de subvenționare </w:t>
      </w:r>
      <w:r>
        <w:rPr>
          <w:lang w:val="ro-RO"/>
        </w:rPr>
        <w:t>în dezvoltarea agriculturii și mediului rural</w:t>
      </w:r>
      <w:r w:rsidRPr="001C3B31">
        <w:rPr>
          <w:lang w:val="ro-RO"/>
        </w:rPr>
        <w:t xml:space="preserve">, </w:t>
      </w:r>
      <w:r w:rsidRPr="00A032C1">
        <w:rPr>
          <w:b/>
          <w:u w:val="single"/>
          <w:lang w:val="ro-RO"/>
        </w:rPr>
        <w:t xml:space="preserve">prin includerea Măsurii de Subvenționare destinată programului LEADER. </w:t>
      </w:r>
    </w:p>
    <w:p w:rsidR="004B3372" w:rsidRPr="001C3B31" w:rsidRDefault="004B3372" w:rsidP="004B3372">
      <w:pPr>
        <w:rPr>
          <w:lang w:val="ro-RO"/>
        </w:rPr>
      </w:pPr>
      <w:r w:rsidRPr="001C3B31">
        <w:rPr>
          <w:lang w:val="ro-RO"/>
        </w:rPr>
        <w:t>Totodată, este necesară actualizarea regulamentului cu privire la modul de repartizare a mijloacelor FNDAMR</w:t>
      </w:r>
      <w:r>
        <w:rPr>
          <w:lang w:val="ro-RO"/>
        </w:rPr>
        <w:t>,</w:t>
      </w:r>
      <w:r w:rsidRPr="001C3B31">
        <w:rPr>
          <w:lang w:val="ro-RO"/>
        </w:rPr>
        <w:t xml:space="preserve"> în vederea stabilirii procedurii de aplicare pentru obținerea finanțării. Prin modificarea Regulamentului urmează să fie stabilite criteriile de selectare și de participare </w:t>
      </w:r>
      <w:r>
        <w:rPr>
          <w:lang w:val="ro-RO"/>
        </w:rPr>
        <w:t>la</w:t>
      </w:r>
      <w:r w:rsidRPr="001C3B31">
        <w:rPr>
          <w:lang w:val="ro-RO"/>
        </w:rPr>
        <w:t xml:space="preserve"> concursul de strategii pentru GAL-uri. </w:t>
      </w:r>
    </w:p>
    <w:p w:rsidR="004B3372" w:rsidRPr="001C3B31" w:rsidRDefault="004B3372" w:rsidP="004B3372">
      <w:pPr>
        <w:rPr>
          <w:lang w:val="ro-RO"/>
        </w:rPr>
      </w:pPr>
      <w:r w:rsidRPr="001C3B31">
        <w:rPr>
          <w:lang w:val="ro-RO"/>
        </w:rPr>
        <w:t xml:space="preserve">În final este extrem de importantă stabilirea mecanismului de aprobare, avizare, finanțare, verificare și raportare în condițiile lipsei unei entități legale a GAL-ului. </w:t>
      </w:r>
    </w:p>
    <w:p w:rsidR="004B3372" w:rsidRPr="001C3B31" w:rsidRDefault="004B3372" w:rsidP="004B3372">
      <w:pPr>
        <w:pStyle w:val="Focus"/>
        <w:rPr>
          <w:lang w:val="ro-RO"/>
        </w:rPr>
      </w:pPr>
      <w:r w:rsidRPr="001C3B31">
        <w:rPr>
          <w:lang w:val="ro-RO"/>
        </w:rPr>
        <w:t>Scenariul II: Ajustarea cadrului Legislativ existent</w:t>
      </w:r>
    </w:p>
    <w:p w:rsidR="004B3372" w:rsidRPr="001C3B31" w:rsidRDefault="004B3372" w:rsidP="004B3372">
      <w:pPr>
        <w:rPr>
          <w:lang w:val="ro-RO"/>
        </w:rPr>
      </w:pPr>
      <w:r w:rsidRPr="001C3B31">
        <w:rPr>
          <w:b/>
          <w:bCs/>
          <w:color w:val="1F497D" w:themeColor="text2"/>
          <w:lang w:val="ro-RO"/>
        </w:rPr>
        <w:t xml:space="preserve">DESCRIEREA SCENARIULUI | </w:t>
      </w:r>
      <w:r w:rsidRPr="001C3B31">
        <w:rPr>
          <w:lang w:val="ro-RO"/>
        </w:rPr>
        <w:t>Scenariul II presupune ajustarea cadrului legislativ existent prin modificarea unui șir de acte legislative</w:t>
      </w:r>
      <w:r>
        <w:rPr>
          <w:lang w:val="ro-RO"/>
        </w:rPr>
        <w:t>,</w:t>
      </w:r>
      <w:r w:rsidRPr="001C3B31">
        <w:rPr>
          <w:lang w:val="ro-RO"/>
        </w:rPr>
        <w:t xml:space="preserve"> în vederea creării cadrului normativ adecvat pentru constituirea Grupurilor de Acțiune Locală drept entitate juridică independentă, cu </w:t>
      </w:r>
      <w:r>
        <w:rPr>
          <w:lang w:val="ro-RO"/>
        </w:rPr>
        <w:t xml:space="preserve">participarea tuturor părților </w:t>
      </w:r>
      <w:r w:rsidRPr="001C3B31">
        <w:rPr>
          <w:lang w:val="ro-RO"/>
        </w:rPr>
        <w:t xml:space="preserve">interesate în calitate de fondatori ai acesteia. </w:t>
      </w:r>
    </w:p>
    <w:p w:rsidR="004B3372" w:rsidRPr="001C3B31" w:rsidRDefault="004B3372" w:rsidP="004B3372">
      <w:pPr>
        <w:rPr>
          <w:lang w:val="ro-RO"/>
        </w:rPr>
      </w:pPr>
      <w:r w:rsidRPr="001C3B31">
        <w:rPr>
          <w:lang w:val="ro-RO"/>
        </w:rPr>
        <w:t>Acest aspect ar include o serie de modificări</w:t>
      </w:r>
      <w:r>
        <w:rPr>
          <w:lang w:val="ro-RO"/>
        </w:rPr>
        <w:t>,</w:t>
      </w:r>
      <w:r w:rsidRPr="001C3B31">
        <w:rPr>
          <w:lang w:val="ro-RO"/>
        </w:rPr>
        <w:t xml:space="preserve"> care ar trebui operate concomitent pentru a asigura funcționarea structurilor și implică modificarea Legii </w:t>
      </w:r>
      <w:r>
        <w:rPr>
          <w:lang w:val="ro-RO"/>
        </w:rPr>
        <w:t>nr. 837/1996 privind a</w:t>
      </w:r>
      <w:r w:rsidRPr="001C3B31">
        <w:rPr>
          <w:lang w:val="ro-RO"/>
        </w:rPr>
        <w:t xml:space="preserve">sociațiile </w:t>
      </w:r>
      <w:r>
        <w:rPr>
          <w:lang w:val="ro-RO"/>
        </w:rPr>
        <w:t>o</w:t>
      </w:r>
      <w:r w:rsidRPr="001C3B31">
        <w:rPr>
          <w:lang w:val="ro-RO"/>
        </w:rPr>
        <w:t>bștești prin amendarea art. 11 (3)</w:t>
      </w:r>
      <w:r>
        <w:rPr>
          <w:lang w:val="ro-RO"/>
        </w:rPr>
        <w:t>,</w:t>
      </w:r>
      <w:r w:rsidRPr="001C3B31">
        <w:rPr>
          <w:lang w:val="ro-RO"/>
        </w:rPr>
        <w:t xml:space="preserve"> care prevede că </w:t>
      </w:r>
      <w:r>
        <w:rPr>
          <w:lang w:val="ro-RO"/>
        </w:rPr>
        <w:t>a</w:t>
      </w:r>
      <w:r w:rsidRPr="001C3B31">
        <w:rPr>
          <w:lang w:val="ro-RO"/>
        </w:rPr>
        <w:t>utoritățile</w:t>
      </w:r>
      <w:r>
        <w:rPr>
          <w:lang w:val="ro-RO"/>
        </w:rPr>
        <w:t xml:space="preserve"> publice l</w:t>
      </w:r>
      <w:r w:rsidRPr="001C3B31">
        <w:rPr>
          <w:lang w:val="ro-RO"/>
        </w:rPr>
        <w:t>ocale nu pot fi fondatori și/sau membri ai asociațiilor obștești. Totodată, este necesară definirea, în cadrul aceleași legi, a unui tip nou de entitate juridică pentru Grupul de Acțiune Local</w:t>
      </w:r>
      <w:r>
        <w:rPr>
          <w:lang w:val="ro-RO"/>
        </w:rPr>
        <w:t>ă</w:t>
      </w:r>
      <w:r w:rsidRPr="001C3B31">
        <w:rPr>
          <w:lang w:val="ro-RO"/>
        </w:rPr>
        <w:t xml:space="preserve">. </w:t>
      </w:r>
    </w:p>
    <w:p w:rsidR="004B3372" w:rsidRPr="001C3B31" w:rsidRDefault="004B3372" w:rsidP="004B3372">
      <w:pPr>
        <w:rPr>
          <w:lang w:val="ro-RO"/>
        </w:rPr>
      </w:pPr>
      <w:r w:rsidRPr="001C3B31">
        <w:rPr>
          <w:lang w:val="ro-RO"/>
        </w:rPr>
        <w:t>Prin operarea modificărilor în cauză, va fi creat cadrul legal necesar constituirii unei unități de implementare a Strategiilor Loca</w:t>
      </w:r>
      <w:r>
        <w:rPr>
          <w:lang w:val="ro-RO"/>
        </w:rPr>
        <w:t>le de Dezvoltare, cu statut de o</w:t>
      </w:r>
      <w:r w:rsidRPr="001C3B31">
        <w:rPr>
          <w:lang w:val="ro-RO"/>
        </w:rPr>
        <w:t xml:space="preserve">rganizație </w:t>
      </w:r>
      <w:r>
        <w:rPr>
          <w:lang w:val="ro-RO"/>
        </w:rPr>
        <w:t>n</w:t>
      </w:r>
      <w:r w:rsidRPr="001C3B31">
        <w:rPr>
          <w:lang w:val="ro-RO"/>
        </w:rPr>
        <w:t>ecomercială, ai căror fondat</w:t>
      </w:r>
      <w:r>
        <w:rPr>
          <w:lang w:val="ro-RO"/>
        </w:rPr>
        <w:t xml:space="preserve">or vor putea fi toate părțile </w:t>
      </w:r>
      <w:r w:rsidRPr="001C3B31">
        <w:rPr>
          <w:lang w:val="ro-RO"/>
        </w:rPr>
        <w:t>interesate la nive</w:t>
      </w:r>
      <w:r>
        <w:rPr>
          <w:lang w:val="ro-RO"/>
        </w:rPr>
        <w:t>l de microregiune, inclusiv și a</w:t>
      </w:r>
      <w:r w:rsidRPr="001C3B31">
        <w:rPr>
          <w:lang w:val="ro-RO"/>
        </w:rPr>
        <w:t xml:space="preserve">utoritățile </w:t>
      </w:r>
      <w:r>
        <w:rPr>
          <w:lang w:val="ro-RO"/>
        </w:rPr>
        <w:t>p</w:t>
      </w:r>
      <w:r w:rsidRPr="001C3B31">
        <w:rPr>
          <w:lang w:val="ro-RO"/>
        </w:rPr>
        <w:t xml:space="preserve">ublice </w:t>
      </w:r>
      <w:r>
        <w:rPr>
          <w:lang w:val="ro-RO"/>
        </w:rPr>
        <w:t>locale de n</w:t>
      </w:r>
      <w:r w:rsidRPr="001C3B31">
        <w:rPr>
          <w:lang w:val="ro-RO"/>
        </w:rPr>
        <w:t xml:space="preserve">ivelul I. </w:t>
      </w:r>
    </w:p>
    <w:p w:rsidR="004B3372" w:rsidRPr="001C3B31" w:rsidRDefault="004B3372" w:rsidP="004B3372">
      <w:pPr>
        <w:rPr>
          <w:lang w:val="ro-RO"/>
        </w:rPr>
      </w:pPr>
      <w:r w:rsidRPr="001C3B31">
        <w:rPr>
          <w:lang w:val="ro-RO"/>
        </w:rPr>
        <w:t xml:space="preserve">În urma implementării Scenariului II, </w:t>
      </w:r>
      <w:r>
        <w:rPr>
          <w:lang w:val="ro-RO"/>
        </w:rPr>
        <w:t>a</w:t>
      </w:r>
      <w:r w:rsidRPr="001C3B31">
        <w:rPr>
          <w:lang w:val="ro-RO"/>
        </w:rPr>
        <w:t>utorităț</w:t>
      </w:r>
      <w:r>
        <w:rPr>
          <w:lang w:val="ro-RO"/>
        </w:rPr>
        <w:t>ile publice l</w:t>
      </w:r>
      <w:r w:rsidRPr="001C3B31">
        <w:rPr>
          <w:lang w:val="ro-RO"/>
        </w:rPr>
        <w:t xml:space="preserve">ocale vor putea fi membrii ai entității juridice GAL, în care vor  delega un reprezentant, fiind astfel fiind asigurată prezența APL-ului în cadrul GAL-ului. </w:t>
      </w:r>
      <w:r w:rsidRPr="001C3B31">
        <w:rPr>
          <w:lang w:val="ro-RO"/>
        </w:rPr>
        <w:lastRenderedPageBreak/>
        <w:t xml:space="preserve">Totodată, atribuirea unui status formal entității </w:t>
      </w:r>
      <w:r>
        <w:rPr>
          <w:lang w:val="ro-RO"/>
        </w:rPr>
        <w:t>respective</w:t>
      </w:r>
      <w:r w:rsidRPr="001C3B31">
        <w:rPr>
          <w:lang w:val="ro-RO"/>
        </w:rPr>
        <w:t xml:space="preserve"> va contribui la creșterea credibilității GAL-urilor în raport cu principalii finanțatori, inclusiv în vederea accesării FNDAMR. </w:t>
      </w:r>
    </w:p>
    <w:p w:rsidR="004B3372" w:rsidRPr="001C3B31" w:rsidRDefault="004B3372" w:rsidP="004B3372">
      <w:pPr>
        <w:rPr>
          <w:lang w:val="ro-RO"/>
        </w:rPr>
      </w:pPr>
      <w:r w:rsidRPr="001C3B31">
        <w:rPr>
          <w:b/>
          <w:bCs/>
          <w:color w:val="1F497D" w:themeColor="text2"/>
          <w:lang w:val="ro-RO"/>
        </w:rPr>
        <w:t>AVANTAJELE SCENARIULUI |</w:t>
      </w:r>
      <w:r w:rsidRPr="001C3B31">
        <w:rPr>
          <w:color w:val="1F497D" w:themeColor="text2"/>
          <w:lang w:val="ro-RO"/>
        </w:rPr>
        <w:t xml:space="preserve"> </w:t>
      </w:r>
      <w:r w:rsidRPr="001C3B31">
        <w:rPr>
          <w:lang w:val="ro-RO"/>
        </w:rPr>
        <w:t xml:space="preserve">Scenariul în cauză are un șir de avantaje specifice, în special în ceea ce privește modul de organizare a activității GAL-ului și a relației acestora cu potențialii finanțatori. </w:t>
      </w:r>
    </w:p>
    <w:p w:rsidR="004B3372" w:rsidRPr="001C3B31" w:rsidRDefault="004B3372" w:rsidP="004B3372">
      <w:pPr>
        <w:rPr>
          <w:lang w:val="ro-RO"/>
        </w:rPr>
      </w:pPr>
      <w:r w:rsidRPr="001C3B31">
        <w:rPr>
          <w:lang w:val="ro-RO"/>
        </w:rPr>
        <w:t xml:space="preserve">În primul rând, crearea GAL cu statut de persoana juridică </w:t>
      </w:r>
      <w:r>
        <w:rPr>
          <w:lang w:val="ro-RO"/>
        </w:rPr>
        <w:t>separată</w:t>
      </w:r>
      <w:r w:rsidRPr="001C3B31">
        <w:rPr>
          <w:lang w:val="ro-RO"/>
        </w:rPr>
        <w:t xml:space="preserve">, în componența căreia intră reprezentanții sectorului </w:t>
      </w:r>
      <w:r>
        <w:rPr>
          <w:lang w:val="ro-RO"/>
        </w:rPr>
        <w:t>public, antreprenorial și civic,</w:t>
      </w:r>
      <w:r w:rsidRPr="001C3B31">
        <w:rPr>
          <w:lang w:val="ro-RO"/>
        </w:rPr>
        <w:t xml:space="preserve"> va fi asigurată o credibilitate în fața partenerilor de dezvoltare. </w:t>
      </w:r>
    </w:p>
    <w:p w:rsidR="004B3372" w:rsidRPr="001C3B31" w:rsidRDefault="004B3372" w:rsidP="004B3372">
      <w:pPr>
        <w:rPr>
          <w:lang w:val="ro-RO"/>
        </w:rPr>
      </w:pPr>
      <w:r w:rsidRPr="001C3B31">
        <w:rPr>
          <w:lang w:val="ro-RO"/>
        </w:rPr>
        <w:t>Un alt avantaj important îl va reprezenta evitarea transferului de responsabilități și competențe către un ONG desemnat și asumarea rolului de implementator ca structură, ce va transparentiza pro</w:t>
      </w:r>
      <w:r>
        <w:rPr>
          <w:lang w:val="ro-RO"/>
        </w:rPr>
        <w:t>cesului de administrare prin o</w:t>
      </w:r>
      <w:r w:rsidRPr="001C3B31">
        <w:rPr>
          <w:lang w:val="ro-RO"/>
        </w:rPr>
        <w:t xml:space="preserve">ferirea tuturor membrilor GAL-ului </w:t>
      </w:r>
      <w:r>
        <w:rPr>
          <w:lang w:val="ro-RO"/>
        </w:rPr>
        <w:t xml:space="preserve">a </w:t>
      </w:r>
      <w:r w:rsidRPr="001C3B31">
        <w:rPr>
          <w:lang w:val="ro-RO"/>
        </w:rPr>
        <w:t>accesului la datele privind rezultatele activității GAL-ului în domeniul implementării Strategiei</w:t>
      </w:r>
    </w:p>
    <w:p w:rsidR="004B3372" w:rsidRPr="001C3B31" w:rsidRDefault="004B3372" w:rsidP="004B3372">
      <w:pPr>
        <w:pStyle w:val="Caption"/>
        <w:framePr w:wrap="around"/>
        <w:rPr>
          <w:lang w:val="ro-RO"/>
        </w:rPr>
      </w:pPr>
      <w:r w:rsidRPr="001C3B31">
        <w:rPr>
          <w:lang w:val="ro-RO"/>
        </w:rPr>
        <w:t>Figura 3. Structura organizatorică a implementării Scenariului II – Ajustarea cadrului legislativ în cazul finanțării GAL-urilor din sursele FNDAMR</w:t>
      </w:r>
    </w:p>
    <w:p w:rsidR="004B3372" w:rsidRPr="001C3B31" w:rsidRDefault="004B3372" w:rsidP="004B3372">
      <w:pPr>
        <w:rPr>
          <w:lang w:val="ro-RO"/>
        </w:rPr>
      </w:pPr>
      <w:r w:rsidRPr="001C3B31">
        <w:rPr>
          <w:noProof/>
          <w:lang w:val="ru-RU" w:eastAsia="ru-RU"/>
        </w:rPr>
        <w:drawing>
          <wp:inline distT="0" distB="0" distL="0" distR="0" wp14:anchorId="6815ECD2" wp14:editId="2C2B2761">
            <wp:extent cx="5997575" cy="3888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97575" cy="3888740"/>
                    </a:xfrm>
                    <a:prstGeom prst="rect">
                      <a:avLst/>
                    </a:prstGeom>
                  </pic:spPr>
                </pic:pic>
              </a:graphicData>
            </a:graphic>
          </wp:inline>
        </w:drawing>
      </w:r>
    </w:p>
    <w:p w:rsidR="004B3372" w:rsidRPr="001C3B31" w:rsidRDefault="004B3372" w:rsidP="004B3372">
      <w:pPr>
        <w:rPr>
          <w:lang w:val="ro-RO"/>
        </w:rPr>
      </w:pPr>
      <w:r w:rsidRPr="001C3B31">
        <w:rPr>
          <w:b/>
          <w:bCs/>
          <w:color w:val="1F497D" w:themeColor="text2"/>
          <w:lang w:val="ro-RO"/>
        </w:rPr>
        <w:t xml:space="preserve">IMPACTUL JURIDIC | </w:t>
      </w:r>
      <w:r w:rsidRPr="001C3B31">
        <w:rPr>
          <w:lang w:val="ro-RO"/>
        </w:rPr>
        <w:t>Implementarea scenariului va avea un impact juridic mediu. Din punct de vedere juridic</w:t>
      </w:r>
      <w:r>
        <w:rPr>
          <w:lang w:val="ro-RO"/>
        </w:rPr>
        <w:t>,</w:t>
      </w:r>
      <w:r w:rsidRPr="001C3B31">
        <w:rPr>
          <w:lang w:val="ro-RO"/>
        </w:rPr>
        <w:t xml:space="preserve"> pentru implementarea scenariului </w:t>
      </w:r>
      <w:r>
        <w:rPr>
          <w:lang w:val="ro-RO"/>
        </w:rPr>
        <w:t>respectiv</w:t>
      </w:r>
      <w:r w:rsidRPr="001C3B31">
        <w:rPr>
          <w:lang w:val="ro-RO"/>
        </w:rPr>
        <w:t xml:space="preserve"> este necesară modificarea cadrului legal – Legea </w:t>
      </w:r>
      <w:r>
        <w:rPr>
          <w:lang w:val="ro-RO"/>
        </w:rPr>
        <w:t xml:space="preserve">nr. </w:t>
      </w:r>
      <w:r w:rsidRPr="001C3B31">
        <w:rPr>
          <w:lang w:val="ro-RO"/>
        </w:rPr>
        <w:t xml:space="preserve">837/1996 privind asociațiile obștești. Astfel, în cazul implementării scenariului </w:t>
      </w:r>
      <w:r>
        <w:rPr>
          <w:lang w:val="ro-RO"/>
        </w:rPr>
        <w:t>respectiv</w:t>
      </w:r>
      <w:r w:rsidRPr="001C3B31">
        <w:rPr>
          <w:lang w:val="ro-RO"/>
        </w:rPr>
        <w:t xml:space="preserve">, urmează să fie abrogat articolul 11(3) din Legea </w:t>
      </w:r>
      <w:r>
        <w:rPr>
          <w:lang w:val="ro-RO"/>
        </w:rPr>
        <w:t xml:space="preserve">nr. </w:t>
      </w:r>
      <w:r w:rsidRPr="001C3B31">
        <w:rPr>
          <w:lang w:val="ro-RO"/>
        </w:rPr>
        <w:t>837/1996 privind asociațiile obștești. Totodată</w:t>
      </w:r>
      <w:r>
        <w:rPr>
          <w:lang w:val="ro-RO"/>
        </w:rPr>
        <w:t>,</w:t>
      </w:r>
      <w:r w:rsidRPr="001C3B31">
        <w:rPr>
          <w:lang w:val="ro-RO"/>
        </w:rPr>
        <w:t xml:space="preserve"> articolul 11(1) al aceleași legi urmează să fie modificat prin ofer</w:t>
      </w:r>
      <w:r>
        <w:rPr>
          <w:lang w:val="ro-RO"/>
        </w:rPr>
        <w:t>irea permisiunii APL-urilor și a</w:t>
      </w:r>
      <w:r w:rsidRPr="001C3B31">
        <w:rPr>
          <w:lang w:val="ro-RO"/>
        </w:rPr>
        <w:t xml:space="preserve">genților economici </w:t>
      </w:r>
      <w:r>
        <w:rPr>
          <w:lang w:val="ro-RO"/>
        </w:rPr>
        <w:t>de rolul de fondatori ai asociațiilor o</w:t>
      </w:r>
      <w:r w:rsidRPr="001C3B31">
        <w:rPr>
          <w:lang w:val="ro-RO"/>
        </w:rPr>
        <w:t>bștești de tip GAL</w:t>
      </w:r>
      <w:r>
        <w:rPr>
          <w:lang w:val="ro-RO"/>
        </w:rPr>
        <w:t>,</w:t>
      </w:r>
      <w:r w:rsidRPr="001C3B31">
        <w:rPr>
          <w:lang w:val="ro-RO"/>
        </w:rPr>
        <w:t xml:space="preserve"> care activează în microregiunea unde aceștia își au sediul juridic. </w:t>
      </w:r>
    </w:p>
    <w:p w:rsidR="004B3372" w:rsidRPr="001C3B31" w:rsidRDefault="004B3372" w:rsidP="004B3372">
      <w:pPr>
        <w:rPr>
          <w:lang w:val="ro-RO"/>
        </w:rPr>
      </w:pPr>
      <w:r w:rsidRPr="001C3B31">
        <w:rPr>
          <w:lang w:val="ro-RO"/>
        </w:rPr>
        <w:t>Mai mult de</w:t>
      </w:r>
      <w:r>
        <w:rPr>
          <w:lang w:val="ro-RO"/>
        </w:rPr>
        <w:t>cât</w:t>
      </w:r>
      <w:r w:rsidRPr="001C3B31">
        <w:rPr>
          <w:lang w:val="ro-RO"/>
        </w:rPr>
        <w:t xml:space="preserve"> atât, în textul legii </w:t>
      </w:r>
      <w:r>
        <w:rPr>
          <w:lang w:val="ro-RO"/>
        </w:rPr>
        <w:t>menționate</w:t>
      </w:r>
      <w:r w:rsidRPr="001C3B31">
        <w:rPr>
          <w:lang w:val="ro-RO"/>
        </w:rPr>
        <w:t xml:space="preserve"> urmează să fie operate modificări prin includerea unui articol separat destinat GAL-urilor, care să specifice domeniul de in</w:t>
      </w:r>
      <w:r>
        <w:rPr>
          <w:lang w:val="ro-RO"/>
        </w:rPr>
        <w:t>tervenție și aria de activitate</w:t>
      </w:r>
      <w:r w:rsidRPr="001C3B31">
        <w:rPr>
          <w:lang w:val="ro-RO"/>
        </w:rPr>
        <w:t xml:space="preserve"> al acestora. </w:t>
      </w:r>
    </w:p>
    <w:p w:rsidR="004B3372" w:rsidRPr="001C3B31" w:rsidRDefault="004B3372" w:rsidP="004B3372">
      <w:pPr>
        <w:rPr>
          <w:lang w:val="ro-RO"/>
        </w:rPr>
      </w:pPr>
      <w:r>
        <w:rPr>
          <w:lang w:val="ro-RO"/>
        </w:rPr>
        <w:t xml:space="preserve">Suplimentar la modificările </w:t>
      </w:r>
      <w:r w:rsidRPr="001C3B31">
        <w:rPr>
          <w:lang w:val="ro-RO"/>
        </w:rPr>
        <w:t>menționate, pentru implementarea Programului L</w:t>
      </w:r>
      <w:r>
        <w:rPr>
          <w:lang w:val="ro-RO"/>
        </w:rPr>
        <w:t>EADER cu finanțare din sursele b</w:t>
      </w:r>
      <w:r w:rsidRPr="001C3B31">
        <w:rPr>
          <w:lang w:val="ro-RO"/>
        </w:rPr>
        <w:t>ugetare și</w:t>
      </w:r>
      <w:r>
        <w:rPr>
          <w:lang w:val="ro-RO"/>
        </w:rPr>
        <w:t>,</w:t>
      </w:r>
      <w:r w:rsidRPr="001C3B31">
        <w:rPr>
          <w:lang w:val="ro-RO"/>
        </w:rPr>
        <w:t xml:space="preserve"> în special</w:t>
      </w:r>
      <w:r>
        <w:rPr>
          <w:lang w:val="ro-RO"/>
        </w:rPr>
        <w:t>,</w:t>
      </w:r>
      <w:r w:rsidRPr="001C3B31">
        <w:rPr>
          <w:lang w:val="ro-RO"/>
        </w:rPr>
        <w:t xml:space="preserve"> din sursele FNDAMR, urmează să fie aplicate modificări la cadrul legal și </w:t>
      </w:r>
      <w:r w:rsidRPr="001C3B31">
        <w:rPr>
          <w:lang w:val="ro-RO"/>
        </w:rPr>
        <w:lastRenderedPageBreak/>
        <w:t>normativ</w:t>
      </w:r>
      <w:r>
        <w:rPr>
          <w:lang w:val="ro-RO"/>
        </w:rPr>
        <w:t>,</w:t>
      </w:r>
      <w:r w:rsidRPr="001C3B31">
        <w:rPr>
          <w:lang w:val="ro-RO"/>
        </w:rPr>
        <w:t xml:space="preserve"> așa cum a fost descris în cazul Scenariului I și anume urmează să fie operate modificări la Legea </w:t>
      </w:r>
      <w:r>
        <w:rPr>
          <w:lang w:val="ro-RO"/>
        </w:rPr>
        <w:t xml:space="preserve">nr. </w:t>
      </w:r>
      <w:r w:rsidRPr="001C3B31">
        <w:rPr>
          <w:lang w:val="ro-RO"/>
        </w:rPr>
        <w:t>276/2016 cu privire la principiile de subvenționare a producătorilor agricoli, prin includerea Măsurii de Subvenționare destinată programului LEADER. De asemenea</w:t>
      </w:r>
      <w:r>
        <w:rPr>
          <w:lang w:val="ro-RO"/>
        </w:rPr>
        <w:t>,</w:t>
      </w:r>
      <w:r w:rsidRPr="001C3B31">
        <w:rPr>
          <w:lang w:val="ro-RO"/>
        </w:rPr>
        <w:t xml:space="preserve"> este necesară actualizarea regulamentului cu privire la modul de repartizare a mijloacelor FNDAMR</w:t>
      </w:r>
      <w:r>
        <w:rPr>
          <w:lang w:val="ro-RO"/>
        </w:rPr>
        <w:t>,</w:t>
      </w:r>
      <w:r w:rsidRPr="001C3B31">
        <w:rPr>
          <w:lang w:val="ro-RO"/>
        </w:rPr>
        <w:t xml:space="preserve"> în vederea stabilirii procedurii de aplicare pentru obținerea finanțării. Prin modificarea Regulamentului urmează să fie stabilite criteriile de selectare și de participare în concursul de strategii pentru GAL-uri. </w:t>
      </w:r>
    </w:p>
    <w:p w:rsidR="004B3372" w:rsidRPr="001C3B31" w:rsidRDefault="004B3372" w:rsidP="004B3372">
      <w:pPr>
        <w:pStyle w:val="Focus"/>
        <w:rPr>
          <w:lang w:val="ro-RO"/>
        </w:rPr>
      </w:pPr>
      <w:r w:rsidRPr="001C3B31">
        <w:rPr>
          <w:lang w:val="ro-RO"/>
        </w:rPr>
        <w:t>Scenariul III: Adoptarea legii privind funcționarea Grupurilor DE ACȚIUNE LocalĂ</w:t>
      </w:r>
    </w:p>
    <w:p w:rsidR="004B3372" w:rsidRPr="001C3B31" w:rsidRDefault="004B3372" w:rsidP="004B3372">
      <w:pPr>
        <w:rPr>
          <w:lang w:val="ro-RO"/>
        </w:rPr>
      </w:pPr>
      <w:r w:rsidRPr="001C3B31">
        <w:rPr>
          <w:b/>
          <w:bCs/>
          <w:color w:val="1F497D" w:themeColor="text2"/>
          <w:lang w:val="ro-RO"/>
        </w:rPr>
        <w:t xml:space="preserve">DESCRIEREA SCENARIULUI | </w:t>
      </w:r>
      <w:r w:rsidRPr="001C3B31">
        <w:rPr>
          <w:lang w:val="ro-RO"/>
        </w:rPr>
        <w:t>Scenariul III - Adoptarea unei legi speciale care să reglementeze activitatea Grupurilor de Acțiune Locală prevede realizarea u</w:t>
      </w:r>
      <w:r>
        <w:rPr>
          <w:lang w:val="ro-RO"/>
        </w:rPr>
        <w:t>nui proces complex de elaborare</w:t>
      </w:r>
      <w:r w:rsidRPr="001C3B31">
        <w:rPr>
          <w:lang w:val="ro-RO"/>
        </w:rPr>
        <w:t>, avizare și promovare a unui act legislativ nou, care vine să reglementeze cap-coadă implementarea programului LEADER în Moldova .</w:t>
      </w:r>
    </w:p>
    <w:p w:rsidR="004B3372" w:rsidRPr="001C3B31" w:rsidRDefault="004B3372" w:rsidP="004B3372">
      <w:pPr>
        <w:rPr>
          <w:lang w:val="ro-RO"/>
        </w:rPr>
      </w:pPr>
      <w:r w:rsidRPr="001C3B31">
        <w:rPr>
          <w:lang w:val="ro-RO"/>
        </w:rPr>
        <w:t>Aplicarea Scenariului în cauză</w:t>
      </w:r>
      <w:r>
        <w:rPr>
          <w:lang w:val="ro-RO"/>
        </w:rPr>
        <w:t>,</w:t>
      </w:r>
      <w:r w:rsidRPr="001C3B31">
        <w:rPr>
          <w:lang w:val="ro-RO"/>
        </w:rPr>
        <w:t xml:space="preserve"> într-o </w:t>
      </w:r>
      <w:r>
        <w:rPr>
          <w:lang w:val="ro-RO"/>
        </w:rPr>
        <w:t xml:space="preserve">mare </w:t>
      </w:r>
      <w:r w:rsidRPr="001C3B31">
        <w:rPr>
          <w:lang w:val="ro-RO"/>
        </w:rPr>
        <w:t>măsură</w:t>
      </w:r>
      <w:r>
        <w:rPr>
          <w:lang w:val="ro-RO"/>
        </w:rPr>
        <w:t>,</w:t>
      </w:r>
      <w:r w:rsidRPr="001C3B31">
        <w:rPr>
          <w:lang w:val="ro-RO"/>
        </w:rPr>
        <w:t xml:space="preserve"> va remodela sistemul r</w:t>
      </w:r>
      <w:r>
        <w:rPr>
          <w:lang w:val="ro-RO"/>
        </w:rPr>
        <w:t>elațional între toate părțile interesate, totodată creând un cadru</w:t>
      </w:r>
      <w:r w:rsidRPr="001C3B31">
        <w:rPr>
          <w:lang w:val="ro-RO"/>
        </w:rPr>
        <w:t xml:space="preserve"> clar, consecvent, eficient și verificat la nivel internațional pentru activitatea GAL-urilor și implementarea cu succes a Strategiilor  de Dezvoltare Locală. </w:t>
      </w:r>
    </w:p>
    <w:p w:rsidR="004B3372" w:rsidRPr="001C3B31" w:rsidRDefault="004B3372" w:rsidP="004B3372">
      <w:pPr>
        <w:rPr>
          <w:lang w:val="ro-RO"/>
        </w:rPr>
      </w:pPr>
      <w:r w:rsidRPr="001C3B31">
        <w:rPr>
          <w:lang w:val="ro-RO"/>
        </w:rPr>
        <w:t>Prin aprobarea unei legi speciale, Grupurile de Acțiune Locală vor fi recunoscute la nivel juridic</w:t>
      </w:r>
      <w:r>
        <w:rPr>
          <w:lang w:val="ro-RO"/>
        </w:rPr>
        <w:t>,</w:t>
      </w:r>
      <w:r w:rsidRPr="001C3B31">
        <w:rPr>
          <w:lang w:val="ro-RO"/>
        </w:rPr>
        <w:t xml:space="preserve"> drept entități independente și deplin funcționale, cu statut </w:t>
      </w:r>
      <w:r>
        <w:rPr>
          <w:lang w:val="ro-RO"/>
        </w:rPr>
        <w:t>legal separat, apropiat o</w:t>
      </w:r>
      <w:r w:rsidRPr="001C3B31">
        <w:rPr>
          <w:lang w:val="ro-RO"/>
        </w:rPr>
        <w:t xml:space="preserve">rganizațiilor </w:t>
      </w:r>
      <w:r>
        <w:rPr>
          <w:lang w:val="ro-RO"/>
        </w:rPr>
        <w:t>n</w:t>
      </w:r>
      <w:r w:rsidRPr="001C3B31">
        <w:rPr>
          <w:lang w:val="ro-RO"/>
        </w:rPr>
        <w:t xml:space="preserve">ecomerciale, cu o claritate în ceea ce privește domeniile de competență, atribuții, aria de acțiune, drepturile și limitele de competență, structură-tip internă, etc. </w:t>
      </w:r>
    </w:p>
    <w:p w:rsidR="004B3372" w:rsidRPr="001C3B31" w:rsidRDefault="004B3372" w:rsidP="004B3372">
      <w:pPr>
        <w:rPr>
          <w:lang w:val="ro-RO"/>
        </w:rPr>
      </w:pPr>
      <w:r w:rsidRPr="001C3B31">
        <w:rPr>
          <w:lang w:val="ro-RO"/>
        </w:rPr>
        <w:t>Totodată prin aplicarea Scenariului III va fi asigurată implementarea mecanismului de recunoaștere legală a GAL-urilor</w:t>
      </w:r>
      <w:r>
        <w:rPr>
          <w:lang w:val="ro-RO"/>
        </w:rPr>
        <w:t>, drept</w:t>
      </w:r>
      <w:r w:rsidRPr="001C3B31">
        <w:rPr>
          <w:lang w:val="ro-RO"/>
        </w:rPr>
        <w:t xml:space="preserve"> entități juridice menite să implementeze proiecte cu menire socio-economică la nivelul microregiunilor. </w:t>
      </w:r>
    </w:p>
    <w:p w:rsidR="004B3372" w:rsidRPr="001C3B31" w:rsidRDefault="004B3372" w:rsidP="004B3372">
      <w:pPr>
        <w:rPr>
          <w:lang w:val="ro-RO"/>
        </w:rPr>
      </w:pPr>
      <w:r w:rsidRPr="001C3B31">
        <w:rPr>
          <w:lang w:val="ro-RO"/>
        </w:rPr>
        <w:t xml:space="preserve">Aplicarea scenariului </w:t>
      </w:r>
      <w:r>
        <w:rPr>
          <w:lang w:val="ro-RO"/>
        </w:rPr>
        <w:t>respectiv</w:t>
      </w:r>
      <w:r w:rsidRPr="001C3B31">
        <w:rPr>
          <w:lang w:val="ro-RO"/>
        </w:rPr>
        <w:t xml:space="preserve"> va creștere șansele de valorificare a potențialului de atragere a fondurilor, inclusiv externe pentru administrarea GAL-urilor, separat de finanțarea proiectelor din cadrul Strategiei de Dezvoltare Locală. </w:t>
      </w:r>
    </w:p>
    <w:p w:rsidR="004B3372" w:rsidRPr="001C3B31" w:rsidRDefault="004B3372" w:rsidP="004B3372">
      <w:pPr>
        <w:rPr>
          <w:lang w:val="ro-RO"/>
        </w:rPr>
      </w:pPr>
      <w:r w:rsidRPr="001C3B31">
        <w:rPr>
          <w:lang w:val="ro-RO"/>
        </w:rPr>
        <w:t xml:space="preserve">Totodată, prin implementarea Scenariului III, va fi simplificată și încadrată juridic participarea tuturor părților cointeresate: APL-uri, agenți economici, ONG-uri, persoane fizice în GAL. </w:t>
      </w:r>
    </w:p>
    <w:p w:rsidR="004B3372" w:rsidRPr="001C3B31" w:rsidRDefault="004B3372" w:rsidP="004B3372">
      <w:pPr>
        <w:pStyle w:val="Caption"/>
        <w:framePr w:wrap="around"/>
        <w:rPr>
          <w:lang w:val="ro-RO"/>
        </w:rPr>
      </w:pPr>
      <w:r w:rsidRPr="001C3B31">
        <w:rPr>
          <w:lang w:val="ro-RO"/>
        </w:rPr>
        <w:t>Figura 4. Structura organizatorică a implementării Scenariului III – Adoptarea Legii Grupurilor De Acțiune Locală</w:t>
      </w:r>
    </w:p>
    <w:p w:rsidR="004B3372" w:rsidRPr="001C3B31" w:rsidRDefault="004B3372" w:rsidP="004B3372">
      <w:pPr>
        <w:rPr>
          <w:lang w:val="ro-RO"/>
        </w:rPr>
      </w:pPr>
      <w:r w:rsidRPr="001C3B31">
        <w:rPr>
          <w:noProof/>
          <w:lang w:val="ru-RU" w:eastAsia="ru-RU"/>
        </w:rPr>
        <w:lastRenderedPageBreak/>
        <w:drawing>
          <wp:inline distT="0" distB="0" distL="0" distR="0" wp14:anchorId="4D4F338A" wp14:editId="72792659">
            <wp:extent cx="5997575" cy="35553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97575" cy="3555365"/>
                    </a:xfrm>
                    <a:prstGeom prst="rect">
                      <a:avLst/>
                    </a:prstGeom>
                  </pic:spPr>
                </pic:pic>
              </a:graphicData>
            </a:graphic>
          </wp:inline>
        </w:drawing>
      </w:r>
    </w:p>
    <w:p w:rsidR="004B3372" w:rsidRPr="001C3B31" w:rsidRDefault="004B3372" w:rsidP="004B3372">
      <w:pPr>
        <w:rPr>
          <w:lang w:val="ro-RO"/>
        </w:rPr>
      </w:pPr>
      <w:r w:rsidRPr="001C3B31">
        <w:rPr>
          <w:b/>
          <w:bCs/>
          <w:color w:val="1F497D" w:themeColor="text2"/>
          <w:lang w:val="ro-RO"/>
        </w:rPr>
        <w:t>AVANTAJELE SCENARIULUI|</w:t>
      </w:r>
      <w:r w:rsidRPr="001C3B31">
        <w:rPr>
          <w:color w:val="1F497D" w:themeColor="text2"/>
          <w:lang w:val="ro-RO"/>
        </w:rPr>
        <w:t xml:space="preserve"> </w:t>
      </w:r>
      <w:r w:rsidRPr="001C3B31">
        <w:rPr>
          <w:lang w:val="ro-RO"/>
        </w:rPr>
        <w:t>Optarea pentru Scenariul III ar aduce un șir larg de beneficii și anume</w:t>
      </w:r>
      <w:r>
        <w:rPr>
          <w:lang w:val="ro-RO"/>
        </w:rPr>
        <w:t>,</w:t>
      </w:r>
      <w:r w:rsidRPr="001C3B31">
        <w:rPr>
          <w:lang w:val="ro-RO"/>
        </w:rPr>
        <w:t xml:space="preserve"> va conduce la crearea unui cadrul legal clar și comprehensiv privind activitatea GAL-urilor. Mai mult de</w:t>
      </w:r>
      <w:r>
        <w:rPr>
          <w:lang w:val="ro-RO"/>
        </w:rPr>
        <w:t>cât</w:t>
      </w:r>
      <w:r w:rsidRPr="001C3B31">
        <w:rPr>
          <w:lang w:val="ro-RO"/>
        </w:rPr>
        <w:t xml:space="preserve"> atât, prin aplicarea scenariului </w:t>
      </w:r>
      <w:r>
        <w:rPr>
          <w:lang w:val="ro-RO"/>
        </w:rPr>
        <w:t>respectiv</w:t>
      </w:r>
      <w:r w:rsidRPr="001C3B31">
        <w:rPr>
          <w:lang w:val="ro-RO"/>
        </w:rPr>
        <w:t xml:space="preserve"> GAL-urile vor trece printr-un proces de recunoaștere, care va oferi o credibilitate sporită acestora, ceea ce</w:t>
      </w:r>
      <w:r>
        <w:rPr>
          <w:lang w:val="ro-RO"/>
        </w:rPr>
        <w:t>,</w:t>
      </w:r>
      <w:r w:rsidRPr="001C3B31">
        <w:rPr>
          <w:lang w:val="ro-RO"/>
        </w:rPr>
        <w:t xml:space="preserve"> la rândul său</w:t>
      </w:r>
      <w:r>
        <w:rPr>
          <w:lang w:val="ro-RO"/>
        </w:rPr>
        <w:t>,</w:t>
      </w:r>
      <w:r w:rsidRPr="001C3B31">
        <w:rPr>
          <w:lang w:val="ro-RO"/>
        </w:rPr>
        <w:t xml:space="preserve"> va facilita procesul de atragere a fondurilor din surse externe. </w:t>
      </w:r>
    </w:p>
    <w:p w:rsidR="004B3372" w:rsidRPr="001C3B31" w:rsidRDefault="004B3372" w:rsidP="004B3372">
      <w:pPr>
        <w:rPr>
          <w:lang w:val="ro-RO"/>
        </w:rPr>
      </w:pPr>
      <w:r w:rsidRPr="001C3B31">
        <w:rPr>
          <w:lang w:val="ro-RO"/>
        </w:rPr>
        <w:t xml:space="preserve">Reglementarea activității prin intermediul unei legi speciale, permite GAL-urilor să participe </w:t>
      </w:r>
      <w:r>
        <w:rPr>
          <w:lang w:val="ro-RO"/>
        </w:rPr>
        <w:t>drept</w:t>
      </w:r>
      <w:r w:rsidRPr="001C3B31">
        <w:rPr>
          <w:lang w:val="ro-RO"/>
        </w:rPr>
        <w:t xml:space="preserve"> entități în cadrul unor programe și proiecte internaționale special destinate GAL-urilor. </w:t>
      </w:r>
    </w:p>
    <w:p w:rsidR="004B3372" w:rsidRPr="001C3B31" w:rsidRDefault="004B3372" w:rsidP="004B3372">
      <w:pPr>
        <w:rPr>
          <w:lang w:val="ro-RO"/>
        </w:rPr>
      </w:pPr>
      <w:r w:rsidRPr="001C3B31">
        <w:rPr>
          <w:lang w:val="ro-RO"/>
        </w:rPr>
        <w:t xml:space="preserve">În final implementarea Scenariului III vine și cu un efort administrativ și politic complex, la toate nivelurile - APL, Guvern, Parlament, necesar de depus pentru elaborarea și punerea în practică a acestuia. </w:t>
      </w:r>
    </w:p>
    <w:p w:rsidR="004B3372" w:rsidRPr="001C3B31" w:rsidRDefault="004B3372" w:rsidP="004B3372">
      <w:pPr>
        <w:rPr>
          <w:lang w:val="ro-RO"/>
        </w:rPr>
      </w:pPr>
      <w:r w:rsidRPr="001C3B31">
        <w:rPr>
          <w:b/>
          <w:bCs/>
          <w:color w:val="1F497D" w:themeColor="text2"/>
          <w:lang w:val="ro-RO"/>
        </w:rPr>
        <w:t xml:space="preserve">IMPACTUL JURIDIC </w:t>
      </w:r>
      <w:r w:rsidRPr="001C3B31">
        <w:rPr>
          <w:b/>
          <w:bCs/>
          <w:lang w:val="ro-RO"/>
        </w:rPr>
        <w:t xml:space="preserve">| </w:t>
      </w:r>
      <w:r w:rsidRPr="001C3B31">
        <w:rPr>
          <w:lang w:val="ro-RO"/>
        </w:rPr>
        <w:t xml:space="preserve">La nivel juridic, implementarea Scenariului III presupune elaborarea de la zero a unui proiect de lege care să ofere reglementarea complexă a constituirii și  activității GAL-urilor. Totodată, alături de actul legal, urmează să fie elaborat și un act normativ care să stabilească mecanismul de recunoaștere a GAL-urilor, </w:t>
      </w:r>
      <w:r>
        <w:rPr>
          <w:lang w:val="ro-RO"/>
        </w:rPr>
        <w:t>Regulamentul-t</w:t>
      </w:r>
      <w:r w:rsidRPr="001C3B31">
        <w:rPr>
          <w:lang w:val="ro-RO"/>
        </w:rPr>
        <w:t>ip, Structura</w:t>
      </w:r>
      <w:r>
        <w:rPr>
          <w:lang w:val="ro-RO"/>
        </w:rPr>
        <w:t>-</w:t>
      </w:r>
      <w:r w:rsidRPr="001C3B31">
        <w:rPr>
          <w:lang w:val="ro-RO"/>
        </w:rPr>
        <w:t xml:space="preserve">tip a GAL-urilor, precum și alte acte relevante asigurării activității eficiente ale GAL-urilor. </w:t>
      </w:r>
    </w:p>
    <w:p w:rsidR="004B3372" w:rsidRPr="007F0A8B" w:rsidRDefault="004B3372" w:rsidP="004B3372">
      <w:pPr>
        <w:pStyle w:val="Heading3"/>
        <w:rPr>
          <w:color w:val="0070C0"/>
          <w:lang w:val="ro-RO"/>
        </w:rPr>
      </w:pPr>
      <w:bookmarkStart w:id="22" w:name="_Toc32964815"/>
      <w:r w:rsidRPr="007F0A8B">
        <w:rPr>
          <w:color w:val="0070C0"/>
          <w:lang w:val="ro-RO"/>
        </w:rPr>
        <w:t>Analiza Multicriterială a scenariilor funcționale</w:t>
      </w:r>
      <w:bookmarkEnd w:id="22"/>
    </w:p>
    <w:p w:rsidR="004B3372" w:rsidRPr="001C3B31" w:rsidRDefault="004B3372" w:rsidP="004B3372">
      <w:pPr>
        <w:rPr>
          <w:color w:val="000000" w:themeColor="text1"/>
          <w:lang w:val="ro-RO"/>
        </w:rPr>
      </w:pPr>
      <w:r w:rsidRPr="001C3B31">
        <w:rPr>
          <w:color w:val="000000" w:themeColor="text1"/>
          <w:lang w:val="ro-RO"/>
        </w:rPr>
        <w:t>În cazul prezentei evaluări ex-ante, analiza multicriterială se referă la evaluarea impactului juridic și în special la evaluarea măsurii în care optarea pentru anumite scenarii funcționale a Grupurilor de Acțiune Locală</w:t>
      </w:r>
      <w:r>
        <w:rPr>
          <w:color w:val="000000" w:themeColor="text1"/>
          <w:lang w:val="ro-RO"/>
        </w:rPr>
        <w:t>,</w:t>
      </w:r>
      <w:r w:rsidRPr="001C3B31">
        <w:rPr>
          <w:color w:val="000000" w:themeColor="text1"/>
          <w:lang w:val="ro-RO"/>
        </w:rPr>
        <w:t xml:space="preserve"> în condițiile implementării PPP-ului</w:t>
      </w:r>
      <w:r>
        <w:rPr>
          <w:color w:val="000000" w:themeColor="text1"/>
          <w:lang w:val="ro-RO"/>
        </w:rPr>
        <w:t>,</w:t>
      </w:r>
      <w:r w:rsidRPr="001C3B31">
        <w:rPr>
          <w:color w:val="000000" w:themeColor="text1"/>
          <w:lang w:val="ro-RO"/>
        </w:rPr>
        <w:t xml:space="preserve"> vor avea impact de ordin administrativ, fiscal, social și economic, iar atributele în baza cărora aceste criterii au fost evaluate reprezintă pentru:</w:t>
      </w:r>
    </w:p>
    <w:p w:rsidR="004B3372" w:rsidRPr="001C3B31" w:rsidRDefault="004B3372" w:rsidP="004B3372">
      <w:pPr>
        <w:pStyle w:val="ListParagraph"/>
        <w:numPr>
          <w:ilvl w:val="0"/>
          <w:numId w:val="11"/>
        </w:numPr>
        <w:rPr>
          <w:color w:val="000000" w:themeColor="text1"/>
          <w:lang w:val="ro-RO"/>
        </w:rPr>
      </w:pPr>
      <w:r w:rsidRPr="001C3B31">
        <w:rPr>
          <w:color w:val="000000" w:themeColor="text1"/>
          <w:lang w:val="ro-RO"/>
        </w:rPr>
        <w:t>Impactul Fiscal – valoarea costului adițional la bugetul actual</w:t>
      </w:r>
      <w:r>
        <w:rPr>
          <w:color w:val="000000" w:themeColor="text1"/>
          <w:lang w:val="ro-RO"/>
        </w:rPr>
        <w:t>;</w:t>
      </w:r>
    </w:p>
    <w:p w:rsidR="004B3372" w:rsidRPr="001C3B31" w:rsidRDefault="004B3372" w:rsidP="004B3372">
      <w:pPr>
        <w:pStyle w:val="ListParagraph"/>
        <w:numPr>
          <w:ilvl w:val="0"/>
          <w:numId w:val="11"/>
        </w:numPr>
        <w:rPr>
          <w:color w:val="000000" w:themeColor="text1"/>
          <w:lang w:val="ro-RO"/>
        </w:rPr>
      </w:pPr>
      <w:r w:rsidRPr="001C3B31">
        <w:rPr>
          <w:color w:val="000000" w:themeColor="text1"/>
          <w:lang w:val="ro-RO"/>
        </w:rPr>
        <w:t>Impactul Administrativ – structura și complexitatea efortului administrativ suplimentar depus comparativ cu situația la moment</w:t>
      </w:r>
      <w:r>
        <w:rPr>
          <w:color w:val="000000" w:themeColor="text1"/>
          <w:lang w:val="ro-RO"/>
        </w:rPr>
        <w:t>;</w:t>
      </w:r>
    </w:p>
    <w:p w:rsidR="004B3372" w:rsidRPr="001C3B31" w:rsidRDefault="004B3372" w:rsidP="004B3372">
      <w:pPr>
        <w:pStyle w:val="ListParagraph"/>
        <w:numPr>
          <w:ilvl w:val="0"/>
          <w:numId w:val="11"/>
        </w:numPr>
        <w:rPr>
          <w:color w:val="000000" w:themeColor="text1"/>
          <w:lang w:val="ro-RO"/>
        </w:rPr>
      </w:pPr>
      <w:r w:rsidRPr="001C3B31">
        <w:rPr>
          <w:color w:val="000000" w:themeColor="text1"/>
          <w:lang w:val="ro-RO"/>
        </w:rPr>
        <w:t>Impactul social – analiza compensatorie a efectelor pozitive și negative</w:t>
      </w:r>
      <w:r>
        <w:rPr>
          <w:color w:val="000000" w:themeColor="text1"/>
          <w:lang w:val="ro-RO"/>
        </w:rPr>
        <w:t>;</w:t>
      </w:r>
    </w:p>
    <w:p w:rsidR="004B3372" w:rsidRPr="001C3B31" w:rsidRDefault="004B3372" w:rsidP="004B3372">
      <w:pPr>
        <w:pStyle w:val="ListParagraph"/>
        <w:numPr>
          <w:ilvl w:val="0"/>
          <w:numId w:val="11"/>
        </w:numPr>
        <w:rPr>
          <w:color w:val="000000" w:themeColor="text1"/>
          <w:lang w:val="ro-RO"/>
        </w:rPr>
      </w:pPr>
      <w:r w:rsidRPr="001C3B31">
        <w:rPr>
          <w:color w:val="000000" w:themeColor="text1"/>
          <w:lang w:val="ro-RO"/>
        </w:rPr>
        <w:t>Impactul economic – analiza compensatorie a efect</w:t>
      </w:r>
      <w:r>
        <w:rPr>
          <w:color w:val="000000" w:themeColor="text1"/>
          <w:lang w:val="ro-RO"/>
        </w:rPr>
        <w:t>elor</w:t>
      </w:r>
      <w:r w:rsidRPr="001C3B31">
        <w:rPr>
          <w:color w:val="000000" w:themeColor="text1"/>
          <w:lang w:val="ro-RO"/>
        </w:rPr>
        <w:t xml:space="preserve"> pozitive și negative</w:t>
      </w:r>
      <w:r>
        <w:rPr>
          <w:color w:val="000000" w:themeColor="text1"/>
          <w:lang w:val="ro-RO"/>
        </w:rPr>
        <w:t>.</w:t>
      </w:r>
    </w:p>
    <w:p w:rsidR="004B3372" w:rsidRPr="001C3B31" w:rsidRDefault="004B3372" w:rsidP="004B3372">
      <w:pPr>
        <w:rPr>
          <w:color w:val="000000" w:themeColor="text1"/>
          <w:lang w:val="ro-RO"/>
        </w:rPr>
      </w:pPr>
      <w:r w:rsidRPr="001C3B31">
        <w:rPr>
          <w:color w:val="000000" w:themeColor="text1"/>
          <w:lang w:val="ro-RO"/>
        </w:rPr>
        <w:lastRenderedPageBreak/>
        <w:t>Pentru evaluarea performanței fiecărei alternative (scenariu) și în fond pentru standardizarea punctajelor pentru fiecare criteriu de eval</w:t>
      </w:r>
      <w:r>
        <w:rPr>
          <w:color w:val="000000" w:themeColor="text1"/>
          <w:lang w:val="ro-RO"/>
        </w:rPr>
        <w:t>uare a fost aplicată metoda non</w:t>
      </w:r>
      <w:r w:rsidRPr="001C3B31">
        <w:rPr>
          <w:color w:val="000000" w:themeColor="text1"/>
          <w:lang w:val="ro-RO"/>
        </w:rPr>
        <w:t>lineară</w:t>
      </w:r>
      <w:r>
        <w:rPr>
          <w:color w:val="000000" w:themeColor="text1"/>
          <w:lang w:val="ro-RO"/>
        </w:rPr>
        <w:t>,</w:t>
      </w:r>
      <w:r w:rsidRPr="001C3B31">
        <w:rPr>
          <w:color w:val="000000" w:themeColor="text1"/>
          <w:lang w:val="ro-RO"/>
        </w:rPr>
        <w:t xml:space="preserve"> care prevede utilizarea a 3 elemente distincte și anume: </w:t>
      </w:r>
    </w:p>
    <w:p w:rsidR="004B3372" w:rsidRPr="001C3B31" w:rsidRDefault="004B3372" w:rsidP="004B3372">
      <w:pPr>
        <w:rPr>
          <w:lang w:val="ro-RO"/>
        </w:rPr>
      </w:pPr>
      <w:r w:rsidRPr="001C3B31">
        <w:rPr>
          <w:lang w:val="ro-RO"/>
        </w:rPr>
        <w:t>Performanța alternativei (scenariului) în cazul criteriului specific</w:t>
      </w:r>
    </w:p>
    <w:p w:rsidR="004B3372" w:rsidRPr="001C3B31" w:rsidRDefault="004B3372" w:rsidP="004B3372">
      <w:pPr>
        <w:pStyle w:val="ListParagraph"/>
        <w:numPr>
          <w:ilvl w:val="0"/>
          <w:numId w:val="12"/>
        </w:numPr>
        <w:rPr>
          <w:color w:val="000000" w:themeColor="text1"/>
          <w:lang w:val="ro-RO"/>
        </w:rPr>
      </w:pPr>
      <w:r w:rsidRPr="001C3B31">
        <w:rPr>
          <w:color w:val="000000" w:themeColor="text1"/>
          <w:lang w:val="ro-RO"/>
        </w:rPr>
        <w:t>Ponderea (importanța) criteriului</w:t>
      </w:r>
      <w:r>
        <w:rPr>
          <w:color w:val="000000" w:themeColor="text1"/>
          <w:lang w:val="ro-RO"/>
        </w:rPr>
        <w:t>;</w:t>
      </w:r>
    </w:p>
    <w:p w:rsidR="004B3372" w:rsidRPr="001C3B31" w:rsidRDefault="004B3372" w:rsidP="004B3372">
      <w:pPr>
        <w:pStyle w:val="ListParagraph"/>
        <w:numPr>
          <w:ilvl w:val="0"/>
          <w:numId w:val="12"/>
        </w:numPr>
        <w:rPr>
          <w:lang w:val="ro-RO"/>
        </w:rPr>
      </w:pPr>
      <w:r w:rsidRPr="001C3B31">
        <w:rPr>
          <w:color w:val="000000" w:themeColor="text1"/>
          <w:lang w:val="ro-RO"/>
        </w:rPr>
        <w:t>Direcția în vederea atingerii obiectivului criteriului</w:t>
      </w:r>
      <w:r>
        <w:rPr>
          <w:color w:val="000000" w:themeColor="text1"/>
          <w:lang w:val="ro-RO"/>
        </w:rPr>
        <w:t>.</w:t>
      </w:r>
    </w:p>
    <w:p w:rsidR="004B3372" w:rsidRPr="001C3B31" w:rsidRDefault="004B3372" w:rsidP="004B3372">
      <w:pPr>
        <w:pStyle w:val="Caption"/>
        <w:framePr w:wrap="around"/>
        <w:rPr>
          <w:lang w:val="ro-RO"/>
        </w:rPr>
      </w:pPr>
      <w:r w:rsidRPr="001C3B31">
        <w:rPr>
          <w:lang w:val="ro-RO"/>
        </w:rPr>
        <w:t>Tabelul 6. Matricea Multicriterială</w:t>
      </w:r>
    </w:p>
    <w:p w:rsidR="004B3372" w:rsidRPr="001C3B31" w:rsidRDefault="004B3372" w:rsidP="004B3372">
      <w:pPr>
        <w:rPr>
          <w:lang w:val="ro-RO"/>
        </w:rPr>
      </w:pPr>
    </w:p>
    <w:tbl>
      <w:tblPr>
        <w:tblStyle w:val="Civittatable"/>
        <w:tblpPr w:leftFromText="180" w:rightFromText="180" w:vertAnchor="text" w:tblpY="1"/>
        <w:tblOverlap w:val="never"/>
        <w:tblW w:w="0" w:type="auto"/>
        <w:tblInd w:w="0" w:type="dxa"/>
        <w:tblLook w:val="04A0" w:firstRow="1" w:lastRow="0" w:firstColumn="1" w:lastColumn="0" w:noHBand="0" w:noVBand="1"/>
      </w:tblPr>
      <w:tblGrid>
        <w:gridCol w:w="653"/>
        <w:gridCol w:w="2695"/>
        <w:gridCol w:w="3198"/>
        <w:gridCol w:w="3115"/>
      </w:tblGrid>
      <w:tr w:rsidR="004B3372" w:rsidRPr="001C3B31" w:rsidTr="00B50045">
        <w:trPr>
          <w:cnfStyle w:val="100000000000" w:firstRow="1" w:lastRow="0" w:firstColumn="0" w:lastColumn="0" w:oddVBand="0" w:evenVBand="0" w:oddHBand="0" w:evenHBand="0" w:firstRowFirstColumn="0" w:firstRowLastColumn="0" w:lastRowFirstColumn="0" w:lastRowLastColumn="0"/>
        </w:trPr>
        <w:tc>
          <w:tcPr>
            <w:tcW w:w="653" w:type="dxa"/>
          </w:tcPr>
          <w:p w:rsidR="004B3372" w:rsidRPr="001C3B31" w:rsidRDefault="004B3372" w:rsidP="00B50045">
            <w:pPr>
              <w:rPr>
                <w:rFonts w:ascii="Calibri" w:hAnsi="Calibri" w:cs="Calibri"/>
                <w:szCs w:val="20"/>
                <w:lang w:val="ro-RO"/>
              </w:rPr>
            </w:pPr>
          </w:p>
        </w:tc>
        <w:tc>
          <w:tcPr>
            <w:tcW w:w="4003" w:type="dxa"/>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Scenariul i: Status-quo</w:t>
            </w:r>
          </w:p>
        </w:tc>
        <w:tc>
          <w:tcPr>
            <w:tcW w:w="4678" w:type="dxa"/>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Scenariul II: Ajustarea Cadrului Legal</w:t>
            </w:r>
          </w:p>
        </w:tc>
        <w:tc>
          <w:tcPr>
            <w:tcW w:w="4382" w:type="dxa"/>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Scenariul III: lege Specială GAL-uri</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cantSplit/>
          <w:trHeight w:val="1964"/>
        </w:trPr>
        <w:tc>
          <w:tcPr>
            <w:tcW w:w="653" w:type="dxa"/>
            <w:textDirection w:val="btLr"/>
          </w:tcPr>
          <w:p w:rsidR="004B3372" w:rsidRPr="001C3B31" w:rsidRDefault="004B3372" w:rsidP="00B50045">
            <w:pPr>
              <w:ind w:left="113" w:right="113"/>
              <w:jc w:val="center"/>
              <w:rPr>
                <w:rFonts w:ascii="Calibri" w:hAnsi="Calibri" w:cs="Calibri"/>
                <w:szCs w:val="20"/>
                <w:lang w:val="ro-RO"/>
              </w:rPr>
            </w:pPr>
            <w:r w:rsidRPr="001C3B31">
              <w:rPr>
                <w:rFonts w:ascii="Calibri" w:hAnsi="Calibri" w:cs="Calibri"/>
                <w:szCs w:val="20"/>
                <w:lang w:val="ro-RO"/>
              </w:rPr>
              <w:t>Impact Fiscal</w:t>
            </w:r>
          </w:p>
        </w:tc>
        <w:tc>
          <w:tcPr>
            <w:tcW w:w="4003" w:type="dxa"/>
          </w:tcPr>
          <w:p w:rsidR="004B3372" w:rsidRPr="001C3B31" w:rsidRDefault="004B3372" w:rsidP="00B50045">
            <w:pPr>
              <w:spacing w:before="0"/>
              <w:rPr>
                <w:rFonts w:ascii="Calibri" w:hAnsi="Calibri" w:cs="Calibri"/>
                <w:szCs w:val="20"/>
                <w:lang w:val="ro-RO"/>
              </w:rPr>
            </w:pPr>
            <w:r w:rsidRPr="001C3B31">
              <w:rPr>
                <w:rFonts w:ascii="Calibri" w:hAnsi="Calibri" w:cs="Calibri"/>
                <w:szCs w:val="20"/>
                <w:lang w:val="ro-RO"/>
              </w:rPr>
              <w:t xml:space="preserve">Lipsa modificărilor la nivelul cadrului legal și normativ nu va genera, la rândul său, nici cheltuieli suplimentare de la bugetul de stat. </w:t>
            </w:r>
          </w:p>
          <w:p w:rsidR="004B3372" w:rsidRPr="001C3B31" w:rsidRDefault="004B3372" w:rsidP="00B50045">
            <w:pPr>
              <w:spacing w:before="0"/>
              <w:rPr>
                <w:rFonts w:ascii="Calibri" w:hAnsi="Calibri" w:cs="Calibri"/>
                <w:szCs w:val="20"/>
                <w:lang w:val="ro-RO"/>
              </w:rPr>
            </w:pPr>
          </w:p>
          <w:p w:rsidR="004B3372" w:rsidRPr="001C3B31" w:rsidRDefault="004B3372" w:rsidP="00B50045">
            <w:pPr>
              <w:spacing w:before="0"/>
              <w:rPr>
                <w:rFonts w:ascii="Calibri" w:hAnsi="Calibri" w:cs="Calibri"/>
                <w:szCs w:val="20"/>
                <w:lang w:val="ro-RO"/>
              </w:rPr>
            </w:pPr>
          </w:p>
          <w:p w:rsidR="004B3372" w:rsidRPr="001C3B31" w:rsidRDefault="004B3372" w:rsidP="00B50045">
            <w:pPr>
              <w:spacing w:before="0" w:after="0"/>
              <w:rPr>
                <w:rFonts w:ascii="Calibri" w:hAnsi="Calibri" w:cs="Calibri"/>
                <w:szCs w:val="20"/>
                <w:lang w:val="ro-RO"/>
              </w:rPr>
            </w:pPr>
          </w:p>
          <w:p w:rsidR="004B3372" w:rsidRPr="001C3B31" w:rsidRDefault="004B3372" w:rsidP="00B50045">
            <w:pPr>
              <w:spacing w:before="0" w:after="0"/>
              <w:rPr>
                <w:rFonts w:ascii="Calibri" w:hAnsi="Calibri" w:cs="Calibri"/>
                <w:szCs w:val="20"/>
                <w:lang w:val="ro-RO"/>
              </w:rPr>
            </w:pPr>
          </w:p>
          <w:p w:rsidR="004B3372" w:rsidRPr="001C3B31" w:rsidRDefault="004B3372" w:rsidP="00B50045">
            <w:pPr>
              <w:spacing w:before="0" w:after="0"/>
              <w:contextualSpacing/>
              <w:rPr>
                <w:rFonts w:ascii="Calibri" w:hAnsi="Calibri" w:cs="Calibri"/>
                <w:b/>
                <w:bCs/>
                <w:szCs w:val="20"/>
                <w:lang w:val="ro-RO"/>
              </w:rPr>
            </w:pPr>
            <w:r w:rsidRPr="001C3B31">
              <w:rPr>
                <w:rFonts w:ascii="Calibri" w:hAnsi="Calibri" w:cs="Calibri"/>
                <w:b/>
                <w:bCs/>
                <w:szCs w:val="20"/>
                <w:lang w:val="ro-RO"/>
              </w:rPr>
              <w:t>Cost 0 MDL</w:t>
            </w:r>
          </w:p>
        </w:tc>
        <w:tc>
          <w:tcPr>
            <w:tcW w:w="4678"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Implementarea scenariului</w:t>
            </w:r>
            <w:r>
              <w:rPr>
                <w:rFonts w:ascii="Calibri" w:hAnsi="Calibri" w:cs="Calibri"/>
                <w:szCs w:val="20"/>
                <w:lang w:val="ro-RO"/>
              </w:rPr>
              <w:t>,</w:t>
            </w:r>
            <w:r w:rsidRPr="001C3B31">
              <w:rPr>
                <w:rFonts w:ascii="Calibri" w:hAnsi="Calibri" w:cs="Calibri"/>
                <w:szCs w:val="20"/>
                <w:lang w:val="ro-RO"/>
              </w:rPr>
              <w:t xml:space="preserve"> deși va implica modificarea cadrului legislativ existent, nu va necesita cheltuieli suplimentare din sursele bugetului public. </w:t>
            </w:r>
          </w:p>
          <w:p w:rsidR="004B3372" w:rsidRPr="001C3B31" w:rsidRDefault="004B3372" w:rsidP="00B50045">
            <w:pPr>
              <w:rPr>
                <w:rFonts w:ascii="Calibri" w:hAnsi="Calibri" w:cs="Calibri"/>
                <w:szCs w:val="20"/>
                <w:lang w:val="ro-RO"/>
              </w:rPr>
            </w:pPr>
            <w:r w:rsidRPr="001C3B31">
              <w:rPr>
                <w:rFonts w:ascii="Calibri" w:hAnsi="Calibri" w:cs="Calibri"/>
                <w:szCs w:val="20"/>
                <w:lang w:val="ro-RO"/>
              </w:rPr>
              <w:t>Procedura de modificare a cadrului legislativ va fi efectuată cu implicarea personalului existent, respectiv</w:t>
            </w:r>
            <w:r>
              <w:rPr>
                <w:rFonts w:ascii="Calibri" w:hAnsi="Calibri" w:cs="Calibri"/>
                <w:szCs w:val="20"/>
                <w:lang w:val="ro-RO"/>
              </w:rPr>
              <w:t>,</w:t>
            </w:r>
            <w:r w:rsidRPr="001C3B31">
              <w:rPr>
                <w:rFonts w:ascii="Calibri" w:hAnsi="Calibri" w:cs="Calibri"/>
                <w:szCs w:val="20"/>
                <w:lang w:val="ro-RO"/>
              </w:rPr>
              <w:t xml:space="preserve"> nu va fi necesară suplimentarea cheltuielilor de personale în acest sens. </w:t>
            </w:r>
          </w:p>
          <w:p w:rsidR="004B3372" w:rsidRPr="001C3B31" w:rsidRDefault="004B3372" w:rsidP="00B50045">
            <w:pPr>
              <w:rPr>
                <w:rFonts w:ascii="Calibri" w:hAnsi="Calibri" w:cs="Calibri"/>
                <w:b/>
                <w:bCs/>
                <w:szCs w:val="20"/>
                <w:lang w:val="ro-RO"/>
              </w:rPr>
            </w:pPr>
            <w:r w:rsidRPr="001C3B31">
              <w:rPr>
                <w:rFonts w:ascii="Calibri" w:hAnsi="Calibri" w:cs="Calibri"/>
                <w:b/>
                <w:bCs/>
                <w:szCs w:val="20"/>
                <w:lang w:val="ro-RO"/>
              </w:rPr>
              <w:t>Cost: 0 MDL</w:t>
            </w:r>
          </w:p>
        </w:tc>
        <w:tc>
          <w:tcPr>
            <w:tcW w:w="4382"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Precum și în cazul Scenariului III, implementarea scenariul </w:t>
            </w:r>
            <w:r>
              <w:rPr>
                <w:rFonts w:ascii="Calibri" w:hAnsi="Calibri" w:cs="Calibri"/>
                <w:szCs w:val="20"/>
                <w:lang w:val="ro-RO"/>
              </w:rPr>
              <w:t>respectiv</w:t>
            </w:r>
            <w:r w:rsidRPr="001C3B31">
              <w:rPr>
                <w:rFonts w:ascii="Calibri" w:hAnsi="Calibri" w:cs="Calibri"/>
                <w:szCs w:val="20"/>
                <w:lang w:val="ro-RO"/>
              </w:rPr>
              <w:t xml:space="preserve"> nu va necesita careva cheltuieli suplimentare din sursele bugetului public. </w:t>
            </w:r>
          </w:p>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Procedura de elaborarea a noii norme legislative va fi efectuată cu implicarea personalului existent, respectiv nu va fi necesară suplimentarea cheltuielilor de personal în acest sens. </w:t>
            </w:r>
          </w:p>
          <w:p w:rsidR="004B3372" w:rsidRPr="001C3B31" w:rsidRDefault="004B3372" w:rsidP="00B50045">
            <w:pPr>
              <w:rPr>
                <w:rFonts w:ascii="Calibri" w:hAnsi="Calibri" w:cs="Calibri"/>
                <w:b/>
                <w:bCs/>
                <w:szCs w:val="20"/>
                <w:lang w:val="ro-RO"/>
              </w:rPr>
            </w:pPr>
            <w:r w:rsidRPr="001C3B31">
              <w:rPr>
                <w:rFonts w:ascii="Calibri" w:hAnsi="Calibri" w:cs="Calibri"/>
                <w:b/>
                <w:bCs/>
                <w:szCs w:val="20"/>
                <w:lang w:val="ro-RO"/>
              </w:rPr>
              <w:t>Cost: 0 MDL</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cantSplit/>
          <w:trHeight w:val="270"/>
        </w:trPr>
        <w:tc>
          <w:tcPr>
            <w:tcW w:w="653" w:type="dxa"/>
            <w:textDirection w:val="btLr"/>
          </w:tcPr>
          <w:p w:rsidR="004B3372" w:rsidRPr="001C3B31" w:rsidRDefault="004B3372" w:rsidP="00B50045">
            <w:pPr>
              <w:ind w:left="113" w:right="113"/>
              <w:rPr>
                <w:rFonts w:ascii="Calibri" w:hAnsi="Calibri" w:cs="Calibri"/>
                <w:szCs w:val="20"/>
                <w:lang w:val="ro-RO"/>
              </w:rPr>
            </w:pPr>
          </w:p>
        </w:tc>
        <w:tc>
          <w:tcPr>
            <w:tcW w:w="4003"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0</w:t>
            </w:r>
          </w:p>
        </w:tc>
        <w:tc>
          <w:tcPr>
            <w:tcW w:w="4678"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0</w:t>
            </w:r>
          </w:p>
        </w:tc>
        <w:tc>
          <w:tcPr>
            <w:tcW w:w="4382"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0</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cantSplit/>
          <w:trHeight w:val="2118"/>
        </w:trPr>
        <w:tc>
          <w:tcPr>
            <w:tcW w:w="653" w:type="dxa"/>
            <w:textDirection w:val="btLr"/>
          </w:tcPr>
          <w:p w:rsidR="004B3372" w:rsidRPr="001C3B31" w:rsidRDefault="004B3372" w:rsidP="00B50045">
            <w:pPr>
              <w:ind w:left="113" w:right="113"/>
              <w:jc w:val="center"/>
              <w:rPr>
                <w:rFonts w:ascii="Calibri" w:hAnsi="Calibri" w:cs="Calibri"/>
                <w:szCs w:val="20"/>
                <w:lang w:val="ro-RO"/>
              </w:rPr>
            </w:pPr>
            <w:r w:rsidRPr="001C3B31">
              <w:rPr>
                <w:rFonts w:ascii="Calibri" w:hAnsi="Calibri" w:cs="Calibri"/>
                <w:szCs w:val="20"/>
                <w:lang w:val="ro-RO"/>
              </w:rPr>
              <w:t>Impact Administrativ</w:t>
            </w:r>
          </w:p>
        </w:tc>
        <w:tc>
          <w:tcPr>
            <w:tcW w:w="4003" w:type="dxa"/>
          </w:tcPr>
          <w:p w:rsidR="004B3372" w:rsidRPr="001C3B31" w:rsidRDefault="004B3372" w:rsidP="00B50045">
            <w:pPr>
              <w:rPr>
                <w:rFonts w:ascii="Calibri" w:hAnsi="Calibri" w:cs="Calibri"/>
                <w:szCs w:val="20"/>
                <w:lang w:val="ro-RO"/>
              </w:rPr>
            </w:pPr>
          </w:p>
        </w:tc>
        <w:tc>
          <w:tcPr>
            <w:tcW w:w="4678"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Eforturi suplimentare: </w:t>
            </w:r>
          </w:p>
          <w:p w:rsidR="004B3372" w:rsidRPr="001C3B31" w:rsidRDefault="004B3372" w:rsidP="004B3372">
            <w:pPr>
              <w:pStyle w:val="ListParagraph"/>
              <w:numPr>
                <w:ilvl w:val="0"/>
                <w:numId w:val="13"/>
              </w:numPr>
              <w:ind w:left="472"/>
              <w:rPr>
                <w:rFonts w:ascii="Calibri" w:hAnsi="Calibri" w:cs="Calibri"/>
                <w:szCs w:val="20"/>
                <w:lang w:val="ro-RO"/>
              </w:rPr>
            </w:pPr>
            <w:r w:rsidRPr="001C3B31">
              <w:rPr>
                <w:rFonts w:ascii="Calibri" w:hAnsi="Calibri" w:cs="Calibri"/>
                <w:szCs w:val="20"/>
                <w:lang w:val="ro-RO"/>
              </w:rPr>
              <w:t xml:space="preserve">Elaborarea modificărilor la cadrul juridic existent și în special modificarea Legii </w:t>
            </w:r>
            <w:r>
              <w:rPr>
                <w:rFonts w:ascii="Calibri" w:hAnsi="Calibri" w:cs="Calibri"/>
                <w:szCs w:val="20"/>
                <w:lang w:val="ro-RO"/>
              </w:rPr>
              <w:t xml:space="preserve">nr. </w:t>
            </w:r>
            <w:r w:rsidRPr="001C3B31">
              <w:rPr>
                <w:rFonts w:ascii="Calibri" w:hAnsi="Calibri" w:cs="Calibri"/>
                <w:szCs w:val="20"/>
                <w:lang w:val="ro-RO"/>
              </w:rPr>
              <w:t>837/1996 cu privire la asociațiile obștești</w:t>
            </w:r>
            <w:r>
              <w:rPr>
                <w:rFonts w:ascii="Calibri" w:hAnsi="Calibri" w:cs="Calibri"/>
                <w:szCs w:val="20"/>
                <w:lang w:val="ro-RO"/>
              </w:rPr>
              <w:t>.</w:t>
            </w:r>
          </w:p>
          <w:p w:rsidR="004B3372" w:rsidRPr="001C3B31" w:rsidRDefault="004B3372" w:rsidP="004B3372">
            <w:pPr>
              <w:pStyle w:val="ListParagraph"/>
              <w:numPr>
                <w:ilvl w:val="0"/>
                <w:numId w:val="13"/>
              </w:numPr>
              <w:ind w:left="472"/>
              <w:rPr>
                <w:rFonts w:ascii="Calibri" w:hAnsi="Calibri" w:cs="Calibri"/>
                <w:szCs w:val="20"/>
                <w:lang w:val="ro-RO"/>
              </w:rPr>
            </w:pPr>
            <w:r w:rsidRPr="001C3B31">
              <w:rPr>
                <w:rFonts w:ascii="Calibri" w:hAnsi="Calibri" w:cs="Calibri"/>
                <w:szCs w:val="20"/>
                <w:lang w:val="ro-RO"/>
              </w:rPr>
              <w:t>Elaborarea fișei de post pentru personalul din cadrul APL</w:t>
            </w:r>
            <w:r>
              <w:rPr>
                <w:rFonts w:ascii="Calibri" w:hAnsi="Calibri" w:cs="Calibri"/>
                <w:szCs w:val="20"/>
                <w:lang w:val="ro-RO"/>
              </w:rPr>
              <w:t>.</w:t>
            </w:r>
          </w:p>
          <w:p w:rsidR="004B3372" w:rsidRPr="001C3B31" w:rsidRDefault="004B3372" w:rsidP="004B3372">
            <w:pPr>
              <w:pStyle w:val="ListParagraph"/>
              <w:numPr>
                <w:ilvl w:val="0"/>
                <w:numId w:val="13"/>
              </w:numPr>
              <w:ind w:left="472"/>
              <w:rPr>
                <w:rFonts w:ascii="Calibri" w:hAnsi="Calibri" w:cs="Calibri"/>
                <w:szCs w:val="20"/>
                <w:lang w:val="ro-RO"/>
              </w:rPr>
            </w:pPr>
            <w:r w:rsidRPr="001C3B31">
              <w:rPr>
                <w:rFonts w:ascii="Calibri" w:hAnsi="Calibri" w:cs="Calibri"/>
                <w:szCs w:val="20"/>
                <w:lang w:val="ro-RO"/>
              </w:rPr>
              <w:t>Instruirea personalului referitor la activitatea GAL-urilor și a principiilor de Dezvoltare Rurală</w:t>
            </w:r>
            <w:r>
              <w:rPr>
                <w:rFonts w:ascii="Calibri" w:hAnsi="Calibri" w:cs="Calibri"/>
                <w:szCs w:val="20"/>
                <w:lang w:val="ro-RO"/>
              </w:rPr>
              <w:t>.</w:t>
            </w:r>
          </w:p>
        </w:tc>
        <w:tc>
          <w:tcPr>
            <w:tcW w:w="4382"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Eforturi suplimentare: </w:t>
            </w:r>
          </w:p>
          <w:p w:rsidR="004B3372" w:rsidRPr="001C3B31" w:rsidRDefault="004B3372" w:rsidP="004B3372">
            <w:pPr>
              <w:pStyle w:val="ListParagraph"/>
              <w:numPr>
                <w:ilvl w:val="0"/>
                <w:numId w:val="14"/>
              </w:numPr>
              <w:ind w:left="474"/>
              <w:rPr>
                <w:rFonts w:ascii="Calibri" w:hAnsi="Calibri" w:cs="Calibri"/>
                <w:szCs w:val="20"/>
                <w:lang w:val="ro-RO"/>
              </w:rPr>
            </w:pPr>
            <w:r w:rsidRPr="001C3B31">
              <w:rPr>
                <w:rFonts w:ascii="Calibri" w:hAnsi="Calibri" w:cs="Calibri"/>
                <w:szCs w:val="20"/>
                <w:lang w:val="ro-RO"/>
              </w:rPr>
              <w:t xml:space="preserve">Elaborarea de </w:t>
            </w:r>
            <w:r>
              <w:rPr>
                <w:rFonts w:ascii="Calibri" w:hAnsi="Calibri" w:cs="Calibri"/>
                <w:szCs w:val="20"/>
                <w:lang w:val="ro-RO"/>
              </w:rPr>
              <w:t>la „zero” a cadrului legislativ.</w:t>
            </w:r>
          </w:p>
          <w:p w:rsidR="004B3372" w:rsidRPr="001C3B31" w:rsidRDefault="004B3372" w:rsidP="004B3372">
            <w:pPr>
              <w:pStyle w:val="ListParagraph"/>
              <w:numPr>
                <w:ilvl w:val="0"/>
                <w:numId w:val="14"/>
              </w:numPr>
              <w:ind w:left="474"/>
              <w:rPr>
                <w:rFonts w:ascii="Calibri" w:hAnsi="Calibri" w:cs="Calibri"/>
                <w:szCs w:val="20"/>
                <w:lang w:val="ro-RO"/>
              </w:rPr>
            </w:pPr>
            <w:r w:rsidRPr="001C3B31">
              <w:rPr>
                <w:rFonts w:ascii="Calibri" w:hAnsi="Calibri" w:cs="Calibri"/>
                <w:szCs w:val="20"/>
                <w:lang w:val="ro-RO"/>
              </w:rPr>
              <w:t>Elaborarea fișei de post pentru personalul din cadrul APL</w:t>
            </w:r>
            <w:r>
              <w:rPr>
                <w:rFonts w:ascii="Calibri" w:hAnsi="Calibri" w:cs="Calibri"/>
                <w:szCs w:val="20"/>
                <w:lang w:val="ro-RO"/>
              </w:rPr>
              <w:t>.</w:t>
            </w:r>
          </w:p>
          <w:p w:rsidR="004B3372" w:rsidRPr="001C3B31" w:rsidRDefault="004B3372" w:rsidP="004B3372">
            <w:pPr>
              <w:pStyle w:val="ListParagraph"/>
              <w:numPr>
                <w:ilvl w:val="0"/>
                <w:numId w:val="14"/>
              </w:numPr>
              <w:ind w:left="474"/>
              <w:rPr>
                <w:rFonts w:ascii="Calibri" w:hAnsi="Calibri" w:cs="Calibri"/>
                <w:szCs w:val="20"/>
                <w:lang w:val="ro-RO"/>
              </w:rPr>
            </w:pPr>
            <w:r w:rsidRPr="001C3B31">
              <w:rPr>
                <w:rFonts w:ascii="Calibri" w:hAnsi="Calibri" w:cs="Calibri"/>
                <w:szCs w:val="20"/>
                <w:lang w:val="ro-RO"/>
              </w:rPr>
              <w:t>Instruirea personalului referitor la activitatea GAL-urilor și a principiilor de Dezvoltare Rurală</w:t>
            </w:r>
            <w:r>
              <w:rPr>
                <w:rFonts w:ascii="Calibri" w:hAnsi="Calibri" w:cs="Calibri"/>
                <w:szCs w:val="20"/>
                <w:lang w:val="ro-RO"/>
              </w:rPr>
              <w:t>.</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cantSplit/>
          <w:trHeight w:val="119"/>
        </w:trPr>
        <w:tc>
          <w:tcPr>
            <w:tcW w:w="653" w:type="dxa"/>
            <w:textDirection w:val="btLr"/>
          </w:tcPr>
          <w:p w:rsidR="004B3372" w:rsidRPr="001C3B31" w:rsidRDefault="004B3372" w:rsidP="00B50045">
            <w:pPr>
              <w:ind w:left="113" w:right="113"/>
              <w:jc w:val="center"/>
              <w:rPr>
                <w:rFonts w:ascii="Calibri" w:hAnsi="Calibri" w:cs="Calibri"/>
                <w:szCs w:val="20"/>
                <w:lang w:val="ro-RO"/>
              </w:rPr>
            </w:pPr>
          </w:p>
        </w:tc>
        <w:tc>
          <w:tcPr>
            <w:tcW w:w="4003"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0</w:t>
            </w:r>
          </w:p>
        </w:tc>
        <w:tc>
          <w:tcPr>
            <w:tcW w:w="4678"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-3</w:t>
            </w:r>
          </w:p>
        </w:tc>
        <w:tc>
          <w:tcPr>
            <w:tcW w:w="4382"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-3</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cantSplit/>
          <w:trHeight w:val="1815"/>
        </w:trPr>
        <w:tc>
          <w:tcPr>
            <w:tcW w:w="653" w:type="dxa"/>
            <w:vMerge w:val="restart"/>
            <w:textDirection w:val="btLr"/>
          </w:tcPr>
          <w:p w:rsidR="004B3372" w:rsidRPr="001C3B31" w:rsidRDefault="004B3372" w:rsidP="00B50045">
            <w:pPr>
              <w:ind w:left="113" w:right="113"/>
              <w:rPr>
                <w:rFonts w:ascii="Calibri" w:hAnsi="Calibri" w:cs="Calibri"/>
                <w:szCs w:val="20"/>
                <w:lang w:val="ro-RO"/>
              </w:rPr>
            </w:pPr>
            <w:r w:rsidRPr="001C3B31">
              <w:rPr>
                <w:rFonts w:ascii="Calibri" w:hAnsi="Calibri" w:cs="Calibri"/>
                <w:szCs w:val="20"/>
                <w:lang w:val="ro-RO"/>
              </w:rPr>
              <w:t>Impactul Economic</w:t>
            </w:r>
          </w:p>
        </w:tc>
        <w:tc>
          <w:tcPr>
            <w:tcW w:w="4003"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Efecte pozitive: </w:t>
            </w:r>
          </w:p>
          <w:p w:rsidR="004B3372" w:rsidRPr="001C3B31" w:rsidRDefault="004B3372" w:rsidP="00B50045">
            <w:pPr>
              <w:rPr>
                <w:rFonts w:ascii="Calibri" w:hAnsi="Calibri" w:cs="Calibri"/>
                <w:szCs w:val="20"/>
                <w:lang w:val="ro-RO"/>
              </w:rPr>
            </w:pPr>
          </w:p>
        </w:tc>
        <w:tc>
          <w:tcPr>
            <w:tcW w:w="4678"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Efecte pozitive: </w:t>
            </w:r>
          </w:p>
          <w:p w:rsidR="004B3372" w:rsidRPr="001C3B31" w:rsidRDefault="004B3372" w:rsidP="004B3372">
            <w:pPr>
              <w:pStyle w:val="ListParagraph"/>
              <w:numPr>
                <w:ilvl w:val="0"/>
                <w:numId w:val="25"/>
              </w:numPr>
              <w:ind w:left="404"/>
              <w:rPr>
                <w:rFonts w:ascii="Calibri" w:hAnsi="Calibri" w:cs="Calibri"/>
                <w:szCs w:val="20"/>
                <w:lang w:val="ro-RO"/>
              </w:rPr>
            </w:pPr>
            <w:r w:rsidRPr="001C3B31">
              <w:rPr>
                <w:rFonts w:ascii="Calibri" w:hAnsi="Calibri" w:cs="Calibri"/>
                <w:szCs w:val="20"/>
                <w:lang w:val="ro-RO"/>
              </w:rPr>
              <w:t>Obținerea finanțării din sursele FNDAMR</w:t>
            </w:r>
            <w:r>
              <w:rPr>
                <w:rFonts w:ascii="Calibri" w:hAnsi="Calibri" w:cs="Calibri"/>
                <w:szCs w:val="20"/>
                <w:lang w:val="ro-RO"/>
              </w:rPr>
              <w:t>.</w:t>
            </w:r>
          </w:p>
          <w:p w:rsidR="004B3372" w:rsidRPr="001C3B31" w:rsidRDefault="004B3372" w:rsidP="004B3372">
            <w:pPr>
              <w:pStyle w:val="ListParagraph"/>
              <w:numPr>
                <w:ilvl w:val="0"/>
                <w:numId w:val="25"/>
              </w:numPr>
              <w:ind w:left="404"/>
              <w:rPr>
                <w:rFonts w:ascii="Calibri" w:hAnsi="Calibri" w:cs="Calibri"/>
                <w:szCs w:val="20"/>
                <w:lang w:val="ro-RO"/>
              </w:rPr>
            </w:pPr>
            <w:r w:rsidRPr="001C3B31">
              <w:rPr>
                <w:rFonts w:ascii="Calibri" w:hAnsi="Calibri" w:cs="Calibri"/>
                <w:szCs w:val="20"/>
                <w:lang w:val="ro-RO"/>
              </w:rPr>
              <w:t>Creșterea valorii medii a proiectelor de dezvoltare economică</w:t>
            </w:r>
            <w:r>
              <w:rPr>
                <w:rFonts w:ascii="Calibri" w:hAnsi="Calibri" w:cs="Calibri"/>
                <w:szCs w:val="20"/>
                <w:lang w:val="ro-RO"/>
              </w:rPr>
              <w:t>.</w:t>
            </w:r>
            <w:r w:rsidRPr="001C3B31">
              <w:rPr>
                <w:rFonts w:ascii="Calibri" w:hAnsi="Calibri" w:cs="Calibri"/>
                <w:szCs w:val="20"/>
                <w:lang w:val="ro-RO"/>
              </w:rPr>
              <w:t xml:space="preserve"> </w:t>
            </w:r>
          </w:p>
        </w:tc>
        <w:tc>
          <w:tcPr>
            <w:tcW w:w="4382"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Efecte pozitive: </w:t>
            </w:r>
          </w:p>
          <w:p w:rsidR="004B3372" w:rsidRPr="001C3B31" w:rsidRDefault="004B3372" w:rsidP="004B3372">
            <w:pPr>
              <w:pStyle w:val="ListParagraph"/>
              <w:numPr>
                <w:ilvl w:val="0"/>
                <w:numId w:val="26"/>
              </w:numPr>
              <w:ind w:left="338"/>
              <w:rPr>
                <w:rFonts w:ascii="Calibri" w:hAnsi="Calibri" w:cs="Calibri"/>
                <w:szCs w:val="20"/>
                <w:lang w:val="ro-RO"/>
              </w:rPr>
            </w:pPr>
            <w:r w:rsidRPr="001C3B31">
              <w:rPr>
                <w:rFonts w:ascii="Calibri" w:hAnsi="Calibri" w:cs="Calibri"/>
                <w:szCs w:val="20"/>
                <w:lang w:val="ro-RO"/>
              </w:rPr>
              <w:t>Obținerea finanțării din sursele FNDAMR</w:t>
            </w:r>
            <w:r>
              <w:rPr>
                <w:rFonts w:ascii="Calibri" w:hAnsi="Calibri" w:cs="Calibri"/>
                <w:szCs w:val="20"/>
                <w:lang w:val="ro-RO"/>
              </w:rPr>
              <w:t>.</w:t>
            </w:r>
          </w:p>
          <w:p w:rsidR="004B3372" w:rsidRPr="001C3B31" w:rsidRDefault="004B3372" w:rsidP="004B3372">
            <w:pPr>
              <w:pStyle w:val="ListParagraph"/>
              <w:numPr>
                <w:ilvl w:val="0"/>
                <w:numId w:val="26"/>
              </w:numPr>
              <w:ind w:left="338"/>
              <w:rPr>
                <w:rFonts w:ascii="Calibri" w:hAnsi="Calibri" w:cs="Calibri"/>
                <w:szCs w:val="20"/>
                <w:lang w:val="ro-RO"/>
              </w:rPr>
            </w:pPr>
            <w:r w:rsidRPr="001C3B31">
              <w:rPr>
                <w:rFonts w:ascii="Calibri" w:hAnsi="Calibri" w:cs="Calibri"/>
                <w:szCs w:val="20"/>
                <w:lang w:val="ro-RO"/>
              </w:rPr>
              <w:t>Obținerea finanțării din cadrul programelor de finanțare externă</w:t>
            </w:r>
            <w:r>
              <w:rPr>
                <w:rFonts w:ascii="Calibri" w:hAnsi="Calibri" w:cs="Calibri"/>
                <w:szCs w:val="20"/>
                <w:lang w:val="ro-RO"/>
              </w:rPr>
              <w:t>.</w:t>
            </w:r>
          </w:p>
          <w:p w:rsidR="004B3372" w:rsidRPr="001C3B31" w:rsidRDefault="004B3372" w:rsidP="004B3372">
            <w:pPr>
              <w:pStyle w:val="ListParagraph"/>
              <w:numPr>
                <w:ilvl w:val="0"/>
                <w:numId w:val="26"/>
              </w:numPr>
              <w:ind w:left="338"/>
              <w:rPr>
                <w:rFonts w:ascii="Calibri" w:hAnsi="Calibri" w:cs="Calibri"/>
                <w:szCs w:val="20"/>
                <w:lang w:val="ro-RO"/>
              </w:rPr>
            </w:pPr>
            <w:r w:rsidRPr="001C3B31">
              <w:rPr>
                <w:rFonts w:ascii="Calibri" w:hAnsi="Calibri" w:cs="Calibri"/>
                <w:szCs w:val="20"/>
                <w:lang w:val="ro-RO"/>
              </w:rPr>
              <w:t>Obținerea finanțării în cadrul proiectelor transfrontaliere</w:t>
            </w:r>
            <w:r>
              <w:rPr>
                <w:rFonts w:ascii="Calibri" w:hAnsi="Calibri" w:cs="Calibri"/>
                <w:szCs w:val="20"/>
                <w:lang w:val="ro-RO"/>
              </w:rPr>
              <w:t>.</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cantSplit/>
          <w:trHeight w:val="416"/>
        </w:trPr>
        <w:tc>
          <w:tcPr>
            <w:tcW w:w="653" w:type="dxa"/>
            <w:vMerge/>
            <w:textDirection w:val="btLr"/>
          </w:tcPr>
          <w:p w:rsidR="004B3372" w:rsidRPr="001C3B31" w:rsidRDefault="004B3372" w:rsidP="00B50045">
            <w:pPr>
              <w:ind w:left="113" w:right="113"/>
              <w:rPr>
                <w:rFonts w:ascii="Calibri" w:hAnsi="Calibri" w:cs="Calibri"/>
                <w:szCs w:val="20"/>
                <w:lang w:val="ro-RO"/>
              </w:rPr>
            </w:pPr>
          </w:p>
        </w:tc>
        <w:tc>
          <w:tcPr>
            <w:tcW w:w="4003"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Efecte negative: </w:t>
            </w:r>
          </w:p>
          <w:p w:rsidR="004B3372" w:rsidRPr="001C3B31" w:rsidRDefault="004B3372" w:rsidP="004B3372">
            <w:pPr>
              <w:pStyle w:val="ListParagraph"/>
              <w:numPr>
                <w:ilvl w:val="0"/>
                <w:numId w:val="27"/>
              </w:numPr>
              <w:ind w:left="362"/>
              <w:rPr>
                <w:rFonts w:ascii="Calibri" w:hAnsi="Calibri" w:cs="Calibri"/>
                <w:szCs w:val="20"/>
                <w:lang w:val="ro-RO"/>
              </w:rPr>
            </w:pPr>
            <w:r w:rsidRPr="001C3B31">
              <w:rPr>
                <w:rFonts w:ascii="Calibri" w:hAnsi="Calibri" w:cs="Calibri"/>
                <w:szCs w:val="20"/>
                <w:lang w:val="ro-RO"/>
              </w:rPr>
              <w:t>Lipsa finanțări din surse publice</w:t>
            </w:r>
          </w:p>
          <w:p w:rsidR="004B3372" w:rsidRPr="001C3B31" w:rsidRDefault="004B3372" w:rsidP="004B3372">
            <w:pPr>
              <w:pStyle w:val="ListParagraph"/>
              <w:numPr>
                <w:ilvl w:val="0"/>
                <w:numId w:val="27"/>
              </w:numPr>
              <w:ind w:left="362"/>
              <w:rPr>
                <w:rFonts w:ascii="Calibri" w:hAnsi="Calibri" w:cs="Calibri"/>
                <w:szCs w:val="20"/>
                <w:lang w:val="ro-RO"/>
              </w:rPr>
            </w:pPr>
            <w:r w:rsidRPr="001C3B31">
              <w:rPr>
                <w:rFonts w:ascii="Calibri" w:hAnsi="Calibri" w:cs="Calibri"/>
                <w:szCs w:val="20"/>
                <w:lang w:val="ro-RO"/>
              </w:rPr>
              <w:t>Finanțare redusă exclusiv din surse externe</w:t>
            </w:r>
          </w:p>
          <w:p w:rsidR="004B3372" w:rsidRPr="001C3B31" w:rsidRDefault="004B3372" w:rsidP="004B3372">
            <w:pPr>
              <w:pStyle w:val="ListParagraph"/>
              <w:numPr>
                <w:ilvl w:val="0"/>
                <w:numId w:val="27"/>
              </w:numPr>
              <w:ind w:left="362"/>
              <w:rPr>
                <w:rFonts w:ascii="Calibri" w:hAnsi="Calibri" w:cs="Calibri"/>
                <w:szCs w:val="20"/>
                <w:lang w:val="ro-RO"/>
              </w:rPr>
            </w:pPr>
            <w:r w:rsidRPr="001C3B31">
              <w:rPr>
                <w:rFonts w:ascii="Calibri" w:hAnsi="Calibri" w:cs="Calibri"/>
                <w:szCs w:val="20"/>
                <w:lang w:val="ro-RO"/>
              </w:rPr>
              <w:t>Valoare redusă a proiectelor de dezvoltare locală</w:t>
            </w:r>
          </w:p>
        </w:tc>
        <w:tc>
          <w:tcPr>
            <w:tcW w:w="4678"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Efecte negative: </w:t>
            </w:r>
          </w:p>
          <w:p w:rsidR="004B3372" w:rsidRPr="001C3B31" w:rsidRDefault="004B3372" w:rsidP="004B3372">
            <w:pPr>
              <w:pStyle w:val="ListParagraph"/>
              <w:numPr>
                <w:ilvl w:val="0"/>
                <w:numId w:val="28"/>
              </w:numPr>
              <w:ind w:left="404"/>
              <w:rPr>
                <w:rFonts w:ascii="Calibri" w:hAnsi="Calibri" w:cs="Calibri"/>
                <w:szCs w:val="20"/>
                <w:lang w:val="ro-RO"/>
              </w:rPr>
            </w:pPr>
            <w:r w:rsidRPr="001C3B31">
              <w:rPr>
                <w:rFonts w:ascii="Calibri" w:hAnsi="Calibri" w:cs="Calibri"/>
                <w:szCs w:val="20"/>
                <w:lang w:val="ro-RO"/>
              </w:rPr>
              <w:t xml:space="preserve">Finanțare externă redusă </w:t>
            </w:r>
          </w:p>
          <w:p w:rsidR="004B3372" w:rsidRPr="001C3B31" w:rsidRDefault="004B3372" w:rsidP="004B3372">
            <w:pPr>
              <w:pStyle w:val="ListParagraph"/>
              <w:numPr>
                <w:ilvl w:val="0"/>
                <w:numId w:val="28"/>
              </w:numPr>
              <w:ind w:left="404"/>
              <w:rPr>
                <w:rFonts w:ascii="Calibri" w:hAnsi="Calibri" w:cs="Calibri"/>
                <w:szCs w:val="20"/>
                <w:lang w:val="ro-RO"/>
              </w:rPr>
            </w:pPr>
            <w:r w:rsidRPr="001C3B31">
              <w:rPr>
                <w:rFonts w:ascii="Calibri" w:hAnsi="Calibri" w:cs="Calibri"/>
                <w:szCs w:val="20"/>
                <w:lang w:val="ro-RO"/>
              </w:rPr>
              <w:t>Îngustarea posibilităților implementării unor proiecte transfrontaliere</w:t>
            </w:r>
          </w:p>
        </w:tc>
        <w:tc>
          <w:tcPr>
            <w:tcW w:w="4382" w:type="dxa"/>
          </w:tcPr>
          <w:p w:rsidR="004B3372" w:rsidRPr="001C3B31" w:rsidRDefault="004B3372" w:rsidP="00B50045">
            <w:pPr>
              <w:rPr>
                <w:rFonts w:ascii="Calibri" w:hAnsi="Calibri" w:cs="Calibri"/>
                <w:szCs w:val="20"/>
                <w:lang w:val="ro-RO"/>
              </w:rPr>
            </w:pPr>
          </w:p>
        </w:tc>
      </w:tr>
      <w:tr w:rsidR="004B3372" w:rsidRPr="001C3B31" w:rsidTr="00B50045">
        <w:trPr>
          <w:cnfStyle w:val="000000100000" w:firstRow="0" w:lastRow="0" w:firstColumn="0" w:lastColumn="0" w:oddVBand="0" w:evenVBand="0" w:oddHBand="1" w:evenHBand="0" w:firstRowFirstColumn="0" w:firstRowLastColumn="0" w:lastRowFirstColumn="0" w:lastRowLastColumn="0"/>
          <w:cantSplit/>
          <w:trHeight w:val="85"/>
        </w:trPr>
        <w:tc>
          <w:tcPr>
            <w:tcW w:w="653" w:type="dxa"/>
            <w:textDirection w:val="btLr"/>
          </w:tcPr>
          <w:p w:rsidR="004B3372" w:rsidRPr="001C3B31" w:rsidRDefault="004B3372" w:rsidP="00B50045">
            <w:pPr>
              <w:ind w:left="113" w:right="113"/>
              <w:rPr>
                <w:rFonts w:ascii="Calibri" w:hAnsi="Calibri" w:cs="Calibri"/>
                <w:szCs w:val="20"/>
                <w:lang w:val="ro-RO"/>
              </w:rPr>
            </w:pPr>
          </w:p>
        </w:tc>
        <w:tc>
          <w:tcPr>
            <w:tcW w:w="4003"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-3</w:t>
            </w:r>
          </w:p>
        </w:tc>
        <w:tc>
          <w:tcPr>
            <w:tcW w:w="4678"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0</w:t>
            </w:r>
          </w:p>
        </w:tc>
        <w:tc>
          <w:tcPr>
            <w:tcW w:w="4382"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+3</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cantSplit/>
          <w:trHeight w:val="841"/>
        </w:trPr>
        <w:tc>
          <w:tcPr>
            <w:tcW w:w="653" w:type="dxa"/>
            <w:vMerge w:val="restart"/>
            <w:textDirection w:val="btLr"/>
          </w:tcPr>
          <w:p w:rsidR="004B3372" w:rsidRPr="001C3B31" w:rsidRDefault="004B3372" w:rsidP="00B50045">
            <w:pPr>
              <w:ind w:left="113" w:right="113"/>
              <w:jc w:val="center"/>
              <w:rPr>
                <w:rFonts w:ascii="Calibri" w:hAnsi="Calibri" w:cs="Calibri"/>
                <w:szCs w:val="20"/>
                <w:lang w:val="ro-RO"/>
              </w:rPr>
            </w:pPr>
            <w:r w:rsidRPr="001C3B31">
              <w:rPr>
                <w:rFonts w:ascii="Calibri" w:hAnsi="Calibri" w:cs="Calibri"/>
                <w:szCs w:val="20"/>
                <w:lang w:val="ro-RO"/>
              </w:rPr>
              <w:t>Impactul Social</w:t>
            </w:r>
          </w:p>
        </w:tc>
        <w:tc>
          <w:tcPr>
            <w:tcW w:w="4003" w:type="dxa"/>
          </w:tcPr>
          <w:p w:rsidR="004B3372" w:rsidRPr="001C3B31" w:rsidRDefault="004B3372" w:rsidP="00B50045">
            <w:pPr>
              <w:ind w:left="360"/>
              <w:rPr>
                <w:rFonts w:ascii="Calibri" w:hAnsi="Calibri" w:cs="Calibri"/>
                <w:szCs w:val="20"/>
                <w:lang w:val="ro-RO"/>
              </w:rPr>
            </w:pPr>
          </w:p>
        </w:tc>
        <w:tc>
          <w:tcPr>
            <w:tcW w:w="4678"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Efecte pozitive: </w:t>
            </w:r>
          </w:p>
          <w:p w:rsidR="004B3372" w:rsidRPr="001C3B31" w:rsidRDefault="004B3372" w:rsidP="004B3372">
            <w:pPr>
              <w:pStyle w:val="ListParagraph"/>
              <w:numPr>
                <w:ilvl w:val="0"/>
                <w:numId w:val="16"/>
              </w:numPr>
              <w:ind w:left="404"/>
              <w:rPr>
                <w:rFonts w:ascii="Calibri" w:hAnsi="Calibri" w:cs="Calibri"/>
                <w:szCs w:val="20"/>
                <w:lang w:val="ro-RO"/>
              </w:rPr>
            </w:pPr>
            <w:r w:rsidRPr="001C3B31">
              <w:rPr>
                <w:rFonts w:ascii="Calibri" w:hAnsi="Calibri" w:cs="Calibri"/>
                <w:szCs w:val="20"/>
                <w:lang w:val="ro-RO"/>
              </w:rPr>
              <w:t xml:space="preserve">Creșterea </w:t>
            </w:r>
            <w:r>
              <w:rPr>
                <w:rFonts w:ascii="Calibri" w:hAnsi="Calibri" w:cs="Calibri"/>
                <w:szCs w:val="20"/>
                <w:lang w:val="ro-RO"/>
              </w:rPr>
              <w:t>credibilității</w:t>
            </w:r>
            <w:r w:rsidRPr="001C3B31">
              <w:rPr>
                <w:rFonts w:ascii="Calibri" w:hAnsi="Calibri" w:cs="Calibri"/>
                <w:szCs w:val="20"/>
                <w:lang w:val="ro-RO"/>
              </w:rPr>
              <w:t xml:space="preserve"> consiliilor locale în GAL-uri. </w:t>
            </w:r>
          </w:p>
          <w:p w:rsidR="004B3372" w:rsidRPr="001C3B31" w:rsidRDefault="004B3372" w:rsidP="004B3372">
            <w:pPr>
              <w:pStyle w:val="ListParagraph"/>
              <w:numPr>
                <w:ilvl w:val="0"/>
                <w:numId w:val="16"/>
              </w:numPr>
              <w:ind w:left="404"/>
              <w:rPr>
                <w:rFonts w:ascii="Calibri" w:hAnsi="Calibri" w:cs="Calibri"/>
                <w:szCs w:val="20"/>
                <w:lang w:val="ro-RO"/>
              </w:rPr>
            </w:pPr>
            <w:r w:rsidRPr="001C3B31">
              <w:rPr>
                <w:rFonts w:ascii="Calibri" w:hAnsi="Calibri" w:cs="Calibri"/>
                <w:szCs w:val="20"/>
                <w:lang w:val="ro-RO"/>
              </w:rPr>
              <w:t>Resurse administrative suplimentare pentru elaborarea proiectelor cu conotație socială</w:t>
            </w:r>
          </w:p>
          <w:p w:rsidR="004B3372" w:rsidRPr="001C3B31" w:rsidRDefault="004B3372" w:rsidP="00B50045">
            <w:pPr>
              <w:ind w:left="360"/>
              <w:rPr>
                <w:rFonts w:ascii="Calibri" w:hAnsi="Calibri" w:cs="Calibri"/>
                <w:szCs w:val="20"/>
                <w:lang w:val="ro-RO"/>
              </w:rPr>
            </w:pPr>
          </w:p>
        </w:tc>
        <w:tc>
          <w:tcPr>
            <w:tcW w:w="4382"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Efecte pozitive: </w:t>
            </w:r>
          </w:p>
          <w:p w:rsidR="004B3372" w:rsidRPr="001C3B31" w:rsidRDefault="004B3372" w:rsidP="004B3372">
            <w:pPr>
              <w:pStyle w:val="ListParagraph"/>
              <w:numPr>
                <w:ilvl w:val="0"/>
                <w:numId w:val="16"/>
              </w:numPr>
              <w:ind w:left="323"/>
              <w:rPr>
                <w:rFonts w:ascii="Calibri" w:hAnsi="Calibri" w:cs="Calibri"/>
                <w:szCs w:val="20"/>
                <w:lang w:val="ro-RO"/>
              </w:rPr>
            </w:pPr>
            <w:r w:rsidRPr="001C3B31">
              <w:rPr>
                <w:rFonts w:ascii="Calibri" w:hAnsi="Calibri" w:cs="Calibri"/>
                <w:szCs w:val="20"/>
                <w:lang w:val="ro-RO"/>
              </w:rPr>
              <w:t xml:space="preserve">Creșterea încrederii consiliilor locale în GAL-uri. </w:t>
            </w:r>
          </w:p>
          <w:p w:rsidR="004B3372" w:rsidRPr="001C3B31" w:rsidRDefault="004B3372" w:rsidP="004B3372">
            <w:pPr>
              <w:pStyle w:val="ListParagraph"/>
              <w:numPr>
                <w:ilvl w:val="0"/>
                <w:numId w:val="16"/>
              </w:numPr>
              <w:ind w:left="323"/>
              <w:rPr>
                <w:rFonts w:ascii="Calibri" w:hAnsi="Calibri" w:cs="Calibri"/>
                <w:szCs w:val="20"/>
                <w:lang w:val="ro-RO"/>
              </w:rPr>
            </w:pPr>
            <w:r w:rsidRPr="001C3B31">
              <w:rPr>
                <w:rFonts w:ascii="Calibri" w:hAnsi="Calibri" w:cs="Calibri"/>
                <w:szCs w:val="20"/>
                <w:lang w:val="ro-RO"/>
              </w:rPr>
              <w:t>Resurse administrative suplimentare pentru elaborarea proiectelor cu conotație socială</w:t>
            </w:r>
          </w:p>
          <w:p w:rsidR="004B3372" w:rsidRPr="001C3B31" w:rsidRDefault="004B3372" w:rsidP="004B3372">
            <w:pPr>
              <w:pStyle w:val="ListParagraph"/>
              <w:numPr>
                <w:ilvl w:val="0"/>
                <w:numId w:val="16"/>
              </w:numPr>
              <w:ind w:left="323"/>
              <w:rPr>
                <w:rFonts w:ascii="Calibri" w:hAnsi="Calibri" w:cs="Calibri"/>
                <w:szCs w:val="20"/>
                <w:lang w:val="ro-RO"/>
              </w:rPr>
            </w:pPr>
            <w:r w:rsidRPr="001C3B31">
              <w:rPr>
                <w:rFonts w:ascii="Calibri" w:hAnsi="Calibri" w:cs="Calibri"/>
                <w:szCs w:val="20"/>
                <w:lang w:val="ro-RO"/>
              </w:rPr>
              <w:t xml:space="preserve">Credibilitate sporită a GAL în fața finanțatorilor externi pentru implementarea proiectelor sociale. </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cantSplit/>
          <w:trHeight w:val="841"/>
        </w:trPr>
        <w:tc>
          <w:tcPr>
            <w:tcW w:w="653" w:type="dxa"/>
            <w:vMerge/>
            <w:textDirection w:val="btLr"/>
          </w:tcPr>
          <w:p w:rsidR="004B3372" w:rsidRPr="001C3B31" w:rsidRDefault="004B3372" w:rsidP="00B50045">
            <w:pPr>
              <w:ind w:left="113" w:right="113"/>
              <w:jc w:val="center"/>
              <w:rPr>
                <w:rFonts w:ascii="Calibri" w:hAnsi="Calibri" w:cs="Calibri"/>
                <w:szCs w:val="20"/>
                <w:lang w:val="ro-RO"/>
              </w:rPr>
            </w:pPr>
          </w:p>
        </w:tc>
        <w:tc>
          <w:tcPr>
            <w:tcW w:w="4003" w:type="dxa"/>
          </w:tcPr>
          <w:p w:rsidR="004B3372" w:rsidRPr="001C3B31" w:rsidRDefault="004B3372" w:rsidP="00B50045">
            <w:pPr>
              <w:rPr>
                <w:rFonts w:ascii="Calibri" w:hAnsi="Calibri" w:cs="Calibri"/>
                <w:szCs w:val="20"/>
                <w:lang w:val="ro-RO"/>
              </w:rPr>
            </w:pPr>
            <w:r w:rsidRPr="001C3B31">
              <w:rPr>
                <w:rFonts w:ascii="Calibri" w:hAnsi="Calibri" w:cs="Calibri"/>
                <w:szCs w:val="20"/>
                <w:lang w:val="ro-RO"/>
              </w:rPr>
              <w:t xml:space="preserve">Efecte negative: </w:t>
            </w:r>
          </w:p>
          <w:p w:rsidR="004B3372" w:rsidRPr="001C3B31" w:rsidRDefault="004B3372" w:rsidP="004B3372">
            <w:pPr>
              <w:pStyle w:val="ListParagraph"/>
              <w:numPr>
                <w:ilvl w:val="0"/>
                <w:numId w:val="15"/>
              </w:numPr>
              <w:ind w:left="362"/>
              <w:rPr>
                <w:rFonts w:ascii="Calibri" w:hAnsi="Calibri" w:cs="Calibri"/>
                <w:szCs w:val="20"/>
                <w:lang w:val="ro-RO"/>
              </w:rPr>
            </w:pPr>
            <w:r w:rsidRPr="001C3B31">
              <w:rPr>
                <w:rFonts w:ascii="Calibri" w:hAnsi="Calibri" w:cs="Calibri"/>
                <w:szCs w:val="20"/>
                <w:lang w:val="ro-RO"/>
              </w:rPr>
              <w:t xml:space="preserve">Nu există conexiunea dintre Consiliul Local și GAL. </w:t>
            </w:r>
          </w:p>
        </w:tc>
        <w:tc>
          <w:tcPr>
            <w:tcW w:w="4678" w:type="dxa"/>
          </w:tcPr>
          <w:p w:rsidR="004B3372" w:rsidRPr="001C3B31" w:rsidRDefault="004B3372" w:rsidP="00B50045">
            <w:pPr>
              <w:rPr>
                <w:rFonts w:ascii="Calibri" w:hAnsi="Calibri" w:cs="Calibri"/>
                <w:szCs w:val="20"/>
                <w:lang w:val="ro-RO"/>
              </w:rPr>
            </w:pPr>
          </w:p>
        </w:tc>
        <w:tc>
          <w:tcPr>
            <w:tcW w:w="4382" w:type="dxa"/>
          </w:tcPr>
          <w:p w:rsidR="004B3372" w:rsidRPr="001C3B31" w:rsidRDefault="004B3372" w:rsidP="00B50045">
            <w:pPr>
              <w:rPr>
                <w:rFonts w:ascii="Calibri" w:hAnsi="Calibri" w:cs="Calibri"/>
                <w:szCs w:val="20"/>
                <w:lang w:val="ro-RO"/>
              </w:rPr>
            </w:pPr>
          </w:p>
        </w:tc>
      </w:tr>
      <w:tr w:rsidR="004B3372" w:rsidRPr="001C3B31" w:rsidTr="00B50045">
        <w:trPr>
          <w:cnfStyle w:val="000000010000" w:firstRow="0" w:lastRow="0" w:firstColumn="0" w:lastColumn="0" w:oddVBand="0" w:evenVBand="0" w:oddHBand="0" w:evenHBand="1" w:firstRowFirstColumn="0" w:firstRowLastColumn="0" w:lastRowFirstColumn="0" w:lastRowLastColumn="0"/>
          <w:cantSplit/>
          <w:trHeight w:val="289"/>
        </w:trPr>
        <w:tc>
          <w:tcPr>
            <w:tcW w:w="653" w:type="dxa"/>
            <w:textDirection w:val="btLr"/>
          </w:tcPr>
          <w:p w:rsidR="004B3372" w:rsidRPr="001C3B31" w:rsidRDefault="004B3372" w:rsidP="00B50045">
            <w:pPr>
              <w:ind w:left="113" w:right="113"/>
              <w:rPr>
                <w:rFonts w:ascii="Calibri" w:hAnsi="Calibri" w:cs="Calibri"/>
                <w:szCs w:val="20"/>
                <w:lang w:val="ro-RO"/>
              </w:rPr>
            </w:pPr>
          </w:p>
        </w:tc>
        <w:tc>
          <w:tcPr>
            <w:tcW w:w="4003"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-1</w:t>
            </w:r>
          </w:p>
        </w:tc>
        <w:tc>
          <w:tcPr>
            <w:tcW w:w="4678"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+2</w:t>
            </w:r>
          </w:p>
        </w:tc>
        <w:tc>
          <w:tcPr>
            <w:tcW w:w="4382"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+3</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cantSplit/>
          <w:trHeight w:val="699"/>
        </w:trPr>
        <w:tc>
          <w:tcPr>
            <w:tcW w:w="653" w:type="dxa"/>
            <w:textDirection w:val="btLr"/>
          </w:tcPr>
          <w:p w:rsidR="004B3372" w:rsidRPr="001C3B31" w:rsidRDefault="004B3372" w:rsidP="00B50045">
            <w:pPr>
              <w:ind w:left="113" w:right="113"/>
              <w:jc w:val="center"/>
              <w:rPr>
                <w:rFonts w:ascii="Calibri" w:hAnsi="Calibri" w:cs="Calibri"/>
                <w:szCs w:val="20"/>
                <w:lang w:val="ro-RO"/>
              </w:rPr>
            </w:pPr>
            <w:r w:rsidRPr="001C3B31">
              <w:rPr>
                <w:rFonts w:ascii="Calibri" w:hAnsi="Calibri" w:cs="Calibri"/>
                <w:szCs w:val="20"/>
                <w:lang w:val="ro-RO"/>
              </w:rPr>
              <w:t>Riscuri și Constrângeri</w:t>
            </w:r>
          </w:p>
        </w:tc>
        <w:tc>
          <w:tcPr>
            <w:tcW w:w="4003" w:type="dxa"/>
          </w:tcPr>
          <w:p w:rsidR="004B3372" w:rsidRPr="001C3B31" w:rsidRDefault="004B3372" w:rsidP="004B3372">
            <w:pPr>
              <w:pStyle w:val="ListParagraph"/>
              <w:numPr>
                <w:ilvl w:val="0"/>
                <w:numId w:val="18"/>
              </w:numPr>
              <w:ind w:left="362"/>
              <w:rPr>
                <w:rFonts w:ascii="Calibri" w:hAnsi="Calibri" w:cs="Calibri"/>
                <w:szCs w:val="20"/>
                <w:lang w:val="ro-RO"/>
              </w:rPr>
            </w:pPr>
            <w:r w:rsidRPr="001C3B31">
              <w:rPr>
                <w:rFonts w:ascii="Calibri" w:hAnsi="Calibri" w:cs="Calibri"/>
                <w:szCs w:val="20"/>
                <w:lang w:val="ro-RO"/>
              </w:rPr>
              <w:t>Lipsa unei clarități a rolului APL în cadrul GAL</w:t>
            </w:r>
          </w:p>
          <w:p w:rsidR="004B3372" w:rsidRPr="001C3B31" w:rsidRDefault="004B3372" w:rsidP="004B3372">
            <w:pPr>
              <w:pStyle w:val="ListParagraph"/>
              <w:numPr>
                <w:ilvl w:val="0"/>
                <w:numId w:val="18"/>
              </w:numPr>
              <w:ind w:left="362"/>
              <w:rPr>
                <w:rFonts w:ascii="Calibri" w:hAnsi="Calibri" w:cs="Calibri"/>
                <w:szCs w:val="20"/>
                <w:lang w:val="ro-RO"/>
              </w:rPr>
            </w:pPr>
            <w:r w:rsidRPr="001C3B31">
              <w:rPr>
                <w:rFonts w:ascii="Calibri" w:hAnsi="Calibri" w:cs="Calibri"/>
                <w:szCs w:val="20"/>
                <w:lang w:val="ro-RO"/>
              </w:rPr>
              <w:t>Limitarea numărului de specialiști din cadrul APL implicați în cadrul GAL</w:t>
            </w:r>
          </w:p>
          <w:p w:rsidR="004B3372" w:rsidRPr="001C3B31" w:rsidRDefault="004B3372" w:rsidP="004B3372">
            <w:pPr>
              <w:pStyle w:val="ListParagraph"/>
              <w:numPr>
                <w:ilvl w:val="0"/>
                <w:numId w:val="18"/>
              </w:numPr>
              <w:ind w:left="362"/>
              <w:rPr>
                <w:rFonts w:ascii="Calibri" w:hAnsi="Calibri" w:cs="Calibri"/>
                <w:szCs w:val="20"/>
                <w:lang w:val="ro-RO"/>
              </w:rPr>
            </w:pPr>
            <w:r w:rsidRPr="001C3B31">
              <w:rPr>
                <w:rFonts w:ascii="Calibri" w:hAnsi="Calibri" w:cs="Calibri"/>
                <w:szCs w:val="20"/>
                <w:lang w:val="ro-RO"/>
              </w:rPr>
              <w:t>Suport redus din partea APL pentru desfășurarea activității GAL</w:t>
            </w:r>
          </w:p>
          <w:p w:rsidR="004B3372" w:rsidRPr="001C3B31" w:rsidRDefault="004B3372" w:rsidP="004B3372">
            <w:pPr>
              <w:pStyle w:val="ListParagraph"/>
              <w:numPr>
                <w:ilvl w:val="0"/>
                <w:numId w:val="18"/>
              </w:numPr>
              <w:ind w:left="362"/>
              <w:rPr>
                <w:rFonts w:ascii="Calibri" w:hAnsi="Calibri" w:cs="Calibri"/>
                <w:szCs w:val="20"/>
                <w:lang w:val="ro-RO"/>
              </w:rPr>
            </w:pPr>
            <w:r w:rsidRPr="001C3B31">
              <w:rPr>
                <w:rFonts w:ascii="Calibri" w:hAnsi="Calibri" w:cs="Calibri"/>
                <w:szCs w:val="20"/>
                <w:lang w:val="ro-RO"/>
              </w:rPr>
              <w:t>Lipsa unui cadru normativ clar privind activitatea GAL</w:t>
            </w:r>
          </w:p>
          <w:p w:rsidR="004B3372" w:rsidRPr="001C3B31" w:rsidRDefault="004B3372" w:rsidP="004B3372">
            <w:pPr>
              <w:pStyle w:val="ListParagraph"/>
              <w:numPr>
                <w:ilvl w:val="0"/>
                <w:numId w:val="18"/>
              </w:numPr>
              <w:ind w:left="362"/>
              <w:rPr>
                <w:rFonts w:ascii="Calibri" w:hAnsi="Calibri" w:cs="Calibri"/>
                <w:szCs w:val="20"/>
                <w:lang w:val="ro-RO"/>
              </w:rPr>
            </w:pPr>
            <w:r w:rsidRPr="001C3B31">
              <w:rPr>
                <w:rFonts w:ascii="Calibri" w:hAnsi="Calibri" w:cs="Calibri"/>
                <w:szCs w:val="20"/>
                <w:lang w:val="ro-RO"/>
              </w:rPr>
              <w:t>Absența condițiilor privind elaborarea unui cadru clar de finanțare al GAL</w:t>
            </w:r>
          </w:p>
        </w:tc>
        <w:tc>
          <w:tcPr>
            <w:tcW w:w="4678" w:type="dxa"/>
          </w:tcPr>
          <w:p w:rsidR="004B3372" w:rsidRPr="001C3B31" w:rsidRDefault="004B3372" w:rsidP="004B3372">
            <w:pPr>
              <w:pStyle w:val="ListParagraph"/>
              <w:numPr>
                <w:ilvl w:val="0"/>
                <w:numId w:val="18"/>
              </w:numPr>
              <w:ind w:left="383"/>
              <w:rPr>
                <w:rFonts w:ascii="Calibri" w:hAnsi="Calibri" w:cs="Calibri"/>
                <w:szCs w:val="20"/>
                <w:lang w:val="ro-RO"/>
              </w:rPr>
            </w:pPr>
            <w:r w:rsidRPr="001C3B31">
              <w:rPr>
                <w:rFonts w:ascii="Calibri" w:hAnsi="Calibri" w:cs="Calibri"/>
                <w:szCs w:val="20"/>
                <w:lang w:val="ro-RO"/>
              </w:rPr>
              <w:t>Durată medie pentru modificarea cadrului normativ</w:t>
            </w:r>
          </w:p>
          <w:p w:rsidR="004B3372" w:rsidRPr="001C3B31" w:rsidRDefault="004B3372" w:rsidP="004B3372">
            <w:pPr>
              <w:pStyle w:val="ListParagraph"/>
              <w:numPr>
                <w:ilvl w:val="0"/>
                <w:numId w:val="18"/>
              </w:numPr>
              <w:ind w:left="383"/>
              <w:rPr>
                <w:rFonts w:ascii="Calibri" w:hAnsi="Calibri" w:cs="Calibri"/>
                <w:szCs w:val="20"/>
                <w:lang w:val="ro-RO"/>
              </w:rPr>
            </w:pPr>
            <w:r w:rsidRPr="001C3B31">
              <w:rPr>
                <w:rFonts w:ascii="Calibri" w:hAnsi="Calibri" w:cs="Calibri"/>
                <w:szCs w:val="20"/>
                <w:lang w:val="ro-RO"/>
              </w:rPr>
              <w:t xml:space="preserve"> Creșterea birocratizării activității GAL</w:t>
            </w:r>
          </w:p>
          <w:p w:rsidR="004B3372" w:rsidRPr="001C3B31" w:rsidRDefault="004B3372" w:rsidP="004B3372">
            <w:pPr>
              <w:pStyle w:val="ListParagraph"/>
              <w:numPr>
                <w:ilvl w:val="0"/>
                <w:numId w:val="18"/>
              </w:numPr>
              <w:ind w:left="383"/>
              <w:rPr>
                <w:rFonts w:ascii="Calibri" w:hAnsi="Calibri" w:cs="Calibri"/>
                <w:szCs w:val="20"/>
                <w:lang w:val="ro-RO"/>
              </w:rPr>
            </w:pPr>
            <w:r w:rsidRPr="001C3B31">
              <w:rPr>
                <w:rFonts w:ascii="Calibri" w:hAnsi="Calibri" w:cs="Calibri"/>
                <w:szCs w:val="20"/>
                <w:lang w:val="ro-RO"/>
              </w:rPr>
              <w:t>Lipsa cadrelor specializate în cadrul APL</w:t>
            </w:r>
          </w:p>
        </w:tc>
        <w:tc>
          <w:tcPr>
            <w:tcW w:w="4382" w:type="dxa"/>
          </w:tcPr>
          <w:p w:rsidR="004B3372" w:rsidRPr="001C3B31" w:rsidRDefault="004B3372" w:rsidP="004B3372">
            <w:pPr>
              <w:pStyle w:val="ListParagraph"/>
              <w:numPr>
                <w:ilvl w:val="0"/>
                <w:numId w:val="17"/>
              </w:numPr>
              <w:ind w:left="414"/>
              <w:rPr>
                <w:rFonts w:ascii="Calibri" w:hAnsi="Calibri" w:cs="Calibri"/>
                <w:szCs w:val="20"/>
                <w:lang w:val="ro-RO"/>
              </w:rPr>
            </w:pPr>
            <w:r w:rsidRPr="001C3B31">
              <w:rPr>
                <w:rFonts w:ascii="Calibri" w:hAnsi="Calibri" w:cs="Calibri"/>
                <w:szCs w:val="20"/>
                <w:lang w:val="ro-RO"/>
              </w:rPr>
              <w:t>Durată medie pentru aprobarea cadrului legal nou</w:t>
            </w:r>
          </w:p>
          <w:p w:rsidR="004B3372" w:rsidRPr="001C3B31" w:rsidRDefault="004B3372" w:rsidP="004B3372">
            <w:pPr>
              <w:pStyle w:val="ListParagraph"/>
              <w:numPr>
                <w:ilvl w:val="0"/>
                <w:numId w:val="17"/>
              </w:numPr>
              <w:ind w:left="414"/>
              <w:rPr>
                <w:rFonts w:ascii="Calibri" w:hAnsi="Calibri" w:cs="Calibri"/>
                <w:szCs w:val="20"/>
                <w:lang w:val="ro-RO"/>
              </w:rPr>
            </w:pPr>
            <w:r w:rsidRPr="001C3B31">
              <w:rPr>
                <w:rFonts w:ascii="Calibri" w:hAnsi="Calibri" w:cs="Calibri"/>
                <w:szCs w:val="20"/>
                <w:lang w:val="ro-RO"/>
              </w:rPr>
              <w:t>Birocratizarea activității GAL</w:t>
            </w:r>
          </w:p>
          <w:p w:rsidR="004B3372" w:rsidRPr="001C3B31" w:rsidRDefault="004B3372" w:rsidP="004B3372">
            <w:pPr>
              <w:pStyle w:val="ListParagraph"/>
              <w:numPr>
                <w:ilvl w:val="0"/>
                <w:numId w:val="17"/>
              </w:numPr>
              <w:ind w:left="414"/>
              <w:rPr>
                <w:rFonts w:ascii="Calibri" w:hAnsi="Calibri" w:cs="Calibri"/>
                <w:szCs w:val="20"/>
                <w:lang w:val="ro-RO"/>
              </w:rPr>
            </w:pPr>
            <w:r w:rsidRPr="001C3B31">
              <w:rPr>
                <w:rFonts w:ascii="Calibri" w:hAnsi="Calibri" w:cs="Calibri"/>
                <w:szCs w:val="20"/>
                <w:lang w:val="ro-RO"/>
              </w:rPr>
              <w:t>Lipsa cadrelor specializate în cadrul APL</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cantSplit/>
          <w:trHeight w:val="357"/>
        </w:trPr>
        <w:tc>
          <w:tcPr>
            <w:tcW w:w="653" w:type="dxa"/>
            <w:textDirection w:val="btLr"/>
          </w:tcPr>
          <w:p w:rsidR="004B3372" w:rsidRPr="001C3B31" w:rsidRDefault="004B3372" w:rsidP="00B50045">
            <w:pPr>
              <w:ind w:left="113" w:right="113"/>
              <w:rPr>
                <w:rFonts w:ascii="Calibri" w:hAnsi="Calibri" w:cs="Calibri"/>
                <w:szCs w:val="20"/>
                <w:lang w:val="ro-RO"/>
              </w:rPr>
            </w:pPr>
          </w:p>
        </w:tc>
        <w:tc>
          <w:tcPr>
            <w:tcW w:w="4003"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-5</w:t>
            </w:r>
          </w:p>
        </w:tc>
        <w:tc>
          <w:tcPr>
            <w:tcW w:w="4678"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-3</w:t>
            </w:r>
          </w:p>
        </w:tc>
        <w:tc>
          <w:tcPr>
            <w:tcW w:w="4382" w:type="dxa"/>
            <w:shd w:val="clear" w:color="auto" w:fill="B6DDE8" w:themeFill="accent5" w:themeFillTint="66"/>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-3</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cantSplit/>
          <w:trHeight w:val="686"/>
        </w:trPr>
        <w:tc>
          <w:tcPr>
            <w:tcW w:w="653" w:type="dxa"/>
            <w:textDirection w:val="btLr"/>
          </w:tcPr>
          <w:p w:rsidR="004B3372" w:rsidRPr="001C3B31" w:rsidRDefault="004B3372" w:rsidP="00B50045">
            <w:pPr>
              <w:ind w:left="113" w:right="113"/>
              <w:rPr>
                <w:rFonts w:ascii="Calibri" w:hAnsi="Calibri" w:cs="Calibri"/>
                <w:szCs w:val="20"/>
                <w:lang w:val="ro-RO"/>
              </w:rPr>
            </w:pPr>
            <w:r w:rsidRPr="001C3B31">
              <w:rPr>
                <w:rFonts w:ascii="Calibri" w:hAnsi="Calibri" w:cs="Calibri"/>
                <w:szCs w:val="20"/>
                <w:lang w:val="ro-RO"/>
              </w:rPr>
              <w:t>Total</w:t>
            </w:r>
          </w:p>
        </w:tc>
        <w:tc>
          <w:tcPr>
            <w:tcW w:w="4003" w:type="dxa"/>
            <w:shd w:val="clear" w:color="auto" w:fill="8064A2" w:themeFill="accent4"/>
            <w:vAlign w:val="center"/>
          </w:tcPr>
          <w:p w:rsidR="004B3372" w:rsidRPr="001C3B31" w:rsidRDefault="004B3372" w:rsidP="00B50045">
            <w:pPr>
              <w:spacing w:after="0"/>
              <w:jc w:val="center"/>
              <w:rPr>
                <w:rFonts w:ascii="Calibri" w:hAnsi="Calibri" w:cs="Calibri"/>
                <w:szCs w:val="20"/>
                <w:lang w:val="ro-RO"/>
              </w:rPr>
            </w:pPr>
            <w:r w:rsidRPr="001C3B31">
              <w:rPr>
                <w:rFonts w:ascii="Calibri" w:hAnsi="Calibri" w:cs="Calibri"/>
                <w:szCs w:val="20"/>
                <w:lang w:val="ro-RO"/>
              </w:rPr>
              <w:t>-9</w:t>
            </w:r>
          </w:p>
        </w:tc>
        <w:tc>
          <w:tcPr>
            <w:tcW w:w="4678" w:type="dxa"/>
            <w:shd w:val="clear" w:color="auto" w:fill="8064A2" w:themeFill="accent4"/>
            <w:vAlign w:val="center"/>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-4</w:t>
            </w:r>
          </w:p>
        </w:tc>
        <w:tc>
          <w:tcPr>
            <w:tcW w:w="4382" w:type="dxa"/>
            <w:shd w:val="clear" w:color="auto" w:fill="8064A2" w:themeFill="accent4"/>
            <w:vAlign w:val="center"/>
          </w:tcPr>
          <w:p w:rsidR="004B3372" w:rsidRPr="001C3B31" w:rsidRDefault="004B3372" w:rsidP="00B50045">
            <w:pPr>
              <w:jc w:val="center"/>
              <w:rPr>
                <w:rFonts w:ascii="Calibri" w:hAnsi="Calibri" w:cs="Calibri"/>
                <w:szCs w:val="20"/>
                <w:lang w:val="ro-RO"/>
              </w:rPr>
            </w:pPr>
            <w:r w:rsidRPr="001C3B31">
              <w:rPr>
                <w:rFonts w:ascii="Calibri" w:hAnsi="Calibri" w:cs="Calibri"/>
                <w:szCs w:val="20"/>
                <w:lang w:val="ro-RO"/>
              </w:rPr>
              <w:t>0</w:t>
            </w:r>
          </w:p>
        </w:tc>
      </w:tr>
    </w:tbl>
    <w:p w:rsidR="004B3372" w:rsidRPr="007F0A8B" w:rsidRDefault="004B3372" w:rsidP="004B3372">
      <w:pPr>
        <w:pStyle w:val="Heading3"/>
        <w:rPr>
          <w:color w:val="0070C0"/>
          <w:lang w:val="ro-RO"/>
        </w:rPr>
      </w:pPr>
      <w:bookmarkStart w:id="23" w:name="_Toc6492727"/>
      <w:bookmarkStart w:id="24" w:name="_Toc32964816"/>
      <w:r w:rsidRPr="007F0A8B">
        <w:rPr>
          <w:color w:val="0070C0"/>
          <w:lang w:val="ro-RO"/>
        </w:rPr>
        <w:lastRenderedPageBreak/>
        <w:t>Impactul Social</w:t>
      </w:r>
      <w:bookmarkEnd w:id="23"/>
      <w:bookmarkEnd w:id="24"/>
    </w:p>
    <w:p w:rsidR="004B3372" w:rsidRPr="001C3B31" w:rsidRDefault="004B3372" w:rsidP="004B3372">
      <w:pPr>
        <w:rPr>
          <w:lang w:val="ro-RO"/>
        </w:rPr>
      </w:pPr>
      <w:r w:rsidRPr="001C3B31">
        <w:rPr>
          <w:lang w:val="ro-RO"/>
        </w:rPr>
        <w:t>Scopul abordării LEADER este acorda</w:t>
      </w:r>
      <w:r>
        <w:rPr>
          <w:lang w:val="ro-RO"/>
        </w:rPr>
        <w:t>rea</w:t>
      </w:r>
      <w:r w:rsidRPr="001C3B31">
        <w:rPr>
          <w:lang w:val="ro-RO"/>
        </w:rPr>
        <w:t xml:space="preserve"> sprijin</w:t>
      </w:r>
      <w:r>
        <w:rPr>
          <w:lang w:val="ro-RO"/>
        </w:rPr>
        <w:t>ului</w:t>
      </w:r>
      <w:r w:rsidRPr="001C3B31">
        <w:rPr>
          <w:lang w:val="ro-RO"/>
        </w:rPr>
        <w:t xml:space="preserve"> şi încuraja</w:t>
      </w:r>
      <w:r>
        <w:rPr>
          <w:lang w:val="ro-RO"/>
        </w:rPr>
        <w:t>rea</w:t>
      </w:r>
      <w:r w:rsidRPr="001C3B31">
        <w:rPr>
          <w:lang w:val="ro-RO"/>
        </w:rPr>
        <w:t xml:space="preserve"> locuitori</w:t>
      </w:r>
      <w:r>
        <w:rPr>
          <w:lang w:val="ro-RO"/>
        </w:rPr>
        <w:t>lor</w:t>
      </w:r>
      <w:r w:rsidRPr="001C3B31">
        <w:rPr>
          <w:lang w:val="ro-RO"/>
        </w:rPr>
        <w:t xml:space="preserve"> din spațiul rural</w:t>
      </w:r>
      <w:r>
        <w:rPr>
          <w:lang w:val="ro-RO"/>
        </w:rPr>
        <w:t>,</w:t>
      </w:r>
      <w:r w:rsidRPr="001C3B31">
        <w:rPr>
          <w:lang w:val="ro-RO"/>
        </w:rPr>
        <w:t xml:space="preserve"> în vederea evaluării oportunităților de dezvoltare pe termen lung a microregiunii. Abordarea LEDEAR urmărește sprijinirea realizării unor strategii integrate la nivel local, cu soluții inovative şi care asigură dezvoltarea sustenabilă a regiunii prin consolidarea economiei rurale, protejarea patrimoniului cultural și natural local, dezvoltarea turismului, implementarea proiectelor sociale, etc. </w:t>
      </w:r>
    </w:p>
    <w:p w:rsidR="004B3372" w:rsidRPr="001C3B31" w:rsidRDefault="004B3372" w:rsidP="004B3372">
      <w:pPr>
        <w:rPr>
          <w:lang w:val="ro-RO"/>
        </w:rPr>
      </w:pPr>
      <w:r w:rsidRPr="001C3B31">
        <w:rPr>
          <w:lang w:val="ro-RO"/>
        </w:rPr>
        <w:t xml:space="preserve">Având în vedere specificul Politicii Publice Propuse, care se adresează dezvoltării rurale, pentru evaluarea impactului social se iau în calcul un șir </w:t>
      </w:r>
      <w:r>
        <w:rPr>
          <w:lang w:val="ro-RO"/>
        </w:rPr>
        <w:t>de parametri-</w:t>
      </w:r>
      <w:r w:rsidRPr="001C3B31">
        <w:rPr>
          <w:lang w:val="ro-RO"/>
        </w:rPr>
        <w:t>cheie</w:t>
      </w:r>
      <w:r>
        <w:rPr>
          <w:lang w:val="ro-RO"/>
        </w:rPr>
        <w:t>,</w:t>
      </w:r>
      <w:r w:rsidRPr="001C3B31">
        <w:rPr>
          <w:lang w:val="ro-RO"/>
        </w:rPr>
        <w:t xml:space="preserve"> precum numărul locuri</w:t>
      </w:r>
      <w:r>
        <w:rPr>
          <w:lang w:val="ro-RO"/>
        </w:rPr>
        <w:t xml:space="preserve">lor de muncă noi create </w:t>
      </w:r>
      <w:r w:rsidRPr="001C3B31">
        <w:rPr>
          <w:lang w:val="ro-RO"/>
        </w:rPr>
        <w:t xml:space="preserve">sau numărul persoanelor care obțin acces la servicii publice îmbunătățite. </w:t>
      </w:r>
    </w:p>
    <w:p w:rsidR="004B3372" w:rsidRPr="001C3B31" w:rsidRDefault="004B3372" w:rsidP="004B3372">
      <w:pPr>
        <w:rPr>
          <w:lang w:val="ro-RO"/>
        </w:rPr>
      </w:pPr>
      <w:r w:rsidRPr="001C3B31">
        <w:rPr>
          <w:lang w:val="ro-RO"/>
        </w:rPr>
        <w:t>Un instrument relevant pentru evaluarea impactului social al implementării abordării LEADER reprezintă analiza impactului social al unor proiecte similare deja realizate. În acest sens au fost analizate rezultatele a 100 de proiecte</w:t>
      </w:r>
      <w:r>
        <w:rPr>
          <w:lang w:val="ro-RO"/>
        </w:rPr>
        <w:t>,</w:t>
      </w:r>
      <w:r w:rsidRPr="001C3B31">
        <w:rPr>
          <w:lang w:val="ro-RO"/>
        </w:rPr>
        <w:t xml:space="preserve"> implementate cu suportul financiar al </w:t>
      </w:r>
      <w:r w:rsidRPr="001C3B31">
        <w:rPr>
          <w:rFonts w:ascii="Calibri" w:hAnsi="Calibri" w:cs="Calibri"/>
          <w:lang w:val="ro-RO"/>
        </w:rPr>
        <w:t>Solidarity Fund PL în RM</w:t>
      </w:r>
      <w:r w:rsidRPr="001C3B31">
        <w:rPr>
          <w:lang w:val="ro-RO"/>
        </w:rPr>
        <w:t xml:space="preserve"> pe parcursul anului 2019 de către 16 GAL-uri din toată țara. </w:t>
      </w:r>
    </w:p>
    <w:p w:rsidR="004B3372" w:rsidRPr="001C3B31" w:rsidRDefault="004B3372" w:rsidP="004B3372">
      <w:pPr>
        <w:rPr>
          <w:rFonts w:ascii="Calibri" w:hAnsi="Calibri" w:cs="Calibri"/>
          <w:lang w:val="ro-RO"/>
        </w:rPr>
      </w:pPr>
      <w:r w:rsidRPr="001C3B31">
        <w:rPr>
          <w:lang w:val="ro-RO"/>
        </w:rPr>
        <w:t xml:space="preserve">Cele 100 de proiecte implementate de către GAL-uri cu suportul financiar al </w:t>
      </w:r>
      <w:r w:rsidRPr="001C3B31">
        <w:rPr>
          <w:rFonts w:ascii="Calibri" w:hAnsi="Calibri" w:cs="Calibri"/>
          <w:lang w:val="ro-RO"/>
        </w:rPr>
        <w:t>Solidarity Fund PL în RM au avut diferite direcții de intervenție. Astfel, 45</w:t>
      </w:r>
      <w:r>
        <w:rPr>
          <w:rFonts w:ascii="Calibri" w:hAnsi="Calibri" w:cs="Calibri"/>
          <w:lang w:val="ro-RO"/>
        </w:rPr>
        <w:t xml:space="preserve"> </w:t>
      </w:r>
      <w:r w:rsidRPr="001C3B31">
        <w:rPr>
          <w:rFonts w:ascii="Calibri" w:hAnsi="Calibri" w:cs="Calibri"/>
          <w:lang w:val="ro-RO"/>
        </w:rPr>
        <w:t>% din proiecte au avut drept obiectiv principal dezvoltarea economică, 36</w:t>
      </w:r>
      <w:r>
        <w:rPr>
          <w:rFonts w:ascii="Calibri" w:hAnsi="Calibri" w:cs="Calibri"/>
          <w:lang w:val="ro-RO"/>
        </w:rPr>
        <w:t xml:space="preserve"> </w:t>
      </w:r>
      <w:r w:rsidRPr="001C3B31">
        <w:rPr>
          <w:rFonts w:ascii="Calibri" w:hAnsi="Calibri" w:cs="Calibri"/>
          <w:lang w:val="ro-RO"/>
        </w:rPr>
        <w:t>% din ele s-au referit la diferite intervenții de ordin social, iar altele 19</w:t>
      </w:r>
      <w:r>
        <w:rPr>
          <w:rFonts w:ascii="Calibri" w:hAnsi="Calibri" w:cs="Calibri"/>
          <w:lang w:val="ro-RO"/>
        </w:rPr>
        <w:t xml:space="preserve"> </w:t>
      </w:r>
      <w:r w:rsidRPr="001C3B31">
        <w:rPr>
          <w:rFonts w:ascii="Calibri" w:hAnsi="Calibri" w:cs="Calibri"/>
          <w:lang w:val="ro-RO"/>
        </w:rPr>
        <w:t xml:space="preserve">% au facilitat dezvoltarea turismului în regiune. Totuși, indiferent de orientarea proiectelor, toate într-o măsură sau alta au avut impact social asupra comunității. </w:t>
      </w:r>
    </w:p>
    <w:p w:rsidR="004B3372" w:rsidRPr="001C3B31" w:rsidRDefault="004B3372" w:rsidP="004B3372">
      <w:pPr>
        <w:rPr>
          <w:lang w:val="ro-RO"/>
        </w:rPr>
      </w:pPr>
      <w:r w:rsidRPr="001C3B31">
        <w:rPr>
          <w:lang w:val="ro-RO"/>
        </w:rPr>
        <w:t>Impactul social în cazul proiectelor implementate în cadrul abordării LEADER este multidimensi</w:t>
      </w:r>
      <w:r>
        <w:rPr>
          <w:lang w:val="ro-RO"/>
        </w:rPr>
        <w:t>onal și acoperă mai multe laturi</w:t>
      </w:r>
      <w:r w:rsidRPr="001C3B31">
        <w:rPr>
          <w:lang w:val="ro-RO"/>
        </w:rPr>
        <w:t xml:space="preserve"> ale activității umane. Astfel, unul din cele mai importante impacturi sociale îl reprezintă crearea locurilor de muncă. Analiza a 100 de proiecte implementate în 16 GAL-uri la nivel națională </w:t>
      </w:r>
      <w:proofErr w:type="spellStart"/>
      <w:r>
        <w:rPr>
          <w:lang w:val="ro-RO"/>
        </w:rPr>
        <w:t>demonsrează</w:t>
      </w:r>
      <w:proofErr w:type="spellEnd"/>
      <w:r>
        <w:rPr>
          <w:lang w:val="ro-RO"/>
        </w:rPr>
        <w:t>,</w:t>
      </w:r>
      <w:r w:rsidRPr="001C3B31">
        <w:rPr>
          <w:lang w:val="ro-RO"/>
        </w:rPr>
        <w:t xml:space="preserve"> că în urma implementării a acestora au fost create 109 locuri de muncă permanente și alte 223 de locuri de muncă temporare sau sezoniere. </w:t>
      </w:r>
    </w:p>
    <w:p w:rsidR="004B3372" w:rsidRPr="001C3B31" w:rsidRDefault="004B3372" w:rsidP="004B3372">
      <w:pPr>
        <w:rPr>
          <w:lang w:val="ro-RO"/>
        </w:rPr>
      </w:pPr>
      <w:r w:rsidRPr="001C3B31">
        <w:rPr>
          <w:lang w:val="ro-RO"/>
        </w:rPr>
        <w:t xml:space="preserve">Pornind de la investițiile totale ale GAL-urilor în implementarea proiectelor </w:t>
      </w:r>
      <w:r>
        <w:rPr>
          <w:lang w:val="ro-RO"/>
        </w:rPr>
        <w:t>menționate,</w:t>
      </w:r>
      <w:r w:rsidRPr="001C3B31">
        <w:rPr>
          <w:lang w:val="ro-RO"/>
        </w:rPr>
        <w:t xml:space="preserve"> constatăm că valoare</w:t>
      </w:r>
      <w:r>
        <w:rPr>
          <w:lang w:val="ro-RO"/>
        </w:rPr>
        <w:t>a medie a unui loc de muncă nou creat este de cca</w:t>
      </w:r>
      <w:r w:rsidRPr="001C3B31">
        <w:rPr>
          <w:lang w:val="ro-RO"/>
        </w:rPr>
        <w:t xml:space="preserve"> 40 mii MDL. Astfel, în cazul implementării abordării LEADER în Republica Moldova, prin alocarea a 5</w:t>
      </w:r>
      <w:r>
        <w:rPr>
          <w:lang w:val="ro-RO"/>
        </w:rPr>
        <w:t xml:space="preserve"> </w:t>
      </w:r>
      <w:r w:rsidRPr="001C3B31">
        <w:rPr>
          <w:lang w:val="ro-RO"/>
        </w:rPr>
        <w:t xml:space="preserve">% din FNDAMR pentru implementarea măsurii </w:t>
      </w:r>
      <w:r>
        <w:rPr>
          <w:lang w:val="ro-RO"/>
        </w:rPr>
        <w:t>LEADER</w:t>
      </w:r>
      <w:r w:rsidRPr="001C3B31">
        <w:rPr>
          <w:lang w:val="ro-RO"/>
        </w:rPr>
        <w:t>, putem estima crearea a 1125</w:t>
      </w:r>
      <w:r w:rsidRPr="001C3B31">
        <w:rPr>
          <w:rStyle w:val="FootnoteReference"/>
          <w:lang w:val="ro-RO"/>
        </w:rPr>
        <w:footnoteReference w:id="16"/>
      </w:r>
      <w:r w:rsidRPr="001C3B31">
        <w:rPr>
          <w:lang w:val="ro-RO"/>
        </w:rPr>
        <w:t xml:space="preserve"> de locuri de muncă . </w:t>
      </w:r>
    </w:p>
    <w:p w:rsidR="004B3372" w:rsidRPr="001C3B31" w:rsidRDefault="004B3372" w:rsidP="004B3372">
      <w:pPr>
        <w:rPr>
          <w:lang w:val="ro-RO"/>
        </w:rPr>
      </w:pPr>
      <w:r w:rsidRPr="001C3B31">
        <w:rPr>
          <w:lang w:val="ro-RO"/>
        </w:rPr>
        <w:t>Într-o altă ordine de idei, proiectele cu o orientare socială, implementate de către GAL-uri, sunt extrem de diverse și pot fi analizate doar individual. Astfel, printre proiectele cu orientare socială implementate de către GAL-uri se număr</w:t>
      </w:r>
      <w:r>
        <w:rPr>
          <w:lang w:val="ro-RO"/>
        </w:rPr>
        <w:t>ă</w:t>
      </w:r>
      <w:r w:rsidRPr="001C3B31">
        <w:rPr>
          <w:lang w:val="ro-RO"/>
        </w:rPr>
        <w:t xml:space="preserve"> proiecte de iluminare strad</w:t>
      </w:r>
      <w:r>
        <w:rPr>
          <w:lang w:val="ro-RO"/>
        </w:rPr>
        <w:t>ală</w:t>
      </w:r>
      <w:r w:rsidRPr="001C3B31">
        <w:rPr>
          <w:lang w:val="ro-RO"/>
        </w:rPr>
        <w:t xml:space="preserve">, de reparație a unei porțiuni de trotuar, de reparație și/sau construcție a unor mese din piețele locale, de achiziționare a mobilierului școlar, de construcție </w:t>
      </w:r>
      <w:r>
        <w:rPr>
          <w:lang w:val="ro-RO"/>
        </w:rPr>
        <w:t xml:space="preserve">a </w:t>
      </w:r>
      <w:r w:rsidRPr="001C3B31">
        <w:rPr>
          <w:lang w:val="ro-RO"/>
        </w:rPr>
        <w:t>punctelor de alimentare cu apă pentru elevi, etc. Pornind de la o astfel de varietate de oportunități, evaluarea impactului social a</w:t>
      </w:r>
      <w:r>
        <w:rPr>
          <w:lang w:val="ro-RO"/>
        </w:rPr>
        <w:t>l</w:t>
      </w:r>
      <w:r w:rsidRPr="001C3B31">
        <w:rPr>
          <w:lang w:val="ro-RO"/>
        </w:rPr>
        <w:t xml:space="preserve"> programului în per total poate fi </w:t>
      </w:r>
      <w:r>
        <w:rPr>
          <w:lang w:val="ro-RO"/>
        </w:rPr>
        <w:t>efectuată</w:t>
      </w:r>
      <w:r w:rsidRPr="001C3B31">
        <w:rPr>
          <w:lang w:val="ro-RO"/>
        </w:rPr>
        <w:t xml:space="preserve"> doar în baza unor indicatori comuni, care în cazul </w:t>
      </w:r>
      <w:r>
        <w:rPr>
          <w:lang w:val="ro-RO"/>
        </w:rPr>
        <w:t>nostru</w:t>
      </w:r>
      <w:r w:rsidRPr="001C3B31">
        <w:rPr>
          <w:lang w:val="ro-RO"/>
        </w:rPr>
        <w:t xml:space="preserve"> sunt numărul de beneficiari direcți și/sau indirecți, precum și ponderea totală a beneficiarilor din populația totală a GAL-ului. </w:t>
      </w:r>
    </w:p>
    <w:p w:rsidR="004B3372" w:rsidRPr="001C3B31" w:rsidRDefault="004B3372" w:rsidP="004B3372">
      <w:pPr>
        <w:rPr>
          <w:lang w:val="ro-RO"/>
        </w:rPr>
      </w:pPr>
      <w:r w:rsidRPr="001C3B31">
        <w:rPr>
          <w:lang w:val="ro-RO"/>
        </w:rPr>
        <w:t xml:space="preserve">Analiza a 100 de proiecte implementate în 16 GAL-uri </w:t>
      </w:r>
      <w:r>
        <w:rPr>
          <w:lang w:val="ro-RO"/>
        </w:rPr>
        <w:t>demonstrează faptul,</w:t>
      </w:r>
      <w:r w:rsidRPr="001C3B31">
        <w:rPr>
          <w:lang w:val="ro-RO"/>
        </w:rPr>
        <w:t xml:space="preserve"> că numărul mediu de beneficiari direcți ai pr</w:t>
      </w:r>
      <w:r>
        <w:rPr>
          <w:lang w:val="ro-RO"/>
        </w:rPr>
        <w:t xml:space="preserve">oiectelor implementate este de </w:t>
      </w:r>
      <w:r w:rsidRPr="001C3B31">
        <w:rPr>
          <w:lang w:val="ro-RO"/>
        </w:rPr>
        <w:t xml:space="preserve">263 persoane per proiect, iar cel al beneficiarilor indirecți de 938. Totodată, ponderea beneficiarilor direcți raportat la populația totală a GAL-ului este </w:t>
      </w:r>
      <w:r>
        <w:rPr>
          <w:lang w:val="ro-RO"/>
        </w:rPr>
        <w:t xml:space="preserve">de </w:t>
      </w:r>
      <w:r w:rsidRPr="001C3B31">
        <w:rPr>
          <w:lang w:val="ro-RO"/>
        </w:rPr>
        <w:t>12</w:t>
      </w:r>
      <w:r>
        <w:rPr>
          <w:lang w:val="ro-RO"/>
        </w:rPr>
        <w:t xml:space="preserve"> </w:t>
      </w:r>
      <w:r w:rsidRPr="001C3B31">
        <w:rPr>
          <w:lang w:val="ro-RO"/>
        </w:rPr>
        <w:t xml:space="preserve">%, iar a celor indirecți se </w:t>
      </w:r>
      <w:r>
        <w:rPr>
          <w:lang w:val="ro-RO"/>
        </w:rPr>
        <w:t>majorează până</w:t>
      </w:r>
      <w:r w:rsidRPr="001C3B31">
        <w:rPr>
          <w:lang w:val="ro-RO"/>
        </w:rPr>
        <w:t xml:space="preserve"> la 43.9</w:t>
      </w:r>
      <w:r>
        <w:rPr>
          <w:lang w:val="ro-RO"/>
        </w:rPr>
        <w:t xml:space="preserve"> </w:t>
      </w:r>
      <w:r w:rsidRPr="001C3B31">
        <w:rPr>
          <w:lang w:val="ro-RO"/>
        </w:rPr>
        <w:t>%. Totuși, este important de menționat</w:t>
      </w:r>
      <w:r>
        <w:rPr>
          <w:lang w:val="ro-RO"/>
        </w:rPr>
        <w:t>,</w:t>
      </w:r>
      <w:r w:rsidRPr="001C3B31">
        <w:rPr>
          <w:lang w:val="ro-RO"/>
        </w:rPr>
        <w:t xml:space="preserve"> că valorile </w:t>
      </w:r>
      <w:r>
        <w:rPr>
          <w:lang w:val="ro-RO"/>
        </w:rPr>
        <w:t>respective</w:t>
      </w:r>
      <w:r w:rsidRPr="001C3B31">
        <w:rPr>
          <w:lang w:val="ro-RO"/>
        </w:rPr>
        <w:t xml:space="preserve"> reprezintă marginea de jos, în cazul proiectelor sociale fiind luată în calcul exclusiv populația care face parte din grupul</w:t>
      </w:r>
      <w:r>
        <w:rPr>
          <w:lang w:val="ro-RO"/>
        </w:rPr>
        <w:t>-</w:t>
      </w:r>
      <w:r w:rsidRPr="001C3B31">
        <w:rPr>
          <w:lang w:val="ro-RO"/>
        </w:rPr>
        <w:t xml:space="preserve">țintă al proiectului, în cazul proiectelor de dezvoltare economică fiind luați în calcul exclusiv beneficiarii afacerii ajutate. </w:t>
      </w:r>
    </w:p>
    <w:p w:rsidR="004B3372" w:rsidRPr="001C3B31" w:rsidRDefault="004B3372" w:rsidP="004B3372">
      <w:pPr>
        <w:pStyle w:val="Caption"/>
        <w:framePr w:wrap="around"/>
        <w:rPr>
          <w:lang w:val="ro-RO"/>
        </w:rPr>
      </w:pPr>
      <w:r w:rsidRPr="001C3B31">
        <w:rPr>
          <w:lang w:val="ro-RO"/>
        </w:rPr>
        <w:t>TAbel 8. impact social PPP</w:t>
      </w:r>
    </w:p>
    <w:tbl>
      <w:tblPr>
        <w:tblStyle w:val="Civittatable"/>
        <w:tblW w:w="9380" w:type="dxa"/>
        <w:tblLook w:val="04A0" w:firstRow="1" w:lastRow="0" w:firstColumn="1" w:lastColumn="0" w:noHBand="0" w:noVBand="1"/>
      </w:tblPr>
      <w:tblGrid>
        <w:gridCol w:w="1152"/>
        <w:gridCol w:w="1254"/>
        <w:gridCol w:w="1011"/>
        <w:gridCol w:w="1784"/>
        <w:gridCol w:w="1386"/>
        <w:gridCol w:w="1396"/>
        <w:gridCol w:w="1397"/>
      </w:tblGrid>
      <w:tr w:rsidR="004B3372" w:rsidRPr="001C3B31" w:rsidTr="00B50045">
        <w:trPr>
          <w:cnfStyle w:val="100000000000" w:firstRow="1" w:lastRow="0" w:firstColumn="0" w:lastColumn="0" w:oddVBand="0" w:evenVBand="0" w:oddHBand="0" w:evenHBand="0" w:firstRowFirstColumn="0" w:firstRowLastColumn="0" w:lastRowFirstColumn="0" w:lastRowLastColumn="0"/>
        </w:trPr>
        <w:tc>
          <w:tcPr>
            <w:tcW w:w="1152" w:type="dxa"/>
          </w:tcPr>
          <w:p w:rsidR="004B3372" w:rsidRPr="001C3B31" w:rsidRDefault="004B3372" w:rsidP="00B50045">
            <w:pPr>
              <w:spacing w:after="60"/>
              <w:rPr>
                <w:lang w:val="ro-RO"/>
              </w:rPr>
            </w:pPr>
            <w:bookmarkStart w:id="25" w:name="_Toc6492728"/>
            <w:r w:rsidRPr="001C3B31">
              <w:rPr>
                <w:lang w:val="ro-RO"/>
              </w:rPr>
              <w:t>Sursa de Finanțare</w:t>
            </w:r>
          </w:p>
        </w:tc>
        <w:tc>
          <w:tcPr>
            <w:tcW w:w="1254" w:type="dxa"/>
          </w:tcPr>
          <w:p w:rsidR="004B3372" w:rsidRPr="001C3B31" w:rsidRDefault="004B3372" w:rsidP="00B50045">
            <w:pPr>
              <w:spacing w:after="60"/>
              <w:rPr>
                <w:lang w:val="ro-RO"/>
              </w:rPr>
            </w:pPr>
            <w:r w:rsidRPr="001C3B31">
              <w:rPr>
                <w:lang w:val="ro-RO"/>
              </w:rPr>
              <w:t>Valoare, m MDL</w:t>
            </w:r>
          </w:p>
        </w:tc>
        <w:tc>
          <w:tcPr>
            <w:tcW w:w="1011" w:type="dxa"/>
          </w:tcPr>
          <w:p w:rsidR="004B3372" w:rsidRPr="001C3B31" w:rsidRDefault="004B3372" w:rsidP="00B50045">
            <w:pPr>
              <w:spacing w:after="60"/>
              <w:rPr>
                <w:lang w:val="ro-RO"/>
              </w:rPr>
            </w:pPr>
            <w:r w:rsidRPr="001C3B31">
              <w:rPr>
                <w:lang w:val="ro-RO"/>
              </w:rPr>
              <w:t>Proiecte</w:t>
            </w:r>
          </w:p>
        </w:tc>
        <w:tc>
          <w:tcPr>
            <w:tcW w:w="1784" w:type="dxa"/>
          </w:tcPr>
          <w:p w:rsidR="004B3372" w:rsidRPr="001C3B31" w:rsidRDefault="004B3372" w:rsidP="00B50045">
            <w:pPr>
              <w:spacing w:after="60"/>
              <w:rPr>
                <w:lang w:val="ro-RO"/>
              </w:rPr>
            </w:pPr>
            <w:r w:rsidRPr="001C3B31">
              <w:rPr>
                <w:lang w:val="ro-RO"/>
              </w:rPr>
              <w:t>Locuri de muncă</w:t>
            </w:r>
          </w:p>
        </w:tc>
        <w:tc>
          <w:tcPr>
            <w:tcW w:w="1386" w:type="dxa"/>
          </w:tcPr>
          <w:p w:rsidR="004B3372" w:rsidRPr="001C3B31" w:rsidRDefault="004B3372" w:rsidP="00B50045">
            <w:pPr>
              <w:spacing w:after="60"/>
              <w:rPr>
                <w:lang w:val="ro-RO"/>
              </w:rPr>
            </w:pPr>
            <w:r w:rsidRPr="001C3B31">
              <w:rPr>
                <w:lang w:val="ro-RO"/>
              </w:rPr>
              <w:t>Benficiari direcți</w:t>
            </w:r>
          </w:p>
        </w:tc>
        <w:tc>
          <w:tcPr>
            <w:tcW w:w="1396" w:type="dxa"/>
          </w:tcPr>
          <w:p w:rsidR="004B3372" w:rsidRPr="001C3B31" w:rsidRDefault="004B3372" w:rsidP="00B50045">
            <w:pPr>
              <w:spacing w:after="60"/>
              <w:rPr>
                <w:lang w:val="ro-RO"/>
              </w:rPr>
            </w:pPr>
            <w:r w:rsidRPr="001C3B31">
              <w:rPr>
                <w:lang w:val="ro-RO"/>
              </w:rPr>
              <w:t>Beneficiari indirecți</w:t>
            </w:r>
          </w:p>
        </w:tc>
        <w:tc>
          <w:tcPr>
            <w:tcW w:w="1397" w:type="dxa"/>
          </w:tcPr>
          <w:p w:rsidR="004B3372" w:rsidRPr="001C3B31" w:rsidRDefault="004B3372" w:rsidP="00B50045">
            <w:pPr>
              <w:spacing w:after="60"/>
              <w:rPr>
                <w:lang w:val="ro-RO"/>
              </w:rPr>
            </w:pPr>
            <w:r w:rsidRPr="001C3B31">
              <w:rPr>
                <w:lang w:val="ro-RO"/>
              </w:rPr>
              <w:t>Beneficiari Total</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Pr>
        <w:tc>
          <w:tcPr>
            <w:tcW w:w="1152" w:type="dxa"/>
          </w:tcPr>
          <w:p w:rsidR="004B3372" w:rsidRPr="001C3B31" w:rsidRDefault="004B3372" w:rsidP="00B50045">
            <w:pPr>
              <w:spacing w:after="60"/>
              <w:jc w:val="center"/>
              <w:rPr>
                <w:lang w:val="ro-RO"/>
              </w:rPr>
            </w:pPr>
            <w:r w:rsidRPr="001C3B31">
              <w:rPr>
                <w:lang w:val="ro-RO"/>
              </w:rPr>
              <w:lastRenderedPageBreak/>
              <w:t>FGM 2019</w:t>
            </w:r>
          </w:p>
        </w:tc>
        <w:tc>
          <w:tcPr>
            <w:tcW w:w="1254" w:type="dxa"/>
          </w:tcPr>
          <w:p w:rsidR="004B3372" w:rsidRPr="001C3B31" w:rsidRDefault="004B3372" w:rsidP="00B50045">
            <w:pPr>
              <w:spacing w:after="60"/>
              <w:jc w:val="center"/>
              <w:rPr>
                <w:lang w:val="ro-RO"/>
              </w:rPr>
            </w:pPr>
            <w:r w:rsidRPr="001C3B31">
              <w:rPr>
                <w:lang w:val="ro-RO"/>
              </w:rPr>
              <w:t>3.7</w:t>
            </w:r>
          </w:p>
        </w:tc>
        <w:tc>
          <w:tcPr>
            <w:tcW w:w="1011" w:type="dxa"/>
          </w:tcPr>
          <w:p w:rsidR="004B3372" w:rsidRPr="001C3B31" w:rsidRDefault="004B3372" w:rsidP="00B50045">
            <w:pPr>
              <w:spacing w:after="60"/>
              <w:jc w:val="center"/>
              <w:rPr>
                <w:lang w:val="ro-RO"/>
              </w:rPr>
            </w:pPr>
            <w:r w:rsidRPr="001C3B31">
              <w:rPr>
                <w:lang w:val="ro-RO"/>
              </w:rPr>
              <w:t>100</w:t>
            </w:r>
          </w:p>
        </w:tc>
        <w:tc>
          <w:tcPr>
            <w:tcW w:w="1784" w:type="dxa"/>
          </w:tcPr>
          <w:p w:rsidR="004B3372" w:rsidRPr="001C3B31" w:rsidRDefault="004B3372" w:rsidP="00B50045">
            <w:pPr>
              <w:spacing w:after="60"/>
              <w:jc w:val="center"/>
              <w:rPr>
                <w:lang w:val="ro-RO"/>
              </w:rPr>
            </w:pPr>
            <w:r w:rsidRPr="001C3B31">
              <w:rPr>
                <w:lang w:val="ro-RO"/>
              </w:rPr>
              <w:t>109</w:t>
            </w:r>
          </w:p>
        </w:tc>
        <w:tc>
          <w:tcPr>
            <w:tcW w:w="1386" w:type="dxa"/>
          </w:tcPr>
          <w:p w:rsidR="004B3372" w:rsidRPr="001C3B31" w:rsidRDefault="004B3372" w:rsidP="00B50045">
            <w:pPr>
              <w:spacing w:after="60"/>
              <w:jc w:val="center"/>
              <w:rPr>
                <w:lang w:val="ro-RO"/>
              </w:rPr>
            </w:pPr>
            <w:r w:rsidRPr="001C3B31">
              <w:rPr>
                <w:lang w:val="ro-RO"/>
              </w:rPr>
              <w:t>24 973</w:t>
            </w:r>
          </w:p>
        </w:tc>
        <w:tc>
          <w:tcPr>
            <w:tcW w:w="1396" w:type="dxa"/>
          </w:tcPr>
          <w:p w:rsidR="004B3372" w:rsidRPr="001C3B31" w:rsidRDefault="004B3372" w:rsidP="00B50045">
            <w:pPr>
              <w:spacing w:after="60"/>
              <w:jc w:val="center"/>
              <w:rPr>
                <w:lang w:val="ro-RO"/>
              </w:rPr>
            </w:pPr>
            <w:r w:rsidRPr="001C3B31">
              <w:rPr>
                <w:lang w:val="ro-RO"/>
              </w:rPr>
              <w:t>87 916</w:t>
            </w:r>
          </w:p>
        </w:tc>
        <w:tc>
          <w:tcPr>
            <w:tcW w:w="1397" w:type="dxa"/>
          </w:tcPr>
          <w:p w:rsidR="004B3372" w:rsidRPr="001C3B31" w:rsidRDefault="004B3372" w:rsidP="00B50045">
            <w:pPr>
              <w:spacing w:after="60"/>
              <w:jc w:val="center"/>
              <w:rPr>
                <w:lang w:val="ro-RO"/>
              </w:rPr>
            </w:pPr>
            <w:r w:rsidRPr="001C3B31">
              <w:rPr>
                <w:lang w:val="ro-RO"/>
              </w:rPr>
              <w:t>112 889</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Pr>
        <w:tc>
          <w:tcPr>
            <w:tcW w:w="1152" w:type="dxa"/>
          </w:tcPr>
          <w:p w:rsidR="004B3372" w:rsidRPr="001C3B31" w:rsidRDefault="004B3372" w:rsidP="00B50045">
            <w:pPr>
              <w:spacing w:after="60"/>
              <w:jc w:val="center"/>
              <w:rPr>
                <w:lang w:val="ro-RO"/>
              </w:rPr>
            </w:pPr>
            <w:r w:rsidRPr="001C3B31">
              <w:rPr>
                <w:lang w:val="ro-RO"/>
              </w:rPr>
              <w:t>FNDAMR</w:t>
            </w:r>
          </w:p>
        </w:tc>
        <w:tc>
          <w:tcPr>
            <w:tcW w:w="1254" w:type="dxa"/>
            <w:vAlign w:val="center"/>
          </w:tcPr>
          <w:p w:rsidR="004B3372" w:rsidRPr="001C3B31" w:rsidRDefault="004B3372" w:rsidP="00B50045">
            <w:pPr>
              <w:spacing w:after="60"/>
              <w:jc w:val="center"/>
              <w:rPr>
                <w:lang w:val="ro-RO"/>
              </w:rPr>
            </w:pPr>
            <w:r w:rsidRPr="001C3B31">
              <w:rPr>
                <w:rFonts w:ascii="Calibri" w:hAnsi="Calibri" w:cs="Calibri"/>
                <w:color w:val="000000"/>
                <w:szCs w:val="20"/>
                <w:lang w:val="ro-RO"/>
              </w:rPr>
              <w:t>36*</w:t>
            </w:r>
          </w:p>
        </w:tc>
        <w:tc>
          <w:tcPr>
            <w:tcW w:w="1011" w:type="dxa"/>
            <w:vAlign w:val="center"/>
          </w:tcPr>
          <w:p w:rsidR="004B3372" w:rsidRPr="001C3B31" w:rsidRDefault="004B3372" w:rsidP="00B50045">
            <w:pPr>
              <w:spacing w:after="60"/>
              <w:jc w:val="center"/>
              <w:rPr>
                <w:lang w:val="ro-RO"/>
              </w:rPr>
            </w:pPr>
            <w:r w:rsidRPr="001C3B31">
              <w:rPr>
                <w:rFonts w:ascii="Calibri" w:hAnsi="Calibri" w:cs="Calibri"/>
                <w:color w:val="000000"/>
                <w:szCs w:val="20"/>
                <w:lang w:val="ro-RO"/>
              </w:rPr>
              <w:t>973</w:t>
            </w:r>
          </w:p>
        </w:tc>
        <w:tc>
          <w:tcPr>
            <w:tcW w:w="1784" w:type="dxa"/>
            <w:vAlign w:val="center"/>
          </w:tcPr>
          <w:p w:rsidR="004B3372" w:rsidRPr="001C3B31" w:rsidRDefault="004B3372" w:rsidP="00B50045">
            <w:pPr>
              <w:spacing w:after="60"/>
              <w:jc w:val="center"/>
              <w:rPr>
                <w:lang w:val="ro-RO"/>
              </w:rPr>
            </w:pPr>
            <w:r w:rsidRPr="001C3B31">
              <w:rPr>
                <w:rFonts w:ascii="Calibri" w:hAnsi="Calibri" w:cs="Calibri"/>
                <w:color w:val="000000"/>
                <w:szCs w:val="20"/>
                <w:lang w:val="ro-RO"/>
              </w:rPr>
              <w:t>1 061</w:t>
            </w:r>
          </w:p>
        </w:tc>
        <w:tc>
          <w:tcPr>
            <w:tcW w:w="1386" w:type="dxa"/>
            <w:vAlign w:val="center"/>
          </w:tcPr>
          <w:p w:rsidR="004B3372" w:rsidRPr="001C3B31" w:rsidRDefault="004B3372" w:rsidP="00B50045">
            <w:pPr>
              <w:spacing w:after="60"/>
              <w:jc w:val="center"/>
              <w:rPr>
                <w:lang w:val="ro-RO"/>
              </w:rPr>
            </w:pPr>
            <w:r w:rsidRPr="001C3B31">
              <w:rPr>
                <w:rFonts w:ascii="Calibri" w:hAnsi="Calibri" w:cs="Calibri"/>
                <w:color w:val="000000"/>
                <w:szCs w:val="20"/>
                <w:lang w:val="ro-RO"/>
              </w:rPr>
              <w:t>242 981</w:t>
            </w:r>
          </w:p>
        </w:tc>
        <w:tc>
          <w:tcPr>
            <w:tcW w:w="1396" w:type="dxa"/>
            <w:vAlign w:val="center"/>
          </w:tcPr>
          <w:p w:rsidR="004B3372" w:rsidRPr="001C3B31" w:rsidRDefault="004B3372" w:rsidP="00B50045">
            <w:pPr>
              <w:spacing w:after="60"/>
              <w:jc w:val="center"/>
              <w:rPr>
                <w:lang w:val="ro-RO"/>
              </w:rPr>
            </w:pPr>
            <w:r w:rsidRPr="001C3B31">
              <w:rPr>
                <w:rFonts w:ascii="Calibri" w:hAnsi="Calibri" w:cs="Calibri"/>
                <w:color w:val="000000"/>
                <w:szCs w:val="20"/>
                <w:lang w:val="ro-RO"/>
              </w:rPr>
              <w:t>855 399</w:t>
            </w:r>
          </w:p>
        </w:tc>
        <w:tc>
          <w:tcPr>
            <w:tcW w:w="1397" w:type="dxa"/>
            <w:vAlign w:val="center"/>
          </w:tcPr>
          <w:p w:rsidR="004B3372" w:rsidRPr="001C3B31" w:rsidRDefault="004B3372" w:rsidP="00B50045">
            <w:pPr>
              <w:spacing w:after="60"/>
              <w:jc w:val="center"/>
              <w:rPr>
                <w:lang w:val="ro-RO"/>
              </w:rPr>
            </w:pPr>
            <w:r w:rsidRPr="001C3B31">
              <w:rPr>
                <w:rFonts w:ascii="Calibri" w:hAnsi="Calibri" w:cs="Calibri"/>
                <w:color w:val="000000"/>
                <w:szCs w:val="20"/>
                <w:lang w:val="ro-RO"/>
              </w:rPr>
              <w:t>1 098 379</w:t>
            </w:r>
          </w:p>
        </w:tc>
      </w:tr>
    </w:tbl>
    <w:p w:rsidR="004B3372" w:rsidRPr="001C3B31" w:rsidRDefault="004B3372" w:rsidP="004B3372">
      <w:pPr>
        <w:rPr>
          <w:sz w:val="16"/>
          <w:szCs w:val="16"/>
          <w:lang w:val="ro-RO"/>
        </w:rPr>
      </w:pPr>
      <w:r w:rsidRPr="001C3B31">
        <w:rPr>
          <w:sz w:val="16"/>
          <w:szCs w:val="16"/>
          <w:lang w:val="ro-RO"/>
        </w:rPr>
        <w:t>*Valoarea de 36 m MDL este calculată din valoarea de 5</w:t>
      </w:r>
      <w:r>
        <w:rPr>
          <w:sz w:val="16"/>
          <w:szCs w:val="16"/>
          <w:lang w:val="ro-RO"/>
        </w:rPr>
        <w:t xml:space="preserve"> </w:t>
      </w:r>
      <w:r w:rsidRPr="001C3B31">
        <w:rPr>
          <w:sz w:val="16"/>
          <w:szCs w:val="16"/>
          <w:lang w:val="ro-RO"/>
        </w:rPr>
        <w:t>% din FNDAMR (45 mil MDL), din</w:t>
      </w:r>
      <w:r>
        <w:rPr>
          <w:sz w:val="16"/>
          <w:szCs w:val="16"/>
          <w:lang w:val="ro-RO"/>
        </w:rPr>
        <w:t>tre</w:t>
      </w:r>
      <w:r w:rsidRPr="001C3B31">
        <w:rPr>
          <w:sz w:val="16"/>
          <w:szCs w:val="16"/>
          <w:lang w:val="ro-RO"/>
        </w:rPr>
        <w:t xml:space="preserve"> care au fost scăzute 20</w:t>
      </w:r>
      <w:r>
        <w:rPr>
          <w:sz w:val="16"/>
          <w:szCs w:val="16"/>
          <w:lang w:val="ro-RO"/>
        </w:rPr>
        <w:t xml:space="preserve"> </w:t>
      </w:r>
      <w:r w:rsidRPr="001C3B31">
        <w:rPr>
          <w:sz w:val="16"/>
          <w:szCs w:val="16"/>
          <w:lang w:val="ro-RO"/>
        </w:rPr>
        <w:t>% care urmează să fie utilizate pentru administrarea GAL-urilor</w:t>
      </w:r>
      <w:r>
        <w:rPr>
          <w:sz w:val="16"/>
          <w:szCs w:val="16"/>
          <w:lang w:val="ro-RO"/>
        </w:rPr>
        <w:t>.</w:t>
      </w:r>
    </w:p>
    <w:p w:rsidR="004B3372" w:rsidRPr="001C3B31" w:rsidRDefault="004B3372" w:rsidP="004B3372">
      <w:pPr>
        <w:pStyle w:val="CommentText"/>
        <w:rPr>
          <w:lang w:val="ro-RO"/>
        </w:rPr>
      </w:pPr>
      <w:r w:rsidRPr="001C3B31">
        <w:rPr>
          <w:lang w:val="ro-RO"/>
        </w:rPr>
        <w:t xml:space="preserve">Specificul proiectelor implementate în cadrul Programului LEADER constă în orientarea spre solidarizarea comunităților în identificarea și prioritizarea unor probleme comune, precum și spre mobilizarea comunității întru coagularea eforturilor întru soluționarea problemelor în cauză. Totodată, proiectele implementate în cadrul Programului LEADER au impact social mult mai mare comparativ cu alte tipuri de proiecte cu buget similar, fapt cauzat inclusiv și de modalitatea de abordare orientată spre stabilirea responsabilității și proprietății proiectului asupra beneficiarilor, fapt care inevitabil conduce la creșterea durabilității proiectului. </w:t>
      </w:r>
    </w:p>
    <w:p w:rsidR="004B3372" w:rsidRPr="007F0A8B" w:rsidRDefault="004B3372" w:rsidP="004B3372">
      <w:pPr>
        <w:pStyle w:val="Heading3"/>
        <w:rPr>
          <w:color w:val="0070C0"/>
          <w:lang w:val="ro-RO"/>
        </w:rPr>
      </w:pPr>
      <w:bookmarkStart w:id="26" w:name="_Toc32964817"/>
      <w:r w:rsidRPr="007F0A8B">
        <w:rPr>
          <w:color w:val="0070C0"/>
          <w:lang w:val="ro-RO"/>
        </w:rPr>
        <w:t xml:space="preserve">Impactul </w:t>
      </w:r>
      <w:bookmarkEnd w:id="25"/>
      <w:r w:rsidRPr="007F0A8B">
        <w:rPr>
          <w:color w:val="0070C0"/>
          <w:lang w:val="ro-RO"/>
        </w:rPr>
        <w:t>Administrativ</w:t>
      </w:r>
      <w:bookmarkEnd w:id="26"/>
    </w:p>
    <w:p w:rsidR="004B3372" w:rsidRPr="001C3B31" w:rsidRDefault="004B3372" w:rsidP="004B3372">
      <w:pPr>
        <w:rPr>
          <w:lang w:val="ro-RO"/>
        </w:rPr>
      </w:pPr>
      <w:r w:rsidRPr="001C3B31">
        <w:rPr>
          <w:lang w:val="ro-RO"/>
        </w:rPr>
        <w:t>Evaluarea impactului administrativ urmărește</w:t>
      </w:r>
      <w:r>
        <w:rPr>
          <w:lang w:val="ro-RO"/>
        </w:rPr>
        <w:t>,</w:t>
      </w:r>
      <w:r w:rsidRPr="001C3B31">
        <w:rPr>
          <w:lang w:val="ro-RO"/>
        </w:rPr>
        <w:t xml:space="preserve"> în primul rând</w:t>
      </w:r>
      <w:r>
        <w:rPr>
          <w:lang w:val="ro-RO"/>
        </w:rPr>
        <w:t>,</w:t>
      </w:r>
      <w:r w:rsidRPr="001C3B31">
        <w:rPr>
          <w:lang w:val="ro-RO"/>
        </w:rPr>
        <w:t xml:space="preserve"> evaluarea măsurii în care implementarea PPP-ul analizat va impune crearea noi</w:t>
      </w:r>
      <w:r>
        <w:rPr>
          <w:lang w:val="ro-RO"/>
        </w:rPr>
        <w:t>lor</w:t>
      </w:r>
      <w:r w:rsidRPr="001C3B31">
        <w:rPr>
          <w:lang w:val="ro-RO"/>
        </w:rPr>
        <w:t xml:space="preserve"> structuri administrative sau va conduce la creșterea personalului celor existente. Totodată, în eva</w:t>
      </w:r>
      <w:r>
        <w:rPr>
          <w:lang w:val="ro-RO"/>
        </w:rPr>
        <w:t>luarea impactului administrativ</w:t>
      </w:r>
      <w:r w:rsidRPr="001C3B31">
        <w:rPr>
          <w:lang w:val="ro-RO"/>
        </w:rPr>
        <w:t xml:space="preserve"> vor fi analizate și necesitățile beneficiarilor PPP sau altfel spus impactul administrativ</w:t>
      </w:r>
      <w:r>
        <w:rPr>
          <w:lang w:val="ro-RO"/>
        </w:rPr>
        <w:t xml:space="preserve"> al PPP-ului asupra beneficiarilor</w:t>
      </w:r>
      <w:r w:rsidRPr="001C3B31">
        <w:rPr>
          <w:lang w:val="ro-RO"/>
        </w:rPr>
        <w:t xml:space="preserve"> acesteia. </w:t>
      </w:r>
    </w:p>
    <w:p w:rsidR="004B3372" w:rsidRPr="001C3B31" w:rsidRDefault="004B3372" w:rsidP="004B3372">
      <w:pPr>
        <w:rPr>
          <w:lang w:val="ro-RO"/>
        </w:rPr>
      </w:pPr>
      <w:r w:rsidRPr="001C3B31">
        <w:rPr>
          <w:lang w:val="ro-RO"/>
        </w:rPr>
        <w:t xml:space="preserve">Aprobarea PPP-ului nu </w:t>
      </w:r>
      <w:r>
        <w:rPr>
          <w:lang w:val="ro-RO"/>
        </w:rPr>
        <w:t xml:space="preserve">va </w:t>
      </w:r>
      <w:r w:rsidRPr="001C3B31">
        <w:rPr>
          <w:lang w:val="ro-RO"/>
        </w:rPr>
        <w:t xml:space="preserve">avea un impact administrativ semnificativ asupra instituției responsabile de aplicarea în </w:t>
      </w:r>
      <w:r>
        <w:rPr>
          <w:lang w:val="ro-RO"/>
        </w:rPr>
        <w:t xml:space="preserve">practică a prevederii PPP-ului </w:t>
      </w:r>
      <w:r w:rsidRPr="001C3B31">
        <w:rPr>
          <w:lang w:val="ro-RO"/>
        </w:rPr>
        <w:t xml:space="preserve">- Agenția </w:t>
      </w:r>
      <w:r>
        <w:rPr>
          <w:lang w:val="ro-RO"/>
        </w:rPr>
        <w:t xml:space="preserve">de </w:t>
      </w:r>
      <w:r w:rsidRPr="001C3B31">
        <w:rPr>
          <w:lang w:val="ro-RO"/>
        </w:rPr>
        <w:t>Intervenți</w:t>
      </w:r>
      <w:r>
        <w:rPr>
          <w:lang w:val="ro-RO"/>
        </w:rPr>
        <w:t>e</w:t>
      </w:r>
      <w:r w:rsidRPr="001C3B31">
        <w:rPr>
          <w:lang w:val="ro-RO"/>
        </w:rPr>
        <w:t xml:space="preserve"> și Plăți </w:t>
      </w:r>
      <w:r>
        <w:rPr>
          <w:lang w:val="ro-RO"/>
        </w:rPr>
        <w:t>pentru</w:t>
      </w:r>
      <w:r w:rsidRPr="001C3B31">
        <w:rPr>
          <w:lang w:val="ro-RO"/>
        </w:rPr>
        <w:t xml:space="preserve"> Agricultură</w:t>
      </w:r>
      <w:r>
        <w:rPr>
          <w:lang w:val="ro-RO"/>
        </w:rPr>
        <w:t xml:space="preserve"> (AIPA)</w:t>
      </w:r>
      <w:r w:rsidRPr="001C3B31">
        <w:rPr>
          <w:lang w:val="ro-RO"/>
        </w:rPr>
        <w:t xml:space="preserve">, cât și asupra potențialilor </w:t>
      </w:r>
      <w:r>
        <w:rPr>
          <w:lang w:val="ro-RO"/>
        </w:rPr>
        <w:t>beneficiari, în special asupra autorităților publice l</w:t>
      </w:r>
      <w:r w:rsidRPr="001C3B31">
        <w:rPr>
          <w:lang w:val="ro-RO"/>
        </w:rPr>
        <w:t>ocale de nivelul I.</w:t>
      </w:r>
    </w:p>
    <w:p w:rsidR="004B3372" w:rsidRPr="001C3B31" w:rsidRDefault="004B3372" w:rsidP="004B3372">
      <w:pPr>
        <w:rPr>
          <w:lang w:val="ro-RO"/>
        </w:rPr>
      </w:pPr>
      <w:r w:rsidRPr="001C3B31">
        <w:rPr>
          <w:lang w:val="ro-RO"/>
        </w:rPr>
        <w:t xml:space="preserve">În cazul AIPA, implementarea PPP-ului, prin includerea unei noi măsuri de subvenționare din sursele FNDAMR nu va genera necesitatea măririi personalului responsabil de desfășurarea procedurii de selectare, monitorizarea implementării și evaluării rezultatelor proiectelor aprobate spre finanțare din sursele FNDARM. </w:t>
      </w:r>
    </w:p>
    <w:p w:rsidR="004B3372" w:rsidRPr="001C3B31" w:rsidRDefault="004B3372" w:rsidP="004B3372">
      <w:pPr>
        <w:rPr>
          <w:lang w:val="ro-RO"/>
        </w:rPr>
      </w:pPr>
      <w:r w:rsidRPr="001C3B31">
        <w:rPr>
          <w:lang w:val="ro-RO"/>
        </w:rPr>
        <w:t>Acest lucru este cauzat</w:t>
      </w:r>
      <w:r>
        <w:rPr>
          <w:lang w:val="ro-RO"/>
        </w:rPr>
        <w:t>,</w:t>
      </w:r>
      <w:r w:rsidRPr="001C3B31">
        <w:rPr>
          <w:lang w:val="ro-RO"/>
        </w:rPr>
        <w:t xml:space="preserve"> în primul rând</w:t>
      </w:r>
      <w:r>
        <w:rPr>
          <w:lang w:val="ro-RO"/>
        </w:rPr>
        <w:t>,</w:t>
      </w:r>
      <w:r w:rsidRPr="001C3B31">
        <w:rPr>
          <w:lang w:val="ro-RO"/>
        </w:rPr>
        <w:t xml:space="preserve"> de faptul aprobării HG </w:t>
      </w:r>
      <w:r>
        <w:rPr>
          <w:lang w:val="ro-RO"/>
        </w:rPr>
        <w:t xml:space="preserve">nr. </w:t>
      </w:r>
      <w:r w:rsidRPr="001C3B31">
        <w:rPr>
          <w:lang w:val="ro-RO"/>
        </w:rPr>
        <w:t>476/2019 privind acordarea subvențiilor pentru îmbunătățirea nivelului de trai și de muncă în mediul rural din Fondul național de dezvoltare</w:t>
      </w:r>
      <w:r>
        <w:rPr>
          <w:lang w:val="ro-RO"/>
        </w:rPr>
        <w:t xml:space="preserve"> </w:t>
      </w:r>
      <w:r w:rsidRPr="001C3B31">
        <w:rPr>
          <w:lang w:val="ro-RO"/>
        </w:rPr>
        <w:t>a agriculturii și mediului rural, prin care au fost introduse 3 noi măsuri de subvenționare în avans pentru</w:t>
      </w:r>
      <w:r>
        <w:rPr>
          <w:lang w:val="ro-RO"/>
        </w:rPr>
        <w:t>:</w:t>
      </w:r>
      <w:r w:rsidRPr="001C3B31">
        <w:rPr>
          <w:lang w:val="ro-RO"/>
        </w:rPr>
        <w:t xml:space="preserve"> i) dezvoltarea durabilă a infrastructurii aferente activităților economice prin efectuarea investițiilor în infrastructura economică publică din mediul rural; ii) dezvoltarea durabilă a localităților rurale prin efectuarea investițiilor în serviciile comunitare pentru populația rurală</w:t>
      </w:r>
      <w:r>
        <w:rPr>
          <w:lang w:val="ro-RO"/>
        </w:rPr>
        <w:t>,</w:t>
      </w:r>
      <w:r w:rsidRPr="001C3B31">
        <w:rPr>
          <w:lang w:val="ro-RO"/>
        </w:rPr>
        <w:t xml:space="preserve"> în scopul creșterii atractivității zonelor rurale și creării noilor locuri de muncii și iii) salvgardarea patrimoniului cultural și natural prin efectuarea investițiilor în conservarea/restaurarea patrimoniului natural și cultural</w:t>
      </w:r>
      <w:r w:rsidRPr="001C3B31">
        <w:rPr>
          <w:rStyle w:val="FootnoteReference"/>
          <w:lang w:val="ro-RO"/>
        </w:rPr>
        <w:footnoteReference w:id="17"/>
      </w:r>
      <w:r w:rsidRPr="001C3B31">
        <w:rPr>
          <w:lang w:val="ro-RO"/>
        </w:rPr>
        <w:t xml:space="preserve">. </w:t>
      </w:r>
    </w:p>
    <w:p w:rsidR="004B3372" w:rsidRPr="001C3B31" w:rsidRDefault="004B3372" w:rsidP="004B3372">
      <w:pPr>
        <w:rPr>
          <w:lang w:val="ro-RO"/>
        </w:rPr>
      </w:pPr>
      <w:r w:rsidRPr="001C3B31">
        <w:rPr>
          <w:lang w:val="ro-RO"/>
        </w:rPr>
        <w:t xml:space="preserve">Drept urmare a implementării acestor 3 noi măsuri, unitățile responsabile de implementare urmează </w:t>
      </w:r>
      <w:r>
        <w:rPr>
          <w:lang w:val="ro-RO"/>
        </w:rPr>
        <w:t xml:space="preserve">   </w:t>
      </w:r>
      <w:r w:rsidRPr="001C3B31">
        <w:rPr>
          <w:lang w:val="ro-RO"/>
        </w:rPr>
        <w:t>să-și majoreze personalul cu cel puțin 4 funcționari 1 de conducere și 3 de execuție. Drept urmare, în urma implementării PPP-ului și aprobării acestei, celei de-a 4 măsuri de subvenționare în avans, de asemenea</w:t>
      </w:r>
      <w:r>
        <w:rPr>
          <w:lang w:val="ro-RO"/>
        </w:rPr>
        <w:t>,</w:t>
      </w:r>
      <w:r w:rsidRPr="001C3B31">
        <w:rPr>
          <w:lang w:val="ro-RO"/>
        </w:rPr>
        <w:t xml:space="preserve"> în domeniul dezvoltării mediului rural, personalul nou angajat va prelua dosarele de subvenționare și pentru această nouă măsură. </w:t>
      </w:r>
    </w:p>
    <w:p w:rsidR="004B3372" w:rsidRPr="001C3B31" w:rsidRDefault="004B3372" w:rsidP="004B3372">
      <w:pPr>
        <w:rPr>
          <w:lang w:val="ro-RO"/>
        </w:rPr>
      </w:pPr>
      <w:r w:rsidRPr="001C3B31">
        <w:rPr>
          <w:lang w:val="ro-RO"/>
        </w:rPr>
        <w:t xml:space="preserve">Totodată, în </w:t>
      </w:r>
      <w:r>
        <w:rPr>
          <w:lang w:val="ro-RO"/>
        </w:rPr>
        <w:t>rezultatul</w:t>
      </w:r>
      <w:r w:rsidRPr="001C3B31">
        <w:rPr>
          <w:lang w:val="ro-RO"/>
        </w:rPr>
        <w:t xml:space="preserve"> aplicării instrumentelor calitative pentru evaluarea percepției membrilor GAL-urilor asupra capacității de administrare a portofoliilor complexe de proiecte, aceștia recunosc existența unor lacune în acest sens, optând pentru o capacitare a GAL-urilor cu personal specializat în administrarea proiectelor. Or, în vedere</w:t>
      </w:r>
      <w:r>
        <w:rPr>
          <w:lang w:val="ro-RO"/>
        </w:rPr>
        <w:t>a</w:t>
      </w:r>
      <w:r w:rsidRPr="001C3B31">
        <w:rPr>
          <w:lang w:val="ro-RO"/>
        </w:rPr>
        <w:t xml:space="preserve"> asigurării GAL-urilor cu personal specializat este necesară o mobilizare de resurse financiare. În acest sens, în rândul reprezentanților GAL-ului exist</w:t>
      </w:r>
      <w:r>
        <w:rPr>
          <w:lang w:val="ro-RO"/>
        </w:rPr>
        <w:t>ă</w:t>
      </w:r>
      <w:r w:rsidRPr="001C3B31">
        <w:rPr>
          <w:lang w:val="ro-RO"/>
        </w:rPr>
        <w:t xml:space="preserve"> un consens destul de clar, majoritatea respondenților, atât în cadrul interviurilor</w:t>
      </w:r>
      <w:r>
        <w:rPr>
          <w:lang w:val="ro-RO"/>
        </w:rPr>
        <w:t>,</w:t>
      </w:r>
      <w:r w:rsidRPr="001C3B31">
        <w:rPr>
          <w:lang w:val="ro-RO"/>
        </w:rPr>
        <w:t xml:space="preserve"> cât și în cazul chestionării, au prezentat suma de 200 -  600 lei anual drept optimă pentru asigurarea bunei funcționări a unui GAL. </w:t>
      </w:r>
    </w:p>
    <w:p w:rsidR="004B3372" w:rsidRPr="001C3B31" w:rsidRDefault="004B3372" w:rsidP="004B3372">
      <w:pPr>
        <w:rPr>
          <w:lang w:val="ro-RO"/>
        </w:rPr>
      </w:pPr>
      <w:r w:rsidRPr="001C3B31">
        <w:rPr>
          <w:lang w:val="ro-RO"/>
        </w:rPr>
        <w:t>Specificul proiectelor de tip LEADER constă în faptul</w:t>
      </w:r>
      <w:r>
        <w:rPr>
          <w:lang w:val="ro-RO"/>
        </w:rPr>
        <w:t>,</w:t>
      </w:r>
      <w:r w:rsidRPr="001C3B31">
        <w:rPr>
          <w:lang w:val="ro-RO"/>
        </w:rPr>
        <w:t xml:space="preserve"> că acestea au un management integrat. Altfel spus, beneficiarul participă în implementarea proiectului de la prima </w:t>
      </w:r>
      <w:r>
        <w:rPr>
          <w:lang w:val="ro-RO"/>
        </w:rPr>
        <w:t xml:space="preserve">până </w:t>
      </w:r>
      <w:r w:rsidRPr="001C3B31">
        <w:rPr>
          <w:lang w:val="ro-RO"/>
        </w:rPr>
        <w:t xml:space="preserve">la ultima etapă a proiectului și chiar </w:t>
      </w:r>
      <w:r w:rsidRPr="001C3B31">
        <w:rPr>
          <w:lang w:val="ro-RO"/>
        </w:rPr>
        <w:lastRenderedPageBreak/>
        <w:t xml:space="preserve">în condițiile în care o parte din procese sunt puse în sarcina finanțatorului, beneficiarii oricum sunt implicați în pregătirea documentelor de proiect, elaborarea Strategiei Locale de Dezvoltare sau mobilizarea comunitară. </w:t>
      </w:r>
    </w:p>
    <w:p w:rsidR="004B3372" w:rsidRPr="007F0A8B" w:rsidRDefault="004B3372" w:rsidP="004B3372">
      <w:pPr>
        <w:pStyle w:val="Heading3"/>
        <w:rPr>
          <w:color w:val="0070C0"/>
          <w:lang w:val="ro-RO"/>
        </w:rPr>
      </w:pPr>
      <w:bookmarkStart w:id="27" w:name="_Toc32964818"/>
      <w:r w:rsidRPr="007F0A8B">
        <w:rPr>
          <w:color w:val="0070C0"/>
          <w:lang w:val="ro-RO"/>
        </w:rPr>
        <w:t>Impactul economic</w:t>
      </w:r>
      <w:bookmarkEnd w:id="27"/>
      <w:r w:rsidRPr="007F0A8B">
        <w:rPr>
          <w:color w:val="0070C0"/>
          <w:lang w:val="ro-RO"/>
        </w:rPr>
        <w:t xml:space="preserve"> </w:t>
      </w:r>
    </w:p>
    <w:p w:rsidR="004B3372" w:rsidRPr="001C3B31" w:rsidRDefault="004B3372" w:rsidP="004B3372">
      <w:pPr>
        <w:rPr>
          <w:lang w:val="ro-RO"/>
        </w:rPr>
      </w:pPr>
      <w:r w:rsidRPr="001C3B31">
        <w:rPr>
          <w:lang w:val="ro-RO"/>
        </w:rPr>
        <w:t>Evaluarea impactului economic urmărește</w:t>
      </w:r>
      <w:r>
        <w:rPr>
          <w:lang w:val="ro-RO"/>
        </w:rPr>
        <w:t>,</w:t>
      </w:r>
      <w:r w:rsidRPr="001C3B31">
        <w:rPr>
          <w:lang w:val="ro-RO"/>
        </w:rPr>
        <w:t xml:space="preserve"> în primul rând</w:t>
      </w:r>
      <w:r>
        <w:rPr>
          <w:lang w:val="ro-RO"/>
        </w:rPr>
        <w:t>,</w:t>
      </w:r>
      <w:r w:rsidRPr="001C3B31">
        <w:rPr>
          <w:lang w:val="ro-RO"/>
        </w:rPr>
        <w:t xml:space="preserve"> identificarea măsurii în care implementarea politicii publice analizate va conduce la careva modificări de natură economică, benefice sau negative. În cadrul evaluării impactului economic au fost analizate beneficiile economice directe și indirecte în urma implementării PPP-ului, precum valoare</w:t>
      </w:r>
      <w:r>
        <w:rPr>
          <w:lang w:val="ro-RO"/>
        </w:rPr>
        <w:t>a</w:t>
      </w:r>
      <w:r w:rsidRPr="001C3B31">
        <w:rPr>
          <w:lang w:val="ro-RO"/>
        </w:rPr>
        <w:t xml:space="preserve"> impozitelor acumulate în plus, numărul locuri</w:t>
      </w:r>
      <w:r>
        <w:rPr>
          <w:lang w:val="ro-RO"/>
        </w:rPr>
        <w:t>lor</w:t>
      </w:r>
      <w:r w:rsidRPr="001C3B31">
        <w:rPr>
          <w:lang w:val="ro-RO"/>
        </w:rPr>
        <w:t xml:space="preserve"> de muncă noi create, numărul noi</w:t>
      </w:r>
      <w:r>
        <w:rPr>
          <w:lang w:val="ro-RO"/>
        </w:rPr>
        <w:t xml:space="preserve">lor </w:t>
      </w:r>
      <w:r w:rsidRPr="001C3B31">
        <w:rPr>
          <w:lang w:val="ro-RO"/>
        </w:rPr>
        <w:t xml:space="preserve">întreprinderi, etc. </w:t>
      </w:r>
    </w:p>
    <w:p w:rsidR="004B3372" w:rsidRPr="001C3B31" w:rsidRDefault="004B3372" w:rsidP="004B3372">
      <w:pPr>
        <w:rPr>
          <w:lang w:val="ro-RO"/>
        </w:rPr>
      </w:pPr>
      <w:r w:rsidRPr="001C3B31">
        <w:rPr>
          <w:lang w:val="ro-RO"/>
        </w:rPr>
        <w:t>Impactul economic este prezentat în detalii, mai jos, în capitolul „Analiza Cost</w:t>
      </w:r>
      <w:r>
        <w:rPr>
          <w:lang w:val="ro-RO"/>
        </w:rPr>
        <w:t>-</w:t>
      </w:r>
      <w:r w:rsidRPr="001C3B31">
        <w:rPr>
          <w:lang w:val="ro-RO"/>
        </w:rPr>
        <w:t xml:space="preserve">Beneficiu”. Analiza efectuată </w:t>
      </w:r>
      <w:r>
        <w:rPr>
          <w:lang w:val="ro-RO"/>
        </w:rPr>
        <w:t>demonstrează,</w:t>
      </w:r>
      <w:r w:rsidRPr="001C3B31">
        <w:rPr>
          <w:lang w:val="ro-RO"/>
        </w:rPr>
        <w:t xml:space="preserve"> că măsura de intervenție prevăzută de PPP va avea impact economic pozitiv.</w:t>
      </w:r>
    </w:p>
    <w:p w:rsidR="004B3372" w:rsidRPr="001C3B31" w:rsidRDefault="004B3372" w:rsidP="004B3372">
      <w:pPr>
        <w:rPr>
          <w:lang w:val="ro-RO"/>
        </w:rPr>
      </w:pPr>
      <w:r w:rsidRPr="001C3B31">
        <w:rPr>
          <w:lang w:val="ro-RO"/>
        </w:rPr>
        <w:t>Pornind de la faptul că abordarea LEADER urmărește</w:t>
      </w:r>
      <w:r>
        <w:rPr>
          <w:lang w:val="ro-RO"/>
        </w:rPr>
        <w:t>,</w:t>
      </w:r>
      <w:r w:rsidRPr="001C3B31">
        <w:rPr>
          <w:lang w:val="ro-RO"/>
        </w:rPr>
        <w:t xml:space="preserve"> în primul rând</w:t>
      </w:r>
      <w:r>
        <w:rPr>
          <w:lang w:val="ro-RO"/>
        </w:rPr>
        <w:t>,</w:t>
      </w:r>
      <w:r w:rsidRPr="001C3B31">
        <w:rPr>
          <w:lang w:val="ro-RO"/>
        </w:rPr>
        <w:t xml:space="preserve"> dezvoltarea economică la nivel local, majoritatea intervențiilor, chiar și cele care nu au un caracter vădit economic, au impact economic. Un exemplu elocvent în acest sens reprezentând proiectele culturale, care în mod direct nu generează profit, acestea facilitează organizarea unor evenimente cu conotație economică, precum târgurile sau iarmaroacele.</w:t>
      </w:r>
    </w:p>
    <w:p w:rsidR="004B3372" w:rsidRPr="001C3B31" w:rsidRDefault="004B3372" w:rsidP="004B3372">
      <w:pPr>
        <w:rPr>
          <w:lang w:val="ro-RO"/>
        </w:rPr>
      </w:pPr>
      <w:r w:rsidRPr="001C3B31">
        <w:rPr>
          <w:lang w:val="ro-RO"/>
        </w:rPr>
        <w:t>Mai mult de</w:t>
      </w:r>
      <w:r>
        <w:rPr>
          <w:lang w:val="ro-RO"/>
        </w:rPr>
        <w:t>cât</w:t>
      </w:r>
      <w:r w:rsidRPr="001C3B31">
        <w:rPr>
          <w:lang w:val="ro-RO"/>
        </w:rPr>
        <w:t xml:space="preserve"> atât, prin implementarea proiectelor de dezvoltare economică, are loc diversificarea activităților economice, care</w:t>
      </w:r>
      <w:r>
        <w:rPr>
          <w:lang w:val="ro-RO"/>
        </w:rPr>
        <w:t>,</w:t>
      </w:r>
      <w:r w:rsidRPr="001C3B31">
        <w:rPr>
          <w:lang w:val="ro-RO"/>
        </w:rPr>
        <w:t xml:space="preserve"> la rândul său</w:t>
      </w:r>
      <w:r>
        <w:rPr>
          <w:lang w:val="ro-RO"/>
        </w:rPr>
        <w:t>,</w:t>
      </w:r>
      <w:r w:rsidRPr="001C3B31">
        <w:rPr>
          <w:lang w:val="ro-RO"/>
        </w:rPr>
        <w:t xml:space="preserve"> conduce la creșterea numărului de contribuabili. </w:t>
      </w:r>
    </w:p>
    <w:p w:rsidR="004B3372" w:rsidRPr="001C3B31" w:rsidRDefault="004B3372" w:rsidP="004B3372">
      <w:pPr>
        <w:rPr>
          <w:lang w:val="ro-RO"/>
        </w:rPr>
      </w:pPr>
      <w:r>
        <w:rPr>
          <w:lang w:val="ro-RO"/>
        </w:rPr>
        <w:t>Pe de altă parte</w:t>
      </w:r>
      <w:r w:rsidRPr="001C3B31">
        <w:rPr>
          <w:lang w:val="ro-RO"/>
        </w:rPr>
        <w:t xml:space="preserve">, proiectele de îmbunătățire a serviciilor publice vor avea un impact economic indirect. Astfel, îmbunătățirea serviciilor publice </w:t>
      </w:r>
      <w:r>
        <w:rPr>
          <w:lang w:val="ro-RO"/>
        </w:rPr>
        <w:t>con</w:t>
      </w:r>
      <w:r w:rsidRPr="001C3B31">
        <w:rPr>
          <w:lang w:val="ro-RO"/>
        </w:rPr>
        <w:t>duce inevitabil la creșterea gradului de satisfacere de mediul de trai și</w:t>
      </w:r>
      <w:r>
        <w:rPr>
          <w:lang w:val="ro-RO"/>
        </w:rPr>
        <w:t>, totodată, con</w:t>
      </w:r>
      <w:r w:rsidRPr="001C3B31">
        <w:rPr>
          <w:lang w:val="ro-RO"/>
        </w:rPr>
        <w:t xml:space="preserve">duce la diminuarea ratei de migrațiune, </w:t>
      </w:r>
      <w:r>
        <w:rPr>
          <w:lang w:val="ro-RO"/>
        </w:rPr>
        <w:t xml:space="preserve">contribuind la </w:t>
      </w:r>
      <w:r w:rsidRPr="001C3B31">
        <w:rPr>
          <w:lang w:val="ro-RO"/>
        </w:rPr>
        <w:t>crește</w:t>
      </w:r>
      <w:r>
        <w:rPr>
          <w:lang w:val="ro-RO"/>
        </w:rPr>
        <w:t>rea</w:t>
      </w:r>
      <w:r w:rsidRPr="001C3B31">
        <w:rPr>
          <w:lang w:val="ro-RO"/>
        </w:rPr>
        <w:t xml:space="preserve"> atractivit</w:t>
      </w:r>
      <w:r>
        <w:rPr>
          <w:lang w:val="ro-RO"/>
        </w:rPr>
        <w:t>ății zonei pentru mediul de afaceri</w:t>
      </w:r>
      <w:r w:rsidRPr="001C3B31">
        <w:rPr>
          <w:lang w:val="ro-RO"/>
        </w:rPr>
        <w:t>. Pe de altă parte, implementarea unor proiecte de dezvoltare a infrastructurii social</w:t>
      </w:r>
      <w:r>
        <w:rPr>
          <w:lang w:val="ro-RO"/>
        </w:rPr>
        <w:t>e</w:t>
      </w:r>
      <w:r w:rsidRPr="001C3B31">
        <w:rPr>
          <w:lang w:val="ro-RO"/>
        </w:rPr>
        <w:t xml:space="preserve"> va contribui la creșterea calității vieții în mediul rural, fapt care va contribui la retenția populației în mediu rural și indirect la dezvoltarea economică a acestor regiuni. </w:t>
      </w:r>
    </w:p>
    <w:p w:rsidR="004B3372" w:rsidRPr="007F0A8B" w:rsidRDefault="004B3372" w:rsidP="004B3372">
      <w:pPr>
        <w:pStyle w:val="Heading3"/>
        <w:rPr>
          <w:color w:val="0070C0"/>
          <w:lang w:val="ro-RO"/>
        </w:rPr>
      </w:pPr>
      <w:bookmarkStart w:id="28" w:name="_Toc6492730"/>
      <w:bookmarkStart w:id="29" w:name="_Toc32964819"/>
      <w:r w:rsidRPr="007F0A8B">
        <w:rPr>
          <w:color w:val="0070C0"/>
          <w:lang w:val="ro-RO"/>
        </w:rPr>
        <w:t>Impactul Fiscal</w:t>
      </w:r>
      <w:bookmarkEnd w:id="28"/>
      <w:bookmarkEnd w:id="29"/>
    </w:p>
    <w:p w:rsidR="004B3372" w:rsidRPr="001C3B31" w:rsidRDefault="004B3372" w:rsidP="004B3372">
      <w:pPr>
        <w:rPr>
          <w:lang w:val="ro-RO"/>
        </w:rPr>
      </w:pPr>
      <w:r w:rsidRPr="001C3B31">
        <w:rPr>
          <w:lang w:val="ro-RO"/>
        </w:rPr>
        <w:t xml:space="preserve">Evaluarea impactului fiscal are </w:t>
      </w:r>
      <w:r>
        <w:rPr>
          <w:lang w:val="ro-RO"/>
        </w:rPr>
        <w:t xml:space="preserve">drept </w:t>
      </w:r>
      <w:r w:rsidRPr="001C3B31">
        <w:rPr>
          <w:lang w:val="ro-RO"/>
        </w:rPr>
        <w:t>scop evaluarea măsurii în care Politica Publică analizată va conduce la modificări</w:t>
      </w:r>
      <w:r>
        <w:rPr>
          <w:lang w:val="ro-RO"/>
        </w:rPr>
        <w:t xml:space="preserve">le referitoare la </w:t>
      </w:r>
      <w:r w:rsidRPr="001C3B31">
        <w:rPr>
          <w:lang w:val="ro-RO"/>
        </w:rPr>
        <w:t xml:space="preserve">cheltuielile bugetului public. </w:t>
      </w:r>
    </w:p>
    <w:p w:rsidR="004B3372" w:rsidRPr="001C3B31" w:rsidRDefault="004B3372" w:rsidP="004B3372">
      <w:pPr>
        <w:rPr>
          <w:lang w:val="ro-RO"/>
        </w:rPr>
      </w:pPr>
      <w:r w:rsidRPr="001C3B31">
        <w:rPr>
          <w:lang w:val="ro-RO"/>
        </w:rPr>
        <w:t xml:space="preserve"> În ceea ce privește impactul fiscal al intervenției analizate</w:t>
      </w:r>
      <w:r>
        <w:rPr>
          <w:lang w:val="ro-RO"/>
        </w:rPr>
        <w:t>,</w:t>
      </w:r>
      <w:r w:rsidRPr="001C3B31">
        <w:rPr>
          <w:lang w:val="ro-RO"/>
        </w:rPr>
        <w:t xml:space="preserve"> s-a constatat că aceasta nu va genera cheltuieli suplimentare majore pentru bugetul de stat. Astfel, conform Legii </w:t>
      </w:r>
      <w:r>
        <w:rPr>
          <w:lang w:val="ro-RO"/>
        </w:rPr>
        <w:t xml:space="preserve">nr. </w:t>
      </w:r>
      <w:r w:rsidRPr="001C3B31">
        <w:rPr>
          <w:lang w:val="ro-RO"/>
        </w:rPr>
        <w:t>276/2016 cu privire la principiile de subvenționare în dezvoltarea agriculturii și mediului rural</w:t>
      </w:r>
      <w:r>
        <w:rPr>
          <w:lang w:val="ro-RO"/>
        </w:rPr>
        <w:t>,</w:t>
      </w:r>
      <w:r w:rsidRPr="001C3B31">
        <w:rPr>
          <w:lang w:val="ro-RO"/>
        </w:rPr>
        <w:t xml:space="preserve"> finanțarea măsurilor de intervenție incluse în Propunerea de Politică Publică evaluată va fi asigurată din sursele Fondului Național de Dezvoltare Agricolă și Rurală din Moldova, în mărime de maximum 5</w:t>
      </w:r>
      <w:r>
        <w:rPr>
          <w:lang w:val="ro-RO"/>
        </w:rPr>
        <w:t xml:space="preserve"> </w:t>
      </w:r>
      <w:r w:rsidRPr="001C3B31">
        <w:rPr>
          <w:lang w:val="ro-RO"/>
        </w:rPr>
        <w:t xml:space="preserve">% din valoarea acestuia. </w:t>
      </w:r>
    </w:p>
    <w:p w:rsidR="004B3372" w:rsidRPr="001C3B31" w:rsidRDefault="004B3372" w:rsidP="004B3372">
      <w:pPr>
        <w:rPr>
          <w:color w:val="000000"/>
          <w:lang w:val="ro-RO"/>
        </w:rPr>
      </w:pPr>
      <w:r w:rsidRPr="001C3B31">
        <w:rPr>
          <w:color w:val="000000"/>
          <w:lang w:val="ro-RO"/>
        </w:rPr>
        <w:t xml:space="preserve">Pe de altă parte, pornind de la rezultatele deja obținute de proiectele implementate de GAL-uri cu suportul financiar oferit în cadrul Programului FGM 2019, prin implementarea PPP </w:t>
      </w:r>
      <w:r>
        <w:rPr>
          <w:color w:val="000000"/>
          <w:lang w:val="ro-RO"/>
        </w:rPr>
        <w:t>anual urmează să fie create cca</w:t>
      </w:r>
      <w:r w:rsidRPr="001C3B31">
        <w:rPr>
          <w:color w:val="000000"/>
          <w:lang w:val="ro-RO"/>
        </w:rPr>
        <w:t xml:space="preserve"> 1468 locuri</w:t>
      </w:r>
      <w:r>
        <w:rPr>
          <w:color w:val="000000"/>
          <w:lang w:val="ro-RO"/>
        </w:rPr>
        <w:t xml:space="preserve"> noi</w:t>
      </w:r>
      <w:r w:rsidRPr="001C3B31">
        <w:rPr>
          <w:color w:val="000000"/>
          <w:lang w:val="ro-RO"/>
        </w:rPr>
        <w:t xml:space="preserve"> de muncă în mediul rural. Pornind de la salariul mediu brut pe economie în trimestrul III al anului 2019</w:t>
      </w:r>
      <w:r w:rsidRPr="001C3B31">
        <w:rPr>
          <w:rStyle w:val="FootnoteReference"/>
          <w:color w:val="000000"/>
          <w:lang w:val="ro-RO"/>
        </w:rPr>
        <w:footnoteReference w:id="18"/>
      </w:r>
      <w:r w:rsidRPr="001C3B31">
        <w:rPr>
          <w:color w:val="000000"/>
          <w:lang w:val="ro-RO"/>
        </w:rPr>
        <w:t xml:space="preserve"> în sumă de 4545 MDL, putem constata că într-un an de activitate cele 14</w:t>
      </w:r>
      <w:r>
        <w:rPr>
          <w:color w:val="000000"/>
          <w:lang w:val="ro-RO"/>
        </w:rPr>
        <w:t xml:space="preserve">68 </w:t>
      </w:r>
      <w:r w:rsidRPr="001C3B31">
        <w:rPr>
          <w:color w:val="000000"/>
          <w:lang w:val="ro-RO"/>
        </w:rPr>
        <w:t>locuri de muncă vor plăti imp</w:t>
      </w:r>
      <w:r>
        <w:rPr>
          <w:color w:val="000000"/>
          <w:lang w:val="ro-RO"/>
        </w:rPr>
        <w:t>ozite directe în valoare de cca 8.6 mln MDL sau cca</w:t>
      </w:r>
      <w:r w:rsidRPr="001C3B31">
        <w:rPr>
          <w:color w:val="000000"/>
          <w:lang w:val="ro-RO"/>
        </w:rPr>
        <w:t xml:space="preserve"> 17.2</w:t>
      </w:r>
      <w:r>
        <w:rPr>
          <w:color w:val="000000"/>
          <w:lang w:val="ro-RO"/>
        </w:rPr>
        <w:t xml:space="preserve"> </w:t>
      </w:r>
      <w:r w:rsidRPr="001C3B31">
        <w:rPr>
          <w:color w:val="000000"/>
          <w:lang w:val="ro-RO"/>
        </w:rPr>
        <w:t xml:space="preserve">% </w:t>
      </w:r>
      <w:r>
        <w:rPr>
          <w:color w:val="000000"/>
          <w:lang w:val="ro-RO"/>
        </w:rPr>
        <w:t>din</w:t>
      </w:r>
      <w:r w:rsidRPr="001C3B31">
        <w:rPr>
          <w:color w:val="000000"/>
          <w:lang w:val="ro-RO"/>
        </w:rPr>
        <w:t xml:space="preserve"> suma de implementare a PPP-ului. Pe lângă încasările din impozite directe, locurile noi de muncă vor conduce la creșterea încasărilor întreprinderilor în cadrul cărora vor activa, fapt care</w:t>
      </w:r>
      <w:r>
        <w:rPr>
          <w:color w:val="000000"/>
          <w:lang w:val="ro-RO"/>
        </w:rPr>
        <w:t>,</w:t>
      </w:r>
      <w:r w:rsidRPr="001C3B31">
        <w:rPr>
          <w:color w:val="000000"/>
          <w:lang w:val="ro-RO"/>
        </w:rPr>
        <w:t xml:space="preserve"> la rândul său</w:t>
      </w:r>
      <w:r>
        <w:rPr>
          <w:color w:val="000000"/>
          <w:lang w:val="ro-RO"/>
        </w:rPr>
        <w:t>,</w:t>
      </w:r>
      <w:r w:rsidRPr="001C3B31">
        <w:rPr>
          <w:color w:val="000000"/>
          <w:lang w:val="ro-RO"/>
        </w:rPr>
        <w:t xml:space="preserve"> va contribui la creșterea PIB-ului, dar și la creșterea impozitelor achitate de către întreprinderile în care vor activa. </w:t>
      </w:r>
    </w:p>
    <w:p w:rsidR="004B3372" w:rsidRPr="00261010" w:rsidRDefault="004B3372" w:rsidP="004B3372">
      <w:pPr>
        <w:pStyle w:val="Heading3"/>
        <w:rPr>
          <w:color w:val="0070C0"/>
          <w:lang w:val="ro-RO"/>
        </w:rPr>
      </w:pPr>
      <w:bookmarkStart w:id="30" w:name="_Toc6492731"/>
      <w:bookmarkStart w:id="31" w:name="_Toc32964820"/>
      <w:r w:rsidRPr="00261010">
        <w:rPr>
          <w:color w:val="0070C0"/>
          <w:lang w:val="ro-RO"/>
        </w:rPr>
        <w:t>Impactul de mediu</w:t>
      </w:r>
      <w:bookmarkEnd w:id="30"/>
      <w:bookmarkEnd w:id="31"/>
    </w:p>
    <w:p w:rsidR="004B3372" w:rsidRPr="001C3B31" w:rsidRDefault="004B3372" w:rsidP="004B3372">
      <w:pPr>
        <w:rPr>
          <w:lang w:val="ro-RO"/>
        </w:rPr>
      </w:pPr>
      <w:r w:rsidRPr="001C3B31">
        <w:rPr>
          <w:lang w:val="ro-RO"/>
        </w:rPr>
        <w:t xml:space="preserve">Evaluarea impactului de mediu al politicii publice propuse ține de înțelegerea măsurii în care intervențiile prevăzute de documentul analizat vor afecta sau din contra vor facilita calitatea mediului înconjurător. </w:t>
      </w:r>
    </w:p>
    <w:p w:rsidR="004B3372" w:rsidRPr="001C3B31" w:rsidRDefault="004B3372" w:rsidP="004B3372">
      <w:pPr>
        <w:rPr>
          <w:lang w:val="ro-RO"/>
        </w:rPr>
      </w:pPr>
      <w:r w:rsidRPr="001C3B31">
        <w:rPr>
          <w:lang w:val="ro-RO"/>
        </w:rPr>
        <w:lastRenderedPageBreak/>
        <w:t>Analiza efectuată arată că PPP-ului nu va avea un impact de mediu major. Acțiunile și proiectele implementate în urma aprobării PPP-ului vor avea în mare parte caracter neutru din punct de vedere a impactului asupra mediului. Totuși, având în vedere faptul</w:t>
      </w:r>
      <w:r>
        <w:rPr>
          <w:lang w:val="ro-RO"/>
        </w:rPr>
        <w:t>,</w:t>
      </w:r>
      <w:r w:rsidRPr="001C3B31">
        <w:rPr>
          <w:lang w:val="ro-RO"/>
        </w:rPr>
        <w:t xml:space="preserve"> că în cadrul GAL-urilor pot fi finanțate inclusiv proiecte de promovare a turismului sau dezvoltare a patrimoniului cultural și natural, există probabilitatea implementării unor proiecte care ar putea avea impact de mediu. </w:t>
      </w:r>
    </w:p>
    <w:p w:rsidR="004B3372" w:rsidRDefault="004B3372" w:rsidP="004B3372">
      <w:pPr>
        <w:rPr>
          <w:lang w:val="ro-RO"/>
        </w:rPr>
      </w:pPr>
      <w:r w:rsidRPr="001C3B31">
        <w:rPr>
          <w:lang w:val="ro-RO"/>
        </w:rPr>
        <w:t>În acest sens, există probabilitatea implementării unor proiecte de curățare a albiilor râurilor, de creare a fâșiilor forestiere de prote</w:t>
      </w:r>
      <w:r>
        <w:rPr>
          <w:lang w:val="ro-RO"/>
        </w:rPr>
        <w:t>cție</w:t>
      </w:r>
      <w:r w:rsidRPr="001C3B31">
        <w:rPr>
          <w:lang w:val="ro-RO"/>
        </w:rPr>
        <w:t xml:space="preserve"> sau de cele de amenajare a traseelor turistice sau reabilitare a unor spații naturale. </w:t>
      </w:r>
      <w:r w:rsidRPr="001C3B31">
        <w:rPr>
          <w:lang w:val="ro-RO"/>
        </w:rPr>
        <w:br/>
        <w:t>Pe de altă parte, având în vedere accentul sporit al proiectelor implementate de către GAL-uri spre domeniul dezvoltării economice, există probabilitatea existenței unui impact de mediu negativ asupra mediului</w:t>
      </w:r>
      <w:r>
        <w:rPr>
          <w:lang w:val="ro-RO"/>
        </w:rPr>
        <w:t>,</w:t>
      </w:r>
      <w:r w:rsidRPr="001C3B31">
        <w:rPr>
          <w:lang w:val="ro-RO"/>
        </w:rPr>
        <w:t xml:space="preserve"> în urma implementării activităților economice, în special</w:t>
      </w:r>
      <w:r>
        <w:rPr>
          <w:lang w:val="ro-RO"/>
        </w:rPr>
        <w:t>,</w:t>
      </w:r>
      <w:r w:rsidRPr="001C3B31">
        <w:rPr>
          <w:lang w:val="ro-RO"/>
        </w:rPr>
        <w:t xml:space="preserve"> în cazul unor activități economice care implică procese tehnologice. Totuși, având în vederea valoarea medie a proiectelor, precum și experiența existentă a GAL-urilor, se constată că majoritatea proiectelor cu conotație economică, implementate de către beneficiari nu au impact de mediu, proiectele de cele mai multe reprezentând inițiative în domeniul ag</w:t>
      </w:r>
      <w:r>
        <w:rPr>
          <w:lang w:val="ro-RO"/>
        </w:rPr>
        <w:t>riculturii organice, procesării</w:t>
      </w:r>
      <w:r w:rsidRPr="001C3B31">
        <w:rPr>
          <w:lang w:val="ro-RO"/>
        </w:rPr>
        <w:t xml:space="preserve"> produselor agricole sau organizării activității de comerț. </w:t>
      </w:r>
    </w:p>
    <w:p w:rsidR="007F0A8B" w:rsidRPr="007F0A8B" w:rsidRDefault="007F0A8B" w:rsidP="004B3372">
      <w:pPr>
        <w:rPr>
          <w:b/>
          <w:color w:val="0070C0"/>
          <w:sz w:val="28"/>
          <w:szCs w:val="28"/>
          <w:lang w:val="ro-RO"/>
        </w:rPr>
      </w:pPr>
      <w:r w:rsidRPr="007F0A8B">
        <w:rPr>
          <w:b/>
          <w:color w:val="0070C0"/>
          <w:sz w:val="28"/>
          <w:szCs w:val="28"/>
          <w:lang w:val="ro-RO"/>
        </w:rPr>
        <w:t>CONCLUZII</w:t>
      </w:r>
    </w:p>
    <w:p w:rsidR="004B3372" w:rsidRPr="001C3B31" w:rsidRDefault="004B3372" w:rsidP="004B3372">
      <w:pPr>
        <w:pBdr>
          <w:top w:val="single" w:sz="4" w:space="1" w:color="auto"/>
          <w:left w:val="single" w:sz="4" w:space="4" w:color="auto"/>
          <w:bottom w:val="single" w:sz="4" w:space="1" w:color="auto"/>
          <w:right w:val="single" w:sz="4" w:space="4" w:color="auto"/>
        </w:pBdr>
        <w:spacing w:after="0" w:line="276" w:lineRule="auto"/>
        <w:rPr>
          <w:color w:val="000000" w:themeColor="text1"/>
          <w:lang w:val="ro-RO"/>
        </w:rPr>
      </w:pPr>
      <w:r w:rsidRPr="001C3B31">
        <w:rPr>
          <w:b/>
          <w:color w:val="000000" w:themeColor="text1"/>
          <w:lang w:val="ro-RO"/>
        </w:rPr>
        <w:t>C 10:</w:t>
      </w:r>
      <w:r w:rsidRPr="001C3B31">
        <w:rPr>
          <w:color w:val="000000" w:themeColor="text1"/>
          <w:lang w:val="ro-RO"/>
        </w:rPr>
        <w:t xml:space="preserve"> Analiza generală a dimensiunii de impact a PPP denotă beneficii social</w:t>
      </w:r>
      <w:r>
        <w:rPr>
          <w:color w:val="000000" w:themeColor="text1"/>
          <w:lang w:val="ro-RO"/>
        </w:rPr>
        <w:t xml:space="preserve">e, </w:t>
      </w:r>
      <w:r w:rsidRPr="001C3B31">
        <w:rPr>
          <w:color w:val="000000" w:themeColor="text1"/>
          <w:lang w:val="ro-RO"/>
        </w:rPr>
        <w:t>acoperind un număr semnificat al beneficiarilor</w:t>
      </w:r>
      <w:r>
        <w:rPr>
          <w:color w:val="000000" w:themeColor="text1"/>
          <w:lang w:val="ro-RO"/>
        </w:rPr>
        <w:t xml:space="preserve">, beneficii </w:t>
      </w:r>
      <w:r w:rsidRPr="001C3B31">
        <w:rPr>
          <w:color w:val="000000" w:themeColor="text1"/>
          <w:lang w:val="ro-RO"/>
        </w:rPr>
        <w:t>economic</w:t>
      </w:r>
      <w:r>
        <w:rPr>
          <w:color w:val="000000" w:themeColor="text1"/>
          <w:lang w:val="ro-RO"/>
        </w:rPr>
        <w:t xml:space="preserve">e, </w:t>
      </w:r>
      <w:r w:rsidRPr="001C3B31">
        <w:rPr>
          <w:color w:val="000000" w:themeColor="text1"/>
          <w:lang w:val="ro-RO"/>
        </w:rPr>
        <w:t>relevând un număr considerabil de locuri de muncă și afaceri funcționale ce urmează a fi funcționale în zonele rurale</w:t>
      </w:r>
      <w:r>
        <w:rPr>
          <w:color w:val="000000" w:themeColor="text1"/>
          <w:lang w:val="ro-RO"/>
        </w:rPr>
        <w:t xml:space="preserve">, și beneficii </w:t>
      </w:r>
      <w:r w:rsidRPr="001C3B31">
        <w:rPr>
          <w:color w:val="000000" w:themeColor="text1"/>
          <w:lang w:val="ro-RO"/>
        </w:rPr>
        <w:t>fiscale</w:t>
      </w:r>
      <w:r>
        <w:rPr>
          <w:color w:val="000000" w:themeColor="text1"/>
          <w:lang w:val="ro-RO"/>
        </w:rPr>
        <w:t xml:space="preserve">, </w:t>
      </w:r>
      <w:r w:rsidRPr="001C3B31">
        <w:rPr>
          <w:color w:val="000000" w:themeColor="text1"/>
          <w:lang w:val="ro-RO"/>
        </w:rPr>
        <w:t xml:space="preserve">potențând activitatea economică și favorizând contribuțiile beneficiarilor ulterior în bugetul de stat. </w:t>
      </w:r>
    </w:p>
    <w:p w:rsidR="004B3372" w:rsidRPr="001C3B31" w:rsidRDefault="004B3372" w:rsidP="004B3372">
      <w:pPr>
        <w:pBdr>
          <w:top w:val="single" w:sz="4" w:space="1" w:color="auto"/>
          <w:left w:val="single" w:sz="4" w:space="4" w:color="auto"/>
          <w:bottom w:val="single" w:sz="4" w:space="1" w:color="auto"/>
          <w:right w:val="single" w:sz="4" w:space="4" w:color="auto"/>
        </w:pBdr>
        <w:spacing w:after="0" w:line="276" w:lineRule="auto"/>
        <w:rPr>
          <w:color w:val="000000" w:themeColor="text1"/>
          <w:lang w:val="ro-RO"/>
        </w:rPr>
      </w:pPr>
      <w:r w:rsidRPr="001C3B31">
        <w:rPr>
          <w:b/>
          <w:color w:val="000000" w:themeColor="text1"/>
          <w:lang w:val="ro-RO"/>
        </w:rPr>
        <w:t>R 3 :</w:t>
      </w:r>
      <w:r w:rsidRPr="001C3B31">
        <w:rPr>
          <w:color w:val="000000" w:themeColor="text1"/>
          <w:lang w:val="ro-RO"/>
        </w:rPr>
        <w:t xml:space="preserve"> Ajustarea criteriilor de eligibilitate a proiectelor ce pot fi finanțate în așa măsură</w:t>
      </w:r>
      <w:r>
        <w:rPr>
          <w:color w:val="000000" w:themeColor="text1"/>
          <w:lang w:val="ro-RO"/>
        </w:rPr>
        <w:t>,</w:t>
      </w:r>
      <w:r w:rsidRPr="001C3B31">
        <w:rPr>
          <w:color w:val="000000" w:themeColor="text1"/>
          <w:lang w:val="ro-RO"/>
        </w:rPr>
        <w:t xml:space="preserve"> încât să </w:t>
      </w:r>
      <w:r>
        <w:rPr>
          <w:color w:val="000000" w:themeColor="text1"/>
          <w:lang w:val="ro-RO"/>
        </w:rPr>
        <w:t xml:space="preserve">extindă </w:t>
      </w:r>
      <w:r w:rsidRPr="001C3B31">
        <w:rPr>
          <w:color w:val="000000" w:themeColor="text1"/>
          <w:lang w:val="ro-RO"/>
        </w:rPr>
        <w:t xml:space="preserve">numărul de beneficiari , eventual replicarea unor inițiative deja funcționale pentru a susține dimensiunea de sustenabilitate a proiectelor investiționale. </w:t>
      </w:r>
    </w:p>
    <w:p w:rsidR="004B3372" w:rsidRPr="001C3B31" w:rsidRDefault="004B3372" w:rsidP="004B3372">
      <w:pPr>
        <w:pBdr>
          <w:top w:val="single" w:sz="4" w:space="1" w:color="auto"/>
          <w:left w:val="single" w:sz="4" w:space="4" w:color="auto"/>
          <w:bottom w:val="single" w:sz="4" w:space="1" w:color="auto"/>
          <w:right w:val="single" w:sz="4" w:space="4" w:color="auto"/>
        </w:pBdr>
        <w:spacing w:after="0" w:line="276" w:lineRule="auto"/>
        <w:rPr>
          <w:color w:val="000000" w:themeColor="text1"/>
          <w:lang w:val="ro-RO"/>
        </w:rPr>
      </w:pPr>
      <w:r w:rsidRPr="001C3B31">
        <w:rPr>
          <w:b/>
          <w:color w:val="000000" w:themeColor="text1"/>
          <w:lang w:val="ro-RO"/>
        </w:rPr>
        <w:t>C 11 :</w:t>
      </w:r>
      <w:r w:rsidRPr="001C3B31">
        <w:rPr>
          <w:color w:val="000000" w:themeColor="text1"/>
          <w:lang w:val="ro-RO"/>
        </w:rPr>
        <w:t xml:space="preserve"> Impact</w:t>
      </w:r>
      <w:r>
        <w:rPr>
          <w:color w:val="000000" w:themeColor="text1"/>
          <w:lang w:val="ro-RO"/>
        </w:rPr>
        <w:t>ul</w:t>
      </w:r>
      <w:r w:rsidRPr="001C3B31">
        <w:rPr>
          <w:color w:val="000000" w:themeColor="text1"/>
          <w:lang w:val="ro-RO"/>
        </w:rPr>
        <w:t xml:space="preserve"> administrativ este </w:t>
      </w:r>
      <w:r>
        <w:rPr>
          <w:color w:val="000000" w:themeColor="text1"/>
          <w:lang w:val="ro-RO"/>
        </w:rPr>
        <w:t xml:space="preserve">unul </w:t>
      </w:r>
      <w:r w:rsidRPr="001C3B31">
        <w:rPr>
          <w:color w:val="000000" w:themeColor="text1"/>
          <w:lang w:val="ro-RO"/>
        </w:rPr>
        <w:t>foarte mic</w:t>
      </w:r>
      <w:r>
        <w:rPr>
          <w:color w:val="000000" w:themeColor="text1"/>
          <w:lang w:val="ro-RO"/>
        </w:rPr>
        <w:t>,</w:t>
      </w:r>
      <w:r w:rsidRPr="001C3B31">
        <w:rPr>
          <w:color w:val="000000" w:themeColor="text1"/>
          <w:lang w:val="ro-RO"/>
        </w:rPr>
        <w:t xml:space="preserve"> întrucât există</w:t>
      </w:r>
      <w:r>
        <w:rPr>
          <w:color w:val="000000" w:themeColor="text1"/>
          <w:lang w:val="ro-RO"/>
        </w:rPr>
        <w:t xml:space="preserve"> deja</w:t>
      </w:r>
      <w:r w:rsidRPr="001C3B31">
        <w:rPr>
          <w:color w:val="000000" w:themeColor="text1"/>
          <w:lang w:val="ro-RO"/>
        </w:rPr>
        <w:t xml:space="preserve"> structura instituțională funcțională, precum și cadru</w:t>
      </w:r>
      <w:r>
        <w:rPr>
          <w:color w:val="000000" w:themeColor="text1"/>
          <w:lang w:val="ro-RO"/>
        </w:rPr>
        <w:t>l</w:t>
      </w:r>
      <w:r w:rsidRPr="001C3B31">
        <w:rPr>
          <w:color w:val="000000" w:themeColor="text1"/>
          <w:lang w:val="ro-RO"/>
        </w:rPr>
        <w:t xml:space="preserve"> normativ funcțional. </w:t>
      </w:r>
    </w:p>
    <w:p w:rsidR="004B3372" w:rsidRPr="001C3B31" w:rsidRDefault="004B3372" w:rsidP="004B3372">
      <w:pPr>
        <w:pBdr>
          <w:top w:val="single" w:sz="4" w:space="1" w:color="auto"/>
          <w:left w:val="single" w:sz="4" w:space="4" w:color="auto"/>
          <w:bottom w:val="single" w:sz="4" w:space="1" w:color="auto"/>
          <w:right w:val="single" w:sz="4" w:space="4" w:color="auto"/>
        </w:pBdr>
        <w:spacing w:after="0" w:line="276" w:lineRule="auto"/>
        <w:rPr>
          <w:color w:val="000000" w:themeColor="text1"/>
          <w:lang w:val="ro-RO"/>
        </w:rPr>
      </w:pPr>
      <w:r w:rsidRPr="001C3B31">
        <w:rPr>
          <w:b/>
          <w:bCs/>
          <w:color w:val="000000" w:themeColor="text1"/>
          <w:lang w:val="ro-RO"/>
        </w:rPr>
        <w:t xml:space="preserve">C12: </w:t>
      </w:r>
      <w:r w:rsidRPr="001C3B31">
        <w:rPr>
          <w:color w:val="000000" w:themeColor="text1"/>
          <w:lang w:val="ro-RO"/>
        </w:rPr>
        <w:t xml:space="preserve">În ambele scenarii diferite de cel al Status-quo-ului, impactul juridic este unul major, fiind necesare modificări ale cadrului juridic existent. Totodată, în cazul optării pentru scenariul III – adoptarea unei legi speciale, efectele generale negative vor </w:t>
      </w:r>
      <w:r>
        <w:rPr>
          <w:color w:val="000000" w:themeColor="text1"/>
          <w:lang w:val="ro-RO"/>
        </w:rPr>
        <w:t>fi</w:t>
      </w:r>
      <w:r w:rsidRPr="001C3B31">
        <w:rPr>
          <w:color w:val="000000" w:themeColor="text1"/>
          <w:lang w:val="ro-RO"/>
        </w:rPr>
        <w:t xml:space="preserve"> mai mici ca în cazul implementării modificărilor cadrului existent pentru crearea condițiilor </w:t>
      </w:r>
      <w:r>
        <w:rPr>
          <w:color w:val="000000" w:themeColor="text1"/>
          <w:lang w:val="ro-RO"/>
        </w:rPr>
        <w:t xml:space="preserve">de </w:t>
      </w:r>
      <w:r w:rsidRPr="001C3B31">
        <w:rPr>
          <w:color w:val="000000" w:themeColor="text1"/>
          <w:lang w:val="ro-RO"/>
        </w:rPr>
        <w:t>activitate</w:t>
      </w:r>
      <w:r>
        <w:rPr>
          <w:color w:val="000000" w:themeColor="text1"/>
          <w:lang w:val="ro-RO"/>
        </w:rPr>
        <w:t xml:space="preserve"> </w:t>
      </w:r>
      <w:r w:rsidRPr="001C3B31">
        <w:rPr>
          <w:color w:val="000000" w:themeColor="text1"/>
          <w:lang w:val="ro-RO"/>
        </w:rPr>
        <w:t>a GAL-urilor</w:t>
      </w:r>
      <w:r>
        <w:rPr>
          <w:color w:val="000000" w:themeColor="text1"/>
          <w:lang w:val="ro-RO"/>
        </w:rPr>
        <w:t>.</w:t>
      </w:r>
    </w:p>
    <w:p w:rsidR="004B3372" w:rsidRPr="001C3B31" w:rsidRDefault="004B3372" w:rsidP="004B3372">
      <w:pPr>
        <w:pBdr>
          <w:top w:val="single" w:sz="4" w:space="1" w:color="auto"/>
          <w:left w:val="single" w:sz="4" w:space="4" w:color="auto"/>
          <w:bottom w:val="single" w:sz="4" w:space="1" w:color="auto"/>
          <w:right w:val="single" w:sz="4" w:space="4" w:color="auto"/>
        </w:pBdr>
        <w:spacing w:after="0" w:line="276" w:lineRule="auto"/>
        <w:rPr>
          <w:color w:val="000000" w:themeColor="text1"/>
          <w:lang w:val="ro-RO"/>
        </w:rPr>
      </w:pPr>
      <w:r w:rsidRPr="001C3B31">
        <w:rPr>
          <w:b/>
          <w:bCs/>
          <w:color w:val="000000" w:themeColor="text1"/>
          <w:lang w:val="ro-RO"/>
        </w:rPr>
        <w:t xml:space="preserve">C13: </w:t>
      </w:r>
      <w:r w:rsidRPr="001C3B31">
        <w:rPr>
          <w:color w:val="000000" w:themeColor="text1"/>
          <w:lang w:val="ro-RO"/>
        </w:rPr>
        <w:t>Impactul social potențial al PPP-ului este unul major, fapt datorat în mare parte faptului</w:t>
      </w:r>
      <w:r>
        <w:rPr>
          <w:color w:val="000000" w:themeColor="text1"/>
          <w:lang w:val="ro-RO"/>
        </w:rPr>
        <w:t>,</w:t>
      </w:r>
      <w:r w:rsidRPr="001C3B31">
        <w:rPr>
          <w:color w:val="000000" w:themeColor="text1"/>
          <w:lang w:val="ro-RO"/>
        </w:rPr>
        <w:t xml:space="preserve"> că </w:t>
      </w:r>
      <w:r w:rsidRPr="001C3B31">
        <w:rPr>
          <w:lang w:val="ro-RO"/>
        </w:rPr>
        <w:t>specificul proiectelor implementate în cadrul Programului LEADER constă în orientarea spre solidarizarea comunităților în identificarea și prioritizarea unor probleme comune.</w:t>
      </w:r>
    </w:p>
    <w:p w:rsidR="004B3372" w:rsidRPr="001C3B31" w:rsidRDefault="004B3372" w:rsidP="004B3372">
      <w:pPr>
        <w:rPr>
          <w:lang w:val="ro-RO"/>
        </w:rPr>
      </w:pPr>
      <w:r w:rsidRPr="001C3B31">
        <w:rPr>
          <w:lang w:val="ro-RO"/>
        </w:rPr>
        <w:t xml:space="preserve">. </w:t>
      </w:r>
    </w:p>
    <w:p w:rsidR="004B3372" w:rsidRPr="001C3B31" w:rsidRDefault="004B3372" w:rsidP="004B3372">
      <w:pPr>
        <w:rPr>
          <w:lang w:val="ro-RO"/>
        </w:rPr>
        <w:sectPr w:rsidR="004B3372" w:rsidRPr="001C3B31" w:rsidSect="00B50045">
          <w:pgSz w:w="11907" w:h="16839" w:code="9"/>
          <w:pgMar w:top="1440" w:right="1022" w:bottom="1152" w:left="1440" w:header="706" w:footer="283" w:gutter="0"/>
          <w:cols w:space="708"/>
          <w:titlePg/>
          <w:docGrid w:linePitch="360"/>
        </w:sectPr>
      </w:pPr>
    </w:p>
    <w:p w:rsidR="004B3372" w:rsidRPr="001C3B31" w:rsidRDefault="004B3372" w:rsidP="004B3372">
      <w:pPr>
        <w:pStyle w:val="Heading1"/>
        <w:numPr>
          <w:ilvl w:val="0"/>
          <w:numId w:val="24"/>
        </w:numPr>
        <w:rPr>
          <w:lang w:val="ro-RO"/>
        </w:rPr>
      </w:pPr>
      <w:bookmarkStart w:id="32" w:name="_Toc32515766"/>
      <w:bookmarkStart w:id="33" w:name="_Toc32964821"/>
      <w:r w:rsidRPr="001C3B31">
        <w:rPr>
          <w:lang w:val="ro-RO"/>
        </w:rPr>
        <w:lastRenderedPageBreak/>
        <w:t>AnalizA Cost-Beneficiu</w:t>
      </w:r>
      <w:bookmarkEnd w:id="32"/>
      <w:bookmarkEnd w:id="33"/>
    </w:p>
    <w:p w:rsidR="004B3372" w:rsidRPr="001C3B31" w:rsidRDefault="004B3372" w:rsidP="004B3372">
      <w:pPr>
        <w:rPr>
          <w:lang w:val="ro-RO"/>
        </w:rPr>
      </w:pPr>
      <w:r w:rsidRPr="001C3B31">
        <w:rPr>
          <w:lang w:val="ro-RO"/>
        </w:rPr>
        <w:t>Scopul acestei analize este determina</w:t>
      </w:r>
      <w:r>
        <w:rPr>
          <w:lang w:val="ro-RO"/>
        </w:rPr>
        <w:t xml:space="preserve">rea faptului, precum că </w:t>
      </w:r>
      <w:r w:rsidRPr="001C3B31">
        <w:rPr>
          <w:lang w:val="ro-RO"/>
        </w:rPr>
        <w:t>implementarea propunerii de politică publică va crea un impact pozitiv pentru societate, altfel spus</w:t>
      </w:r>
      <w:r>
        <w:rPr>
          <w:lang w:val="ro-RO"/>
        </w:rPr>
        <w:t xml:space="preserve">, </w:t>
      </w:r>
      <w:r w:rsidRPr="001C3B31">
        <w:rPr>
          <w:lang w:val="ro-RO"/>
        </w:rPr>
        <w:t>dacă beneficiile generate de propunerea de politici publice depășesc costurile atrase de aceasta.</w:t>
      </w:r>
    </w:p>
    <w:p w:rsidR="004B3372" w:rsidRPr="007F0A8B" w:rsidRDefault="004B3372" w:rsidP="004B3372">
      <w:pPr>
        <w:pStyle w:val="Heading2"/>
        <w:numPr>
          <w:ilvl w:val="1"/>
          <w:numId w:val="24"/>
        </w:numPr>
        <w:rPr>
          <w:color w:val="0070C0"/>
          <w:lang w:val="ro-RO"/>
        </w:rPr>
      </w:pPr>
      <w:bookmarkStart w:id="34" w:name="_Toc32515767"/>
      <w:bookmarkStart w:id="35" w:name="_Toc32964822"/>
      <w:r w:rsidRPr="007F0A8B">
        <w:rPr>
          <w:color w:val="0070C0"/>
          <w:lang w:val="ro-RO"/>
        </w:rPr>
        <w:t>Scenariile analizate</w:t>
      </w:r>
      <w:bookmarkEnd w:id="34"/>
      <w:bookmarkEnd w:id="35"/>
    </w:p>
    <w:p w:rsidR="004B3372" w:rsidRPr="001C3B31" w:rsidRDefault="004B3372" w:rsidP="004B3372">
      <w:pPr>
        <w:rPr>
          <w:lang w:val="ro-RO"/>
        </w:rPr>
      </w:pPr>
      <w:r w:rsidRPr="001C3B31">
        <w:rPr>
          <w:lang w:val="ro-RO"/>
        </w:rPr>
        <w:t>Având în vedere că propunerea de politică publică are deja o formă concretă, materializată printr-o măsură nouă de subvenționare din sursele FNDAMR, care trebuie supusă evaluării, nu se impune efectuarea etapei de identificare a opțiunilor. Prin urmare, în cadrul evaluări</w:t>
      </w:r>
      <w:r>
        <w:rPr>
          <w:lang w:val="ro-RO"/>
        </w:rPr>
        <w:t>i</w:t>
      </w:r>
      <w:r w:rsidRPr="001C3B31">
        <w:rPr>
          <w:lang w:val="ro-RO"/>
        </w:rPr>
        <w:t xml:space="preserve"> ex-ante vom studia doar două scenarii posibile – scenariul cu implementarea propunerii de politici publice și scenariul Status Quo / Politică Implementată, în care nu au loc schimbările reglementate de propunerea de politici publice. În continuare vom descrie mai detaliat natura diferențelor dintre cele două scenarii.</w:t>
      </w:r>
    </w:p>
    <w:p w:rsidR="004B3372" w:rsidRPr="007F0A8B" w:rsidRDefault="004B3372" w:rsidP="004B3372">
      <w:pPr>
        <w:pStyle w:val="Heading3"/>
        <w:numPr>
          <w:ilvl w:val="2"/>
          <w:numId w:val="24"/>
        </w:numPr>
        <w:rPr>
          <w:color w:val="0070C0"/>
          <w:lang w:val="ro-RO"/>
        </w:rPr>
      </w:pPr>
      <w:bookmarkStart w:id="36" w:name="_Toc32515768"/>
      <w:bookmarkStart w:id="37" w:name="_Toc32964823"/>
      <w:r w:rsidRPr="007F0A8B">
        <w:rPr>
          <w:color w:val="0070C0"/>
          <w:lang w:val="ro-RO"/>
        </w:rPr>
        <w:t>Scenariul „politica implementată”</w:t>
      </w:r>
      <w:bookmarkEnd w:id="36"/>
      <w:bookmarkEnd w:id="37"/>
    </w:p>
    <w:p w:rsidR="004B3372" w:rsidRPr="001C3B31" w:rsidRDefault="004B3372" w:rsidP="004B3372">
      <w:pPr>
        <w:rPr>
          <w:lang w:val="ro-RO"/>
        </w:rPr>
      </w:pPr>
      <w:r w:rsidRPr="001C3B31">
        <w:rPr>
          <w:lang w:val="ro-RO"/>
        </w:rPr>
        <w:t>Acest scenariu presupune că 5</w:t>
      </w:r>
      <w:r>
        <w:rPr>
          <w:lang w:val="ro-RO"/>
        </w:rPr>
        <w:t xml:space="preserve"> </w:t>
      </w:r>
      <w:r w:rsidRPr="001C3B31">
        <w:rPr>
          <w:lang w:val="ro-RO"/>
        </w:rPr>
        <w:t>% din valoarea Fondul Național de Dezvoltare a Agriculturii și Mediului Rural (FNDAMR) vor fi redir</w:t>
      </w:r>
      <w:r>
        <w:rPr>
          <w:lang w:val="ro-RO"/>
        </w:rPr>
        <w:t>ecționate pentru finanțarea noii măsuri de subvenționare a s</w:t>
      </w:r>
      <w:r w:rsidRPr="001C3B31">
        <w:rPr>
          <w:lang w:val="ro-RO"/>
        </w:rPr>
        <w:t>timulării implicării comunităților locale în dezvoltarea rurală, prin finanțarea Strategiilor de Dezvoltare Locală, elaborate de către Grupurile de Acțiune Locală, legal constituite.</w:t>
      </w:r>
    </w:p>
    <w:p w:rsidR="004B3372" w:rsidRPr="007F0A8B" w:rsidRDefault="004B3372" w:rsidP="004B3372">
      <w:pPr>
        <w:pStyle w:val="Heading3"/>
        <w:numPr>
          <w:ilvl w:val="2"/>
          <w:numId w:val="24"/>
        </w:numPr>
        <w:rPr>
          <w:color w:val="0070C0"/>
          <w:lang w:val="ro-RO"/>
        </w:rPr>
      </w:pPr>
      <w:bookmarkStart w:id="38" w:name="_Toc32515769"/>
      <w:bookmarkStart w:id="39" w:name="_Toc32964824"/>
      <w:r w:rsidRPr="007F0A8B">
        <w:rPr>
          <w:color w:val="0070C0"/>
          <w:lang w:val="ro-RO"/>
        </w:rPr>
        <w:t>Scenariul „Status Quo”</w:t>
      </w:r>
      <w:bookmarkEnd w:id="38"/>
      <w:bookmarkEnd w:id="39"/>
    </w:p>
    <w:p w:rsidR="004B3372" w:rsidRPr="001C3B31" w:rsidRDefault="004B3372" w:rsidP="004B3372">
      <w:pPr>
        <w:rPr>
          <w:lang w:val="ro-RO"/>
        </w:rPr>
      </w:pPr>
      <w:r w:rsidRPr="001C3B31">
        <w:rPr>
          <w:lang w:val="ro-RO"/>
        </w:rPr>
        <w:t>Acest scenariu presupune că cele 5</w:t>
      </w:r>
      <w:r>
        <w:rPr>
          <w:lang w:val="ro-RO"/>
        </w:rPr>
        <w:t xml:space="preserve"> </w:t>
      </w:r>
      <w:r w:rsidRPr="001C3B31">
        <w:rPr>
          <w:lang w:val="ro-RO"/>
        </w:rPr>
        <w:t>% din valoarea FNDAMR nu vor fi redirecționate pentru finanțarea noii măsuri prevăzute de Regulament, ci vor fi în continuare destinate finanțării diverselor categorii de proiecte de investiții în agricultură</w:t>
      </w:r>
      <w:r>
        <w:rPr>
          <w:lang w:val="ro-RO"/>
        </w:rPr>
        <w:t>,</w:t>
      </w:r>
      <w:r w:rsidRPr="001C3B31">
        <w:rPr>
          <w:lang w:val="ro-RO"/>
        </w:rPr>
        <w:t xml:space="preserve"> conform Legii nr. 276/2016 cu privire la principiile de subvenționare în dezvoltarea agriculturii și mediului rural și Regulamentului privind condițiile, ordinea şi procedura de acordare a mijloacelor Fondului Național de Dezvoltare a Agriculturii şi Mediului Rural</w:t>
      </w:r>
      <w:r>
        <w:rPr>
          <w:lang w:val="ro-RO"/>
        </w:rPr>
        <w:t>,</w:t>
      </w:r>
      <w:r w:rsidRPr="001C3B31">
        <w:rPr>
          <w:lang w:val="ro-RO"/>
        </w:rPr>
        <w:t xml:space="preserve"> aprobat prin Hotărârea Guvernului nr.</w:t>
      </w:r>
      <w:r>
        <w:rPr>
          <w:lang w:val="ro-RO"/>
        </w:rPr>
        <w:t xml:space="preserve"> </w:t>
      </w:r>
      <w:r w:rsidRPr="001C3B31">
        <w:rPr>
          <w:lang w:val="ro-RO"/>
        </w:rPr>
        <w:t>455 din 21 iunie 2017.</w:t>
      </w:r>
    </w:p>
    <w:p w:rsidR="004B3372" w:rsidRPr="007F0A8B" w:rsidRDefault="004B3372" w:rsidP="004B3372">
      <w:pPr>
        <w:pStyle w:val="Heading2"/>
        <w:numPr>
          <w:ilvl w:val="1"/>
          <w:numId w:val="24"/>
        </w:numPr>
        <w:rPr>
          <w:color w:val="0070C0"/>
          <w:lang w:val="ro-RO"/>
        </w:rPr>
      </w:pPr>
      <w:bookmarkStart w:id="40" w:name="_Toc32515770"/>
      <w:bookmarkStart w:id="41" w:name="_Toc32964825"/>
      <w:r w:rsidRPr="007F0A8B">
        <w:rPr>
          <w:color w:val="0070C0"/>
          <w:lang w:val="ro-RO"/>
        </w:rPr>
        <w:t>Analiza incrementală</w:t>
      </w:r>
      <w:bookmarkEnd w:id="40"/>
      <w:bookmarkEnd w:id="41"/>
    </w:p>
    <w:p w:rsidR="004B3372" w:rsidRPr="001C3B31" w:rsidRDefault="004B3372" w:rsidP="004B3372">
      <w:pPr>
        <w:rPr>
          <w:lang w:val="ro-RO"/>
        </w:rPr>
      </w:pPr>
      <w:r w:rsidRPr="001C3B31">
        <w:rPr>
          <w:lang w:val="ro-RO"/>
        </w:rPr>
        <w:t xml:space="preserve">Principul analizei incrementale, încuviințat de Regulamentul de Punere în Aplicare (UE) 2015/207 al Comisiei Europene, precum și de Ghidul metodologic pentru analiza ex-ante a impactului politicilor publice elaborat de Cancelaria de Stat a RM, ne spune că, la estimarea impactului în cadrul unui scenariu, se ține cont doar de </w:t>
      </w:r>
      <w:r w:rsidRPr="001C3B31">
        <w:rPr>
          <w:b/>
          <w:lang w:val="ro-RO"/>
        </w:rPr>
        <w:t>diferențele</w:t>
      </w:r>
      <w:r w:rsidRPr="001C3B31">
        <w:rPr>
          <w:lang w:val="ro-RO"/>
        </w:rPr>
        <w:t xml:space="preserve"> dintre beneficiile și costurile în acest scenariu și în celelalte scenarii. Beneficiile sau costurile care rămân la fel în toate opțiunile analizate nu afectează în niciun fel concluziile analizei cost-beneficiu și, prin urmare, nu prezintă interes.</w:t>
      </w:r>
    </w:p>
    <w:p w:rsidR="004B3372" w:rsidRPr="001C3B31" w:rsidRDefault="004B3372" w:rsidP="004B3372">
      <w:pPr>
        <w:rPr>
          <w:lang w:val="ro-RO"/>
        </w:rPr>
      </w:pPr>
      <w:r w:rsidRPr="001C3B31">
        <w:rPr>
          <w:lang w:val="ro-RO"/>
        </w:rPr>
        <w:t xml:space="preserve">De aceea, în cazul nostru particular, putem face abstracție, </w:t>
      </w:r>
      <w:r>
        <w:rPr>
          <w:lang w:val="ro-RO"/>
        </w:rPr>
        <w:t>spre</w:t>
      </w:r>
      <w:r w:rsidRPr="001C3B31">
        <w:rPr>
          <w:lang w:val="ro-RO"/>
        </w:rPr>
        <w:t xml:space="preserve"> exemplu, de la întrebuințarea celorlalte 95</w:t>
      </w:r>
      <w:r>
        <w:rPr>
          <w:lang w:val="ro-RO"/>
        </w:rPr>
        <w:t xml:space="preserve"> </w:t>
      </w:r>
      <w:r w:rsidRPr="001C3B31">
        <w:rPr>
          <w:lang w:val="ro-RO"/>
        </w:rPr>
        <w:t>% din FNDAMR, a căror destinație nu se va schimba – 15</w:t>
      </w:r>
      <w:r>
        <w:rPr>
          <w:lang w:val="ro-RO"/>
        </w:rPr>
        <w:t xml:space="preserve"> </w:t>
      </w:r>
      <w:r w:rsidRPr="001C3B31">
        <w:rPr>
          <w:lang w:val="ro-RO"/>
        </w:rPr>
        <w:t>% pentru acoperirea măsurilor de subvenționare în avans pentru dezvoltarea mediului rural, 5</w:t>
      </w:r>
      <w:r>
        <w:rPr>
          <w:lang w:val="ro-RO"/>
        </w:rPr>
        <w:t xml:space="preserve"> </w:t>
      </w:r>
      <w:r w:rsidRPr="001C3B31">
        <w:rPr>
          <w:lang w:val="ro-RO"/>
        </w:rPr>
        <w:t>% pentru finanțare în avans a proiectelor de start-up în agricultură și 75</w:t>
      </w:r>
      <w:r>
        <w:rPr>
          <w:lang w:val="ro-RO"/>
        </w:rPr>
        <w:t xml:space="preserve"> </w:t>
      </w:r>
      <w:r w:rsidRPr="001C3B31">
        <w:rPr>
          <w:lang w:val="ro-RO"/>
        </w:rPr>
        <w:t>% pentru subv</w:t>
      </w:r>
      <w:r>
        <w:rPr>
          <w:lang w:val="ro-RO"/>
        </w:rPr>
        <w:t>enționare post</w:t>
      </w:r>
      <w:r w:rsidRPr="001C3B31">
        <w:rPr>
          <w:lang w:val="ro-RO"/>
        </w:rPr>
        <w:t>implementare a proiectelor în domeniul agricol. Totodată, pentru cele 5</w:t>
      </w:r>
      <w:r>
        <w:rPr>
          <w:lang w:val="ro-RO"/>
        </w:rPr>
        <w:t xml:space="preserve"> </w:t>
      </w:r>
      <w:r w:rsidRPr="001C3B31">
        <w:rPr>
          <w:lang w:val="ro-RO"/>
        </w:rPr>
        <w:t>% redirecționate, beneficiul net aferent proiectelor subvenționate de noua măsură va trebui comparat cu beneficiul net al proiectelor subvenționate</w:t>
      </w:r>
      <w:r>
        <w:rPr>
          <w:lang w:val="ro-RO"/>
        </w:rPr>
        <w:t>,</w:t>
      </w:r>
      <w:r w:rsidRPr="001C3B31">
        <w:rPr>
          <w:lang w:val="ro-RO"/>
        </w:rPr>
        <w:t xml:space="preserve"> conform regulamentului existent.</w:t>
      </w:r>
    </w:p>
    <w:p w:rsidR="004B3372" w:rsidRPr="007F0A8B" w:rsidRDefault="004B3372" w:rsidP="004B3372">
      <w:pPr>
        <w:pStyle w:val="Heading2"/>
        <w:numPr>
          <w:ilvl w:val="1"/>
          <w:numId w:val="24"/>
        </w:numPr>
        <w:rPr>
          <w:color w:val="0070C0"/>
          <w:lang w:val="ro-RO"/>
        </w:rPr>
      </w:pPr>
      <w:bookmarkStart w:id="42" w:name="_Toc32515771"/>
      <w:bookmarkStart w:id="43" w:name="_Toc32964826"/>
      <w:r w:rsidRPr="007F0A8B">
        <w:rPr>
          <w:color w:val="0070C0"/>
          <w:lang w:val="ro-RO"/>
        </w:rPr>
        <w:lastRenderedPageBreak/>
        <w:t>Identificarea beneficiilor și a costurilor</w:t>
      </w:r>
      <w:bookmarkEnd w:id="42"/>
      <w:bookmarkEnd w:id="43"/>
    </w:p>
    <w:p w:rsidR="004B3372" w:rsidRPr="001C3B31" w:rsidRDefault="004B3372" w:rsidP="004B3372">
      <w:pPr>
        <w:rPr>
          <w:lang w:val="ro-RO"/>
        </w:rPr>
      </w:pPr>
      <w:r w:rsidRPr="001C3B31">
        <w:rPr>
          <w:lang w:val="ro-RO"/>
        </w:rPr>
        <w:t>Analiza economică este efectuată din perspectiva societății în ansamblu. Astfel, sunt incluse beneficiile și costurile pentru următoarele părți interesate:</w:t>
      </w:r>
    </w:p>
    <w:p w:rsidR="004B3372" w:rsidRPr="001C3B31" w:rsidRDefault="004B3372" w:rsidP="004B3372">
      <w:pPr>
        <w:pStyle w:val="Bullet"/>
        <w:rPr>
          <w:lang w:val="ro-RO"/>
        </w:rPr>
      </w:pPr>
      <w:r w:rsidRPr="001C3B31">
        <w:rPr>
          <w:lang w:val="ro-RO"/>
        </w:rPr>
        <w:t>Autoritățile publice centrale (în special cele responsabile de gestionarea subvențiilor)</w:t>
      </w:r>
      <w:r>
        <w:rPr>
          <w:lang w:val="ro-RO"/>
        </w:rPr>
        <w:t>;</w:t>
      </w:r>
    </w:p>
    <w:p w:rsidR="004B3372" w:rsidRPr="001C3B31" w:rsidRDefault="004B3372" w:rsidP="004B3372">
      <w:pPr>
        <w:pStyle w:val="Bullet"/>
        <w:rPr>
          <w:lang w:val="ro-RO"/>
        </w:rPr>
      </w:pPr>
      <w:r w:rsidRPr="001C3B31">
        <w:rPr>
          <w:lang w:val="ro-RO"/>
        </w:rPr>
        <w:t>Grupurile de Acțiune Locală (în calitate de depunători ai dosarului)</w:t>
      </w:r>
      <w:r>
        <w:rPr>
          <w:lang w:val="ro-RO"/>
        </w:rPr>
        <w:t>;</w:t>
      </w:r>
    </w:p>
    <w:p w:rsidR="004B3372" w:rsidRPr="001C3B31" w:rsidRDefault="004B3372" w:rsidP="004B3372">
      <w:pPr>
        <w:pStyle w:val="Bullet"/>
        <w:rPr>
          <w:lang w:val="ro-RO"/>
        </w:rPr>
      </w:pPr>
      <w:r w:rsidRPr="001C3B31">
        <w:rPr>
          <w:lang w:val="ro-RO"/>
        </w:rPr>
        <w:t>Agenții economici</w:t>
      </w:r>
      <w:r>
        <w:rPr>
          <w:lang w:val="ro-RO"/>
        </w:rPr>
        <w:t>;</w:t>
      </w:r>
    </w:p>
    <w:p w:rsidR="004B3372" w:rsidRPr="001C3B31" w:rsidRDefault="004B3372" w:rsidP="004B3372">
      <w:pPr>
        <w:pStyle w:val="Bullet"/>
        <w:rPr>
          <w:lang w:val="ro-RO"/>
        </w:rPr>
      </w:pPr>
      <w:r w:rsidRPr="001C3B31">
        <w:rPr>
          <w:lang w:val="ro-RO"/>
        </w:rPr>
        <w:t xml:space="preserve">Rezidenți </w:t>
      </w:r>
      <w:r>
        <w:rPr>
          <w:lang w:val="ro-RO"/>
        </w:rPr>
        <w:t>regiune</w:t>
      </w:r>
      <w:r w:rsidRPr="001C3B31">
        <w:rPr>
          <w:lang w:val="ro-RO"/>
        </w:rPr>
        <w:t xml:space="preserve"> GAL</w:t>
      </w:r>
      <w:r>
        <w:rPr>
          <w:lang w:val="ro-RO"/>
        </w:rPr>
        <w:t>.</w:t>
      </w:r>
    </w:p>
    <w:p w:rsidR="004B3372" w:rsidRPr="007F0A8B" w:rsidRDefault="004B3372" w:rsidP="004B3372">
      <w:pPr>
        <w:pStyle w:val="Heading3"/>
        <w:numPr>
          <w:ilvl w:val="2"/>
          <w:numId w:val="24"/>
        </w:numPr>
        <w:rPr>
          <w:color w:val="0070C0"/>
          <w:lang w:val="ro-RO"/>
        </w:rPr>
      </w:pPr>
      <w:bookmarkStart w:id="44" w:name="_Ref3891416"/>
      <w:bookmarkStart w:id="45" w:name="_Toc32515772"/>
      <w:bookmarkStart w:id="46" w:name="_Toc32964827"/>
      <w:r w:rsidRPr="007F0A8B">
        <w:rPr>
          <w:color w:val="0070C0"/>
          <w:lang w:val="ro-RO"/>
        </w:rPr>
        <w:t>Costurile</w:t>
      </w:r>
      <w:bookmarkEnd w:id="44"/>
      <w:bookmarkEnd w:id="45"/>
      <w:bookmarkEnd w:id="46"/>
      <w:r w:rsidRPr="007F0A8B">
        <w:rPr>
          <w:color w:val="0070C0"/>
          <w:lang w:val="ro-RO"/>
        </w:rPr>
        <w:t xml:space="preserve"> </w:t>
      </w:r>
    </w:p>
    <w:p w:rsidR="004B3372" w:rsidRPr="001C3B31" w:rsidRDefault="004B3372" w:rsidP="004B3372">
      <w:pPr>
        <w:rPr>
          <w:lang w:val="ro-RO"/>
        </w:rPr>
      </w:pPr>
      <w:r w:rsidRPr="001C3B31">
        <w:rPr>
          <w:lang w:val="ro-RO"/>
        </w:rPr>
        <w:t>Costurile pentru acordarea subvențiilor se împart în trei categorii principale:</w:t>
      </w:r>
    </w:p>
    <w:p w:rsidR="004B3372" w:rsidRPr="001C3B31" w:rsidRDefault="004B3372" w:rsidP="004B3372">
      <w:pPr>
        <w:pStyle w:val="Bullet"/>
        <w:rPr>
          <w:lang w:val="ro-RO"/>
        </w:rPr>
      </w:pPr>
      <w:r w:rsidRPr="001C3B31">
        <w:rPr>
          <w:lang w:val="ro-RO"/>
        </w:rPr>
        <w:t>Costurile legate de implementarea proiectelor subvenționate</w:t>
      </w:r>
      <w:r>
        <w:rPr>
          <w:lang w:val="ro-RO"/>
        </w:rPr>
        <w:t>;</w:t>
      </w:r>
    </w:p>
    <w:p w:rsidR="004B3372" w:rsidRPr="001C3B31" w:rsidRDefault="004B3372" w:rsidP="004B3372">
      <w:pPr>
        <w:pStyle w:val="Bullet"/>
        <w:rPr>
          <w:lang w:val="ro-RO"/>
        </w:rPr>
      </w:pPr>
      <w:r w:rsidRPr="001C3B31">
        <w:rPr>
          <w:lang w:val="ro-RO"/>
        </w:rPr>
        <w:t>Costurile pentru finanțarea subvențiilor</w:t>
      </w:r>
      <w:r>
        <w:rPr>
          <w:lang w:val="ro-RO"/>
        </w:rPr>
        <w:t>;</w:t>
      </w:r>
    </w:p>
    <w:p w:rsidR="004B3372" w:rsidRPr="001C3B31" w:rsidRDefault="004B3372" w:rsidP="004B3372">
      <w:pPr>
        <w:pStyle w:val="Bullet"/>
        <w:rPr>
          <w:lang w:val="ro-RO"/>
        </w:rPr>
      </w:pPr>
      <w:r w:rsidRPr="001C3B31">
        <w:rPr>
          <w:lang w:val="ro-RO"/>
        </w:rPr>
        <w:t>Costurile administrative</w:t>
      </w:r>
      <w:r>
        <w:rPr>
          <w:lang w:val="ro-RO"/>
        </w:rPr>
        <w:t>.</w:t>
      </w:r>
    </w:p>
    <w:p w:rsidR="004B3372" w:rsidRPr="001C3B31" w:rsidRDefault="004B3372" w:rsidP="004B3372">
      <w:pPr>
        <w:pStyle w:val="Bullet"/>
        <w:numPr>
          <w:ilvl w:val="0"/>
          <w:numId w:val="0"/>
        </w:numPr>
        <w:rPr>
          <w:lang w:val="ro-RO"/>
        </w:rPr>
      </w:pPr>
      <w:r w:rsidRPr="001C3B31">
        <w:rPr>
          <w:lang w:val="ro-RO"/>
        </w:rPr>
        <w:t xml:space="preserve">Dintre aceste categorii, costurile pentru finanțarea subvențiilor nu diferă în cele două scenarii analizate (dat fiind faptul că volumul total al subvențiilor este același). </w:t>
      </w:r>
    </w:p>
    <w:p w:rsidR="004B3372" w:rsidRPr="001C3B31" w:rsidRDefault="004B3372" w:rsidP="004B3372">
      <w:pPr>
        <w:pStyle w:val="Bullet"/>
        <w:numPr>
          <w:ilvl w:val="0"/>
          <w:numId w:val="0"/>
        </w:numPr>
        <w:rPr>
          <w:lang w:val="ro-RO"/>
        </w:rPr>
      </w:pPr>
      <w:r w:rsidRPr="001C3B31">
        <w:rPr>
          <w:lang w:val="ro-RO"/>
        </w:rPr>
        <w:t>O detaliere a variației dintre costurile administrative (cheltuielile legate de depunerea și evaluarea dosarelor pentru subvenții) o puteți vedea la secțiunea respectivă a rezultatelor analizei cost-beneficiu.</w:t>
      </w:r>
    </w:p>
    <w:p w:rsidR="004B3372" w:rsidRPr="001C3B31" w:rsidRDefault="004B3372" w:rsidP="004B3372">
      <w:pPr>
        <w:pStyle w:val="Bullet"/>
        <w:numPr>
          <w:ilvl w:val="0"/>
          <w:numId w:val="0"/>
        </w:numPr>
        <w:rPr>
          <w:lang w:val="ro-RO"/>
        </w:rPr>
      </w:pPr>
      <w:r w:rsidRPr="001C3B31">
        <w:rPr>
          <w:lang w:val="ro-RO"/>
        </w:rPr>
        <w:t>Costurile legate de implementarea proiectelor subvenționate variază considerabil în funcție de natura proiectelor candidate pentru subvenționare. Mai multe detalii puteți vedea în secțiunea transferului de beneficiu.</w:t>
      </w:r>
    </w:p>
    <w:p w:rsidR="004B3372" w:rsidRPr="007F0A8B" w:rsidRDefault="004B3372" w:rsidP="004B3372">
      <w:pPr>
        <w:pStyle w:val="Heading3"/>
        <w:numPr>
          <w:ilvl w:val="2"/>
          <w:numId w:val="24"/>
        </w:numPr>
        <w:rPr>
          <w:color w:val="0070C0"/>
          <w:lang w:val="ro-RO"/>
        </w:rPr>
      </w:pPr>
      <w:bookmarkStart w:id="47" w:name="_Toc32515773"/>
      <w:bookmarkStart w:id="48" w:name="_Toc32964828"/>
      <w:r w:rsidRPr="007F0A8B">
        <w:rPr>
          <w:color w:val="0070C0"/>
          <w:lang w:val="ro-RO"/>
        </w:rPr>
        <w:t>Beneficiile</w:t>
      </w:r>
      <w:bookmarkEnd w:id="47"/>
      <w:bookmarkEnd w:id="48"/>
    </w:p>
    <w:p w:rsidR="004B3372" w:rsidRPr="001C3B31" w:rsidRDefault="004B3372" w:rsidP="004B3372">
      <w:pPr>
        <w:rPr>
          <w:lang w:val="ro-RO"/>
        </w:rPr>
      </w:pPr>
      <w:r w:rsidRPr="001C3B31">
        <w:rPr>
          <w:lang w:val="ro-RO"/>
        </w:rPr>
        <w:t>Beneficiile acordării subvențiilor țin nemijlocit de beneficiile generate de proiectele subvenționate și pot fi de natură foarte diversă</w:t>
      </w:r>
      <w:r>
        <w:rPr>
          <w:lang w:val="ro-RO"/>
        </w:rPr>
        <w:t>,</w:t>
      </w:r>
      <w:r w:rsidRPr="001C3B31">
        <w:rPr>
          <w:lang w:val="ro-RO"/>
        </w:rPr>
        <w:t xml:space="preserve"> precum: </w:t>
      </w:r>
    </w:p>
    <w:p w:rsidR="004B3372" w:rsidRPr="001C3B31" w:rsidRDefault="004B3372" w:rsidP="004B3372">
      <w:pPr>
        <w:pStyle w:val="Bullet"/>
        <w:rPr>
          <w:lang w:val="ro-RO"/>
        </w:rPr>
      </w:pPr>
      <w:r w:rsidRPr="001C3B31">
        <w:rPr>
          <w:lang w:val="ro-RO"/>
        </w:rPr>
        <w:t xml:space="preserve">Crearea locurilor de muncă în mediul rural, </w:t>
      </w:r>
      <w:r>
        <w:rPr>
          <w:lang w:val="ro-RO"/>
        </w:rPr>
        <w:t>drept</w:t>
      </w:r>
      <w:r w:rsidRPr="001C3B31">
        <w:rPr>
          <w:lang w:val="ro-RO"/>
        </w:rPr>
        <w:t xml:space="preserve"> urmare a dezvoltării afacerilor</w:t>
      </w:r>
      <w:r>
        <w:rPr>
          <w:lang w:val="ro-RO"/>
        </w:rPr>
        <w:t>;</w:t>
      </w:r>
    </w:p>
    <w:p w:rsidR="004B3372" w:rsidRPr="001C3B31" w:rsidRDefault="004B3372" w:rsidP="004B3372">
      <w:pPr>
        <w:pStyle w:val="Bullet"/>
        <w:rPr>
          <w:lang w:val="ro-RO"/>
        </w:rPr>
      </w:pPr>
      <w:r w:rsidRPr="001C3B31">
        <w:rPr>
          <w:lang w:val="ro-RO"/>
        </w:rPr>
        <w:t>Creșterea încasărilor la bugetele locale din contul impozitelor locale, achitate drept urmare a dezvoltării afacerilor în urma implementării unor proiecte subvenționate</w:t>
      </w:r>
      <w:r>
        <w:rPr>
          <w:lang w:val="ro-RO"/>
        </w:rPr>
        <w:t>;</w:t>
      </w:r>
    </w:p>
    <w:p w:rsidR="004B3372" w:rsidRPr="001C3B31" w:rsidRDefault="004B3372" w:rsidP="004B3372">
      <w:pPr>
        <w:pStyle w:val="Bullet"/>
        <w:rPr>
          <w:lang w:val="ro-RO"/>
        </w:rPr>
      </w:pPr>
      <w:r w:rsidRPr="001C3B31">
        <w:rPr>
          <w:lang w:val="ro-RO"/>
        </w:rPr>
        <w:t>Creșterea bunăstării</w:t>
      </w:r>
      <w:r>
        <w:rPr>
          <w:lang w:val="ro-RO"/>
        </w:rPr>
        <w:t xml:space="preserve"> cetățenilor, drept</w:t>
      </w:r>
      <w:r w:rsidRPr="001C3B31">
        <w:rPr>
          <w:lang w:val="ro-RO"/>
        </w:rPr>
        <w:t xml:space="preserve"> urmare a îmbunătățir</w:t>
      </w:r>
      <w:r>
        <w:rPr>
          <w:lang w:val="ro-RO"/>
        </w:rPr>
        <w:t>ii serviciilor publice;</w:t>
      </w:r>
    </w:p>
    <w:p w:rsidR="004B3372" w:rsidRPr="001C3B31" w:rsidRDefault="004B3372" w:rsidP="004B3372">
      <w:pPr>
        <w:pStyle w:val="Bullet"/>
        <w:rPr>
          <w:lang w:val="ro-RO"/>
        </w:rPr>
      </w:pPr>
      <w:r w:rsidRPr="001C3B31">
        <w:rPr>
          <w:lang w:val="ro-RO"/>
        </w:rPr>
        <w:t>Îmbunătățir</w:t>
      </w:r>
      <w:r>
        <w:rPr>
          <w:lang w:val="ro-RO"/>
        </w:rPr>
        <w:t>ea</w:t>
      </w:r>
      <w:r w:rsidRPr="001C3B31">
        <w:rPr>
          <w:lang w:val="ro-RO"/>
        </w:rPr>
        <w:t xml:space="preserve"> bunăstării subiective a cetățenilor</w:t>
      </w:r>
      <w:r>
        <w:rPr>
          <w:lang w:val="ro-RO"/>
        </w:rPr>
        <w:t>, drept</w:t>
      </w:r>
      <w:r w:rsidRPr="001C3B31">
        <w:rPr>
          <w:lang w:val="ro-RO"/>
        </w:rPr>
        <w:t xml:space="preserve"> urmare a accesului la instituțiile culturale și la patrimoniul natural amenajat</w:t>
      </w:r>
      <w:r>
        <w:rPr>
          <w:lang w:val="ro-RO"/>
        </w:rPr>
        <w:t>;</w:t>
      </w:r>
    </w:p>
    <w:p w:rsidR="004B3372" w:rsidRPr="001C3B31" w:rsidRDefault="004B3372" w:rsidP="004B3372">
      <w:pPr>
        <w:pStyle w:val="Bullet"/>
        <w:rPr>
          <w:lang w:val="ro-RO"/>
        </w:rPr>
      </w:pPr>
      <w:r w:rsidRPr="001C3B31">
        <w:rPr>
          <w:lang w:val="ro-RO"/>
        </w:rPr>
        <w:t>Creșterea atractivității turistice a mediului rural și implicit a încasărilor la bugetul public local</w:t>
      </w:r>
      <w:r>
        <w:rPr>
          <w:lang w:val="ro-RO"/>
        </w:rPr>
        <w:t xml:space="preserve">, în rezultatul </w:t>
      </w:r>
      <w:r w:rsidRPr="001C3B31">
        <w:rPr>
          <w:lang w:val="ro-RO"/>
        </w:rPr>
        <w:t xml:space="preserve">activităților economice conexe. </w:t>
      </w:r>
    </w:p>
    <w:p w:rsidR="004B3372" w:rsidRPr="007F0A8B" w:rsidRDefault="004B3372" w:rsidP="004B3372">
      <w:pPr>
        <w:pStyle w:val="Heading3"/>
        <w:numPr>
          <w:ilvl w:val="2"/>
          <w:numId w:val="24"/>
        </w:numPr>
        <w:rPr>
          <w:color w:val="0070C0"/>
          <w:lang w:val="ro-RO"/>
        </w:rPr>
      </w:pPr>
      <w:bookmarkStart w:id="49" w:name="_Toc32515774"/>
      <w:bookmarkStart w:id="50" w:name="_Toc32964829"/>
      <w:r w:rsidRPr="007F0A8B">
        <w:rPr>
          <w:color w:val="0070C0"/>
          <w:lang w:val="ro-RO"/>
        </w:rPr>
        <w:t>Costurile și beneficiile aferente proiectelor subvenționate</w:t>
      </w:r>
      <w:bookmarkEnd w:id="49"/>
      <w:bookmarkEnd w:id="50"/>
    </w:p>
    <w:p w:rsidR="004B3372" w:rsidRPr="001C3B31" w:rsidRDefault="004B3372" w:rsidP="004B3372">
      <w:pPr>
        <w:rPr>
          <w:lang w:val="ro-RO"/>
        </w:rPr>
      </w:pPr>
      <w:r w:rsidRPr="001C3B31">
        <w:rPr>
          <w:lang w:val="ro-RO"/>
        </w:rPr>
        <w:t>O evaluare precisă a costurilor și beneficiilor acestei politici publice este îngreunată de faptul</w:t>
      </w:r>
      <w:r>
        <w:rPr>
          <w:lang w:val="ro-RO"/>
        </w:rPr>
        <w:t>,</w:t>
      </w:r>
      <w:r w:rsidRPr="001C3B31">
        <w:rPr>
          <w:lang w:val="ro-RO"/>
        </w:rPr>
        <w:t xml:space="preserve"> că marea lor majoritate este o consecință directă a proiectelor implementate cu sprijinul acestor subvenții. Natura exactă a acestor proiecte și, prin urmare, a beneficiilor și costurilor aferente nu poate fi cunoscută ex-ante.</w:t>
      </w:r>
    </w:p>
    <w:p w:rsidR="004B3372" w:rsidRPr="001C3B31" w:rsidRDefault="004B3372" w:rsidP="004B3372">
      <w:pPr>
        <w:rPr>
          <w:lang w:val="ro-RO"/>
        </w:rPr>
      </w:pPr>
      <w:r w:rsidRPr="001C3B31">
        <w:rPr>
          <w:lang w:val="ro-RO"/>
        </w:rPr>
        <w:t>O soluție mai fezabilă și care păstrează în același timp un nivel suficient al rigorii analitice este împărțirea tipurilor de proiecte în categorii, reieșind din practica deja existentă a GAL-urilor și proiectele deja implementate de către acestea în cadrul unor program cu finanțare externă</w:t>
      </w:r>
      <w:r>
        <w:rPr>
          <w:lang w:val="ro-RO"/>
        </w:rPr>
        <w:t>,</w:t>
      </w:r>
      <w:r w:rsidRPr="001C3B31">
        <w:rPr>
          <w:lang w:val="ro-RO"/>
        </w:rPr>
        <w:t xml:space="preserve"> în baza aceleiași abordări pe care o are și măsura propusă de PPP, iar ulterior – evaluarea unui sau mai multor proiecte-model pentru fiecare categorie și aprecierea beneficiilor și a costurilor acestora. Valorile finale sunt obținute prin aplicarea unei medii ponderate a tuturor categoriilor de proiecte. </w:t>
      </w:r>
    </w:p>
    <w:p w:rsidR="004B3372" w:rsidRPr="001C3B31" w:rsidRDefault="004B3372" w:rsidP="004B3372">
      <w:pPr>
        <w:pStyle w:val="Caption"/>
        <w:framePr w:wrap="around"/>
        <w:rPr>
          <w:lang w:val="ro-RO"/>
        </w:rPr>
      </w:pPr>
      <w:r w:rsidRPr="001C3B31">
        <w:rPr>
          <w:lang w:val="ro-RO"/>
        </w:rPr>
        <w:lastRenderedPageBreak/>
        <w:t>TABELUL 9. tipurile de măsuri prevăzute de proiectul de lege</w:t>
      </w:r>
    </w:p>
    <w:tbl>
      <w:tblPr>
        <w:tblStyle w:val="Civittatable"/>
        <w:tblW w:w="5078" w:type="pct"/>
        <w:tblInd w:w="-147" w:type="dxa"/>
        <w:tblLook w:val="04A0" w:firstRow="1" w:lastRow="0" w:firstColumn="1" w:lastColumn="0" w:noHBand="0" w:noVBand="1"/>
      </w:tblPr>
      <w:tblGrid>
        <w:gridCol w:w="7620"/>
        <w:gridCol w:w="2100"/>
      </w:tblGrid>
      <w:tr w:rsidR="004B3372" w:rsidRPr="001C3B31" w:rsidTr="00B50045">
        <w:trPr>
          <w:cnfStyle w:val="100000000000" w:firstRow="1" w:lastRow="0" w:firstColumn="0" w:lastColumn="0" w:oddVBand="0" w:evenVBand="0" w:oddHBand="0" w:evenHBand="0" w:firstRowFirstColumn="0" w:firstRowLastColumn="0" w:lastRowFirstColumn="0" w:lastRowLastColumn="0"/>
          <w:trHeight w:val="368"/>
        </w:trPr>
        <w:tc>
          <w:tcPr>
            <w:tcW w:w="3920" w:type="pct"/>
            <w:hideMark/>
          </w:tcPr>
          <w:p w:rsidR="004B3372" w:rsidRPr="001C3B31" w:rsidRDefault="004B3372" w:rsidP="00B50045">
            <w:pPr>
              <w:spacing w:after="60"/>
              <w:rPr>
                <w:rFonts w:eastAsia="Times New Roman" w:cstheme="minorHAnsi"/>
                <w:b/>
                <w:bCs/>
                <w:sz w:val="23"/>
                <w:szCs w:val="23"/>
                <w:lang w:val="ro-RO" w:eastAsia="lt-LT"/>
              </w:rPr>
            </w:pPr>
            <w:r w:rsidRPr="001C3B31">
              <w:rPr>
                <w:rFonts w:eastAsia="Times New Roman" w:cstheme="minorHAnsi"/>
                <w:b/>
                <w:szCs w:val="20"/>
                <w:lang w:val="ro-RO" w:eastAsia="lt-LT"/>
              </w:rPr>
              <w:t>Tipul de proiect</w:t>
            </w:r>
          </w:p>
        </w:tc>
        <w:tc>
          <w:tcPr>
            <w:tcW w:w="1080" w:type="pct"/>
          </w:tcPr>
          <w:p w:rsidR="004B3372" w:rsidRPr="001C3B31" w:rsidRDefault="004B3372" w:rsidP="00B50045">
            <w:pPr>
              <w:spacing w:after="60"/>
              <w:rPr>
                <w:rFonts w:eastAsia="Times New Roman" w:cstheme="minorHAnsi"/>
                <w:b/>
                <w:szCs w:val="20"/>
                <w:lang w:val="ro-RO" w:eastAsia="lt-LT"/>
              </w:rPr>
            </w:pPr>
            <w:r w:rsidRPr="001C3B31">
              <w:rPr>
                <w:rFonts w:eastAsia="Times New Roman" w:cstheme="minorHAnsi"/>
                <w:b/>
                <w:szCs w:val="20"/>
                <w:lang w:val="ro-RO" w:eastAsia="lt-LT"/>
              </w:rPr>
              <w:t>Pondere în numărul total de proiecte*</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55"/>
        </w:trPr>
        <w:tc>
          <w:tcPr>
            <w:tcW w:w="3920"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 xml:space="preserve">Diversificarea economiei rurale </w:t>
            </w:r>
          </w:p>
        </w:tc>
        <w:tc>
          <w:tcPr>
            <w:tcW w:w="1080" w:type="pct"/>
            <w:vAlign w:val="center"/>
          </w:tcPr>
          <w:p w:rsidR="004B3372" w:rsidRPr="001C3B31" w:rsidDel="009D07EA"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Cel puțin 40</w:t>
            </w:r>
            <w:r>
              <w:rPr>
                <w:rFonts w:eastAsia="Times New Roman" w:cstheme="minorHAnsi"/>
                <w:szCs w:val="20"/>
                <w:lang w:val="ro-RO" w:eastAsia="lt-LT"/>
              </w:rPr>
              <w:t xml:space="preserve"> </w:t>
            </w:r>
            <w:r w:rsidRPr="001C3B31">
              <w:rPr>
                <w:rFonts w:eastAsia="Times New Roman" w:cstheme="minorHAnsi"/>
                <w:szCs w:val="20"/>
                <w:lang w:val="ro-RO" w:eastAsia="lt-LT"/>
              </w:rPr>
              <w:t>%</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167"/>
        </w:trPr>
        <w:tc>
          <w:tcPr>
            <w:tcW w:w="3920" w:type="pct"/>
            <w:vAlign w:val="center"/>
          </w:tcPr>
          <w:p w:rsidR="004B3372" w:rsidRPr="001C3B31" w:rsidRDefault="004B3372" w:rsidP="00B50045">
            <w:pPr>
              <w:spacing w:after="60"/>
              <w:jc w:val="left"/>
              <w:rPr>
                <w:szCs w:val="20"/>
                <w:lang w:val="ro-RO"/>
              </w:rPr>
            </w:pPr>
            <w:r w:rsidRPr="001C3B31">
              <w:rPr>
                <w:szCs w:val="20"/>
                <w:lang w:val="ro-RO"/>
              </w:rPr>
              <w:t>Crearea, îmbunătățirea și extinderea serviciilor locale de bază pentru populația rurală</w:t>
            </w:r>
          </w:p>
        </w:tc>
        <w:tc>
          <w:tcPr>
            <w:tcW w:w="1080" w:type="pct"/>
            <w:vAlign w:val="center"/>
          </w:tcPr>
          <w:p w:rsidR="004B3372" w:rsidRPr="001C3B31" w:rsidDel="009D07EA" w:rsidRDefault="004B3372" w:rsidP="00B50045">
            <w:pPr>
              <w:spacing w:after="60"/>
              <w:jc w:val="left"/>
              <w:rPr>
                <w:szCs w:val="20"/>
                <w:lang w:val="ro-RO"/>
              </w:rPr>
            </w:pPr>
            <w:r w:rsidRPr="001C3B31">
              <w:rPr>
                <w:szCs w:val="20"/>
                <w:lang w:val="ro-RO"/>
              </w:rPr>
              <w:t>20</w:t>
            </w:r>
            <w:r>
              <w:rPr>
                <w:szCs w:val="20"/>
                <w:lang w:val="ro-RO"/>
              </w:rPr>
              <w:t xml:space="preserve"> </w:t>
            </w:r>
            <w:r w:rsidRPr="001C3B31">
              <w:rPr>
                <w:szCs w:val="20"/>
                <w:lang w:val="ro-RO"/>
              </w:rPr>
              <w:t>%</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243"/>
        </w:trPr>
        <w:tc>
          <w:tcPr>
            <w:tcW w:w="3920" w:type="pct"/>
            <w:vAlign w:val="center"/>
          </w:tcPr>
          <w:p w:rsidR="004B3372" w:rsidRPr="001C3B31" w:rsidRDefault="004B3372" w:rsidP="00B50045">
            <w:pPr>
              <w:spacing w:after="60"/>
              <w:jc w:val="left"/>
              <w:rPr>
                <w:szCs w:val="20"/>
                <w:lang w:val="ro-RO"/>
              </w:rPr>
            </w:pPr>
            <w:r w:rsidRPr="001C3B31">
              <w:rPr>
                <w:szCs w:val="20"/>
                <w:lang w:val="ro-RO"/>
              </w:rPr>
              <w:t xml:space="preserve">Dezvoltarea potențialului cultural în mediul rural </w:t>
            </w:r>
          </w:p>
        </w:tc>
        <w:tc>
          <w:tcPr>
            <w:tcW w:w="1080" w:type="pct"/>
            <w:vAlign w:val="center"/>
          </w:tcPr>
          <w:p w:rsidR="004B3372" w:rsidRPr="001C3B31" w:rsidDel="009D07EA" w:rsidRDefault="004B3372" w:rsidP="00B50045">
            <w:pPr>
              <w:spacing w:after="60"/>
              <w:jc w:val="left"/>
              <w:rPr>
                <w:szCs w:val="20"/>
                <w:lang w:val="ro-RO" w:eastAsia="lt-LT"/>
              </w:rPr>
            </w:pPr>
            <w:r w:rsidRPr="001C3B31">
              <w:rPr>
                <w:szCs w:val="20"/>
                <w:lang w:val="ro-RO" w:eastAsia="lt-LT"/>
              </w:rPr>
              <w:t>20</w:t>
            </w:r>
            <w:r>
              <w:rPr>
                <w:szCs w:val="20"/>
                <w:lang w:val="ro-RO" w:eastAsia="lt-LT"/>
              </w:rPr>
              <w:t xml:space="preserve"> </w:t>
            </w:r>
            <w:r w:rsidRPr="001C3B31">
              <w:rPr>
                <w:szCs w:val="20"/>
                <w:lang w:val="ro-RO" w:eastAsia="lt-LT"/>
              </w:rPr>
              <w:t>%</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243"/>
        </w:trPr>
        <w:tc>
          <w:tcPr>
            <w:tcW w:w="3920" w:type="pct"/>
            <w:vAlign w:val="center"/>
          </w:tcPr>
          <w:p w:rsidR="004B3372" w:rsidRPr="001C3B31" w:rsidDel="009D07EA"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Dezvoltarea și promovarea serviciilor și activităților de turism rural şi a activităților în aer liber</w:t>
            </w:r>
          </w:p>
        </w:tc>
        <w:tc>
          <w:tcPr>
            <w:tcW w:w="1080"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20</w:t>
            </w:r>
            <w:r>
              <w:rPr>
                <w:rFonts w:eastAsia="Times New Roman" w:cstheme="minorHAnsi"/>
                <w:szCs w:val="20"/>
                <w:lang w:val="ro-RO" w:eastAsia="lt-LT"/>
              </w:rPr>
              <w:t xml:space="preserve"> </w:t>
            </w:r>
            <w:r w:rsidRPr="001C3B31">
              <w:rPr>
                <w:rFonts w:eastAsia="Times New Roman" w:cstheme="minorHAnsi"/>
                <w:szCs w:val="20"/>
                <w:lang w:val="ro-RO" w:eastAsia="lt-LT"/>
              </w:rPr>
              <w:t>%</w:t>
            </w:r>
          </w:p>
        </w:tc>
      </w:tr>
    </w:tbl>
    <w:p w:rsidR="004B3372" w:rsidRPr="001C3B31" w:rsidRDefault="004B3372" w:rsidP="004B3372">
      <w:pPr>
        <w:pStyle w:val="Bullet"/>
        <w:numPr>
          <w:ilvl w:val="0"/>
          <w:numId w:val="0"/>
        </w:numPr>
        <w:rPr>
          <w:lang w:val="ro-RO"/>
        </w:rPr>
      </w:pPr>
      <w:r w:rsidRPr="001C3B31">
        <w:rPr>
          <w:lang w:val="ro-RO"/>
        </w:rPr>
        <w:t xml:space="preserve">*Ponderarea finală va fi realizată în procesul de avizare și definitivare a Regulamentului de implementare a măsurii de intervenție. </w:t>
      </w:r>
    </w:p>
    <w:p w:rsidR="004B3372" w:rsidRPr="001C3B31" w:rsidRDefault="004B3372" w:rsidP="004B3372">
      <w:pPr>
        <w:spacing w:before="240"/>
        <w:rPr>
          <w:lang w:val="ro-RO"/>
        </w:rPr>
      </w:pPr>
      <w:r w:rsidRPr="001C3B31">
        <w:rPr>
          <w:lang w:val="ro-RO"/>
        </w:rPr>
        <w:t xml:space="preserve">Analiza </w:t>
      </w:r>
      <w:r>
        <w:rPr>
          <w:lang w:val="ro-RO"/>
        </w:rPr>
        <w:t>respectivă</w:t>
      </w:r>
      <w:r w:rsidRPr="001C3B31">
        <w:rPr>
          <w:lang w:val="ro-RO"/>
        </w:rPr>
        <w:t xml:space="preserve"> nu își propune respectarea rigorilor unui studiu detaliat de fezabilitate</w:t>
      </w:r>
      <w:r>
        <w:rPr>
          <w:lang w:val="ro-RO"/>
        </w:rPr>
        <w:t>,</w:t>
      </w:r>
      <w:r w:rsidRPr="001C3B31">
        <w:rPr>
          <w:lang w:val="ro-RO"/>
        </w:rPr>
        <w:t xml:space="preserve"> dar având în vedere scopul evaluării ex-ante va face uz de metoda </w:t>
      </w:r>
      <w:r w:rsidRPr="001C3B31">
        <w:rPr>
          <w:b/>
          <w:lang w:val="ro-RO"/>
        </w:rPr>
        <w:t>transferului de beneficiu</w:t>
      </w:r>
      <w:r w:rsidRPr="001C3B31">
        <w:rPr>
          <w:lang w:val="ro-RO"/>
        </w:rPr>
        <w:t xml:space="preserve"> pentru a aproxima beneficiile generate de fiecare dintre tipurile de proiect de mai sus</w:t>
      </w:r>
      <w:r>
        <w:rPr>
          <w:lang w:val="ro-RO"/>
        </w:rPr>
        <w:t>,</w:t>
      </w:r>
      <w:r w:rsidRPr="001C3B31">
        <w:rPr>
          <w:lang w:val="ro-RO"/>
        </w:rPr>
        <w:t xml:space="preserve"> în baza informațiilor despre unele proiecte asemănătoare deja implementate .</w:t>
      </w:r>
    </w:p>
    <w:p w:rsidR="004B3372" w:rsidRPr="007F0A8B" w:rsidRDefault="004B3372" w:rsidP="004B3372">
      <w:pPr>
        <w:pStyle w:val="Heading2"/>
        <w:numPr>
          <w:ilvl w:val="1"/>
          <w:numId w:val="24"/>
        </w:numPr>
        <w:rPr>
          <w:b/>
          <w:color w:val="0070C0"/>
          <w:lang w:val="ro-RO"/>
        </w:rPr>
      </w:pPr>
      <w:bookmarkStart w:id="51" w:name="_Toc32515775"/>
      <w:bookmarkStart w:id="52" w:name="_Toc32964830"/>
      <w:r w:rsidRPr="007F0A8B">
        <w:rPr>
          <w:b/>
          <w:color w:val="0070C0"/>
          <w:lang w:val="ro-RO"/>
        </w:rPr>
        <w:t>Instrumentele de evaluare a impactului economic</w:t>
      </w:r>
      <w:bookmarkEnd w:id="51"/>
      <w:bookmarkEnd w:id="52"/>
    </w:p>
    <w:p w:rsidR="004B3372" w:rsidRPr="007F0A8B" w:rsidRDefault="004B3372" w:rsidP="004B3372">
      <w:pPr>
        <w:pStyle w:val="Heading3"/>
        <w:numPr>
          <w:ilvl w:val="2"/>
          <w:numId w:val="24"/>
        </w:numPr>
        <w:rPr>
          <w:color w:val="0070C0"/>
          <w:lang w:val="ro-RO"/>
        </w:rPr>
      </w:pPr>
      <w:bookmarkStart w:id="53" w:name="_Toc32515776"/>
      <w:bookmarkStart w:id="54" w:name="_Toc32964831"/>
      <w:r w:rsidRPr="007F0A8B">
        <w:rPr>
          <w:color w:val="0070C0"/>
          <w:lang w:val="ro-RO"/>
        </w:rPr>
        <w:t>Scenariul „politica implementată”</w:t>
      </w:r>
      <w:bookmarkEnd w:id="53"/>
      <w:bookmarkEnd w:id="54"/>
    </w:p>
    <w:p w:rsidR="004B3372" w:rsidRPr="007F0A8B" w:rsidRDefault="004B3372" w:rsidP="004B3372">
      <w:pPr>
        <w:pStyle w:val="Heading3"/>
        <w:numPr>
          <w:ilvl w:val="3"/>
          <w:numId w:val="24"/>
        </w:numPr>
        <w:rPr>
          <w:color w:val="0070C0"/>
          <w:lang w:val="ro-RO"/>
        </w:rPr>
      </w:pPr>
      <w:bookmarkStart w:id="55" w:name="_Toc32515777"/>
      <w:bookmarkStart w:id="56" w:name="_Toc32964832"/>
      <w:r w:rsidRPr="007F0A8B">
        <w:rPr>
          <w:color w:val="0070C0"/>
          <w:lang w:val="ro-RO"/>
        </w:rPr>
        <w:t>Metoda transferului de beneficiu. Raportul beneficiu-cost</w:t>
      </w:r>
      <w:bookmarkEnd w:id="55"/>
      <w:bookmarkEnd w:id="56"/>
    </w:p>
    <w:p w:rsidR="004B3372" w:rsidRPr="001C3B31" w:rsidRDefault="004B3372" w:rsidP="004B3372">
      <w:pPr>
        <w:rPr>
          <w:lang w:val="ro-RO"/>
        </w:rPr>
      </w:pPr>
      <w:r w:rsidRPr="001C3B31">
        <w:rPr>
          <w:lang w:val="ro-RO"/>
        </w:rPr>
        <w:t xml:space="preserve">Urmând metoda transferului de beneficiu, pentru scenariul „politică implementată”, pentru mai multe din domeniile de acțiune ale noii măsuri, a fost identificat un proiect deja implementat de către un GAL din Republica Moldova, cu domeniul de acțiune apropiat de cel căutat, care are elaborat un studiu de fezabilitate cu cuantificarea beneficiilor și costurilor acestuia. </w:t>
      </w:r>
    </w:p>
    <w:p w:rsidR="004B3372" w:rsidRPr="001C3B31" w:rsidRDefault="004B3372" w:rsidP="004B3372">
      <w:pPr>
        <w:rPr>
          <w:lang w:val="ro-RO"/>
        </w:rPr>
      </w:pPr>
      <w:r w:rsidRPr="001C3B31">
        <w:rPr>
          <w:lang w:val="ro-RO"/>
        </w:rPr>
        <w:t xml:space="preserve">Dat fiind faptul că proiectele pentru care se solicită finanțare în condițiile măsurii de subvenționare prevăzute de PPP pot fi de mărimi diferite, valoarea pentru care vom efectua transferul este </w:t>
      </w:r>
      <w:r w:rsidRPr="001C3B31">
        <w:rPr>
          <w:b/>
          <w:lang w:val="ro-RO"/>
        </w:rPr>
        <w:t>raportul beneficiu-cost</w:t>
      </w:r>
      <w:r w:rsidRPr="001C3B31">
        <w:rPr>
          <w:lang w:val="ro-RO"/>
        </w:rPr>
        <w:t xml:space="preserve">. Acest raport indică echivalentul monetar al tuturor beneficiilor proiectului </w:t>
      </w:r>
      <w:r w:rsidRPr="001C3B31">
        <w:rPr>
          <w:b/>
          <w:lang w:val="ro-RO"/>
        </w:rPr>
        <w:t>pentru fiecare leu cheltuit</w:t>
      </w:r>
      <w:r>
        <w:rPr>
          <w:b/>
          <w:lang w:val="ro-RO"/>
        </w:rPr>
        <w:t xml:space="preserve">, </w:t>
      </w:r>
      <w:r w:rsidRPr="00FE4B0D">
        <w:rPr>
          <w:lang w:val="ro-RO"/>
        </w:rPr>
        <w:t>drept p</w:t>
      </w:r>
      <w:r w:rsidRPr="001C3B31">
        <w:rPr>
          <w:lang w:val="ro-RO"/>
        </w:rPr>
        <w:t>arte a costurilor proiectului. Un raport beneficiu-cost economic mai mare decât 1 indică faptul că proiectul este, per ansamblu, benefic pentru societate.</w:t>
      </w:r>
    </w:p>
    <w:p w:rsidR="004B3372" w:rsidRPr="001C3B31" w:rsidRDefault="004B3372" w:rsidP="004B3372">
      <w:pPr>
        <w:rPr>
          <w:lang w:val="ro-RO"/>
        </w:rPr>
      </w:pPr>
      <w:r w:rsidRPr="001C3B31">
        <w:rPr>
          <w:lang w:val="ro-RO"/>
        </w:rPr>
        <w:t xml:space="preserve">Raportul final beneficiu-cost al scenariului „politică implementată” este calculat </w:t>
      </w:r>
      <w:r>
        <w:rPr>
          <w:lang w:val="ro-RO"/>
        </w:rPr>
        <w:t>drept</w:t>
      </w:r>
      <w:r w:rsidRPr="001C3B31">
        <w:rPr>
          <w:lang w:val="ro-RO"/>
        </w:rPr>
        <w:t xml:space="preserve"> o medie ponderată a raporturilor pentru fiecare domeniu de acțiune. </w:t>
      </w:r>
    </w:p>
    <w:p w:rsidR="004B3372" w:rsidRPr="007F0A8B" w:rsidRDefault="004B3372" w:rsidP="004B3372">
      <w:pPr>
        <w:pStyle w:val="Heading3"/>
        <w:numPr>
          <w:ilvl w:val="3"/>
          <w:numId w:val="24"/>
        </w:numPr>
        <w:rPr>
          <w:color w:val="0070C0"/>
          <w:lang w:val="ro-RO"/>
        </w:rPr>
      </w:pPr>
      <w:bookmarkStart w:id="57" w:name="_Toc32515778"/>
      <w:bookmarkStart w:id="58" w:name="_Toc32964833"/>
      <w:r w:rsidRPr="007F0A8B">
        <w:rPr>
          <w:color w:val="0070C0"/>
          <w:lang w:val="ro-RO"/>
        </w:rPr>
        <w:t>Estimarea costurilor și a cheltuielilor administrative</w:t>
      </w:r>
      <w:bookmarkEnd w:id="57"/>
      <w:bookmarkEnd w:id="58"/>
    </w:p>
    <w:p w:rsidR="004B3372" w:rsidRPr="001C3B31" w:rsidRDefault="004B3372" w:rsidP="004B3372">
      <w:pPr>
        <w:rPr>
          <w:lang w:val="ro-RO"/>
        </w:rPr>
      </w:pPr>
      <w:r w:rsidRPr="001C3B31">
        <w:rPr>
          <w:lang w:val="ro-RO"/>
        </w:rPr>
        <w:t xml:space="preserve">Secțiunea </w:t>
      </w:r>
      <w:r w:rsidRPr="001C3B31">
        <w:rPr>
          <w:lang w:val="ro-RO"/>
        </w:rPr>
        <w:fldChar w:fldCharType="begin"/>
      </w:r>
      <w:r w:rsidRPr="001C3B31">
        <w:rPr>
          <w:lang w:val="ro-RO"/>
        </w:rPr>
        <w:instrText xml:space="preserve"> REF _Ref3891416 \r \h  \* MERGEFORMAT </w:instrText>
      </w:r>
      <w:r w:rsidRPr="001C3B31">
        <w:rPr>
          <w:lang w:val="ro-RO"/>
        </w:rPr>
      </w:r>
      <w:r w:rsidRPr="001C3B31">
        <w:rPr>
          <w:lang w:val="ro-RO"/>
        </w:rPr>
        <w:fldChar w:fldCharType="separate"/>
      </w:r>
      <w:r w:rsidRPr="001C3B31">
        <w:rPr>
          <w:lang w:val="ro-RO"/>
        </w:rPr>
        <w:t>4.3.1</w:t>
      </w:r>
      <w:r w:rsidRPr="001C3B31">
        <w:rPr>
          <w:lang w:val="ro-RO"/>
        </w:rPr>
        <w:fldChar w:fldCharType="end"/>
      </w:r>
      <w:r w:rsidRPr="001C3B31">
        <w:rPr>
          <w:lang w:val="ro-RO"/>
        </w:rPr>
        <w:t xml:space="preserve"> a divizat costurile în costurile legate de implementarea proiectelor, costurile pentru finanțarea subvențiilor și cheltuielile administrative.</w:t>
      </w:r>
    </w:p>
    <w:p w:rsidR="004B3372" w:rsidRPr="001C3B31" w:rsidRDefault="004B3372" w:rsidP="004B3372">
      <w:pPr>
        <w:rPr>
          <w:lang w:val="ro-RO"/>
        </w:rPr>
      </w:pPr>
      <w:r w:rsidRPr="001C3B31">
        <w:rPr>
          <w:lang w:val="ro-RO"/>
        </w:rPr>
        <w:t>Raportul beneficiu-cost identificat anterior ia în considerație atât beneficiile, cât și costurile legate de implementarea proiectelor. Prin urmare, o estimare separată a acestora nu este necesară.</w:t>
      </w:r>
    </w:p>
    <w:p w:rsidR="004B3372" w:rsidRPr="001C3B31" w:rsidRDefault="004B3372" w:rsidP="004B3372">
      <w:pPr>
        <w:rPr>
          <w:lang w:val="ro-RO"/>
        </w:rPr>
      </w:pPr>
      <w:r w:rsidRPr="001C3B31">
        <w:rPr>
          <w:lang w:val="ro-RO"/>
        </w:rPr>
        <w:t>Costurile pentru finanțarea subvențiilor sunt ușor de determinat, fiind egale cu cantitatea mijloacelor financiare care își schimbă destinația de subvenționare – 5</w:t>
      </w:r>
      <w:r>
        <w:rPr>
          <w:lang w:val="ro-RO"/>
        </w:rPr>
        <w:t xml:space="preserve"> </w:t>
      </w:r>
      <w:r w:rsidRPr="001C3B31">
        <w:rPr>
          <w:lang w:val="ro-RO"/>
        </w:rPr>
        <w:t>% din valoarea FNDAMR.</w:t>
      </w:r>
    </w:p>
    <w:p w:rsidR="004B3372" w:rsidRPr="001C3B31" w:rsidRDefault="004B3372" w:rsidP="004B3372">
      <w:pPr>
        <w:rPr>
          <w:lang w:val="ro-RO"/>
        </w:rPr>
      </w:pPr>
      <w:r w:rsidRPr="001C3B31">
        <w:rPr>
          <w:lang w:val="ro-RO"/>
        </w:rPr>
        <w:t xml:space="preserve">Costurile administrative au fost estimate prin intermediul analizei de documente și al </w:t>
      </w:r>
      <w:r w:rsidRPr="001C3B31">
        <w:rPr>
          <w:bCs/>
          <w:lang w:val="ro-RO"/>
        </w:rPr>
        <w:t>consultărilor</w:t>
      </w:r>
      <w:r w:rsidRPr="001C3B31">
        <w:rPr>
          <w:lang w:val="ro-RO"/>
        </w:rPr>
        <w:t xml:space="preserve"> cu autoritățile responsabile pentru gestiunea FNDAMR și potențialii solicitanți (APL, mici întreprinzători, ONG-uri).</w:t>
      </w:r>
    </w:p>
    <w:p w:rsidR="004B3372" w:rsidRPr="007F0A8B" w:rsidRDefault="004B3372" w:rsidP="004B3372">
      <w:pPr>
        <w:pStyle w:val="Heading3"/>
        <w:numPr>
          <w:ilvl w:val="3"/>
          <w:numId w:val="24"/>
        </w:numPr>
        <w:rPr>
          <w:color w:val="0070C0"/>
          <w:lang w:val="ro-RO"/>
        </w:rPr>
      </w:pPr>
      <w:bookmarkStart w:id="59" w:name="_Toc32515779"/>
      <w:bookmarkStart w:id="60" w:name="_Toc32964834"/>
      <w:r w:rsidRPr="007F0A8B">
        <w:rPr>
          <w:color w:val="0070C0"/>
          <w:lang w:val="ro-RO"/>
        </w:rPr>
        <w:lastRenderedPageBreak/>
        <w:t>Beneficiul net</w:t>
      </w:r>
      <w:bookmarkEnd w:id="59"/>
      <w:bookmarkEnd w:id="60"/>
    </w:p>
    <w:p w:rsidR="004B3372" w:rsidRPr="001C3B31" w:rsidRDefault="004B3372" w:rsidP="004B3372">
      <w:pPr>
        <w:rPr>
          <w:lang w:val="ro-RO"/>
        </w:rPr>
      </w:pPr>
      <w:r w:rsidRPr="001C3B31">
        <w:rPr>
          <w:lang w:val="ro-RO"/>
        </w:rPr>
        <w:t>După estimarea raportului final beneficiu-cost al scenariului „politică implementată”, precum și a costurilor aferente acestui scenariu, poate fi calculat și beneficiul net al scenariului prin formula:</w:t>
      </w:r>
    </w:p>
    <w:p w:rsidR="004B3372" w:rsidRPr="001C3B31" w:rsidRDefault="004B3372" w:rsidP="004B3372">
      <w:pPr>
        <w:rPr>
          <w:lang w:val="ro-RO"/>
        </w:rPr>
      </w:pPr>
      <m:oMathPara>
        <m:oMath>
          <m:r>
            <w:rPr>
              <w:rFonts w:ascii="Cambria Math" w:hAnsi="Cambria Math"/>
              <w:lang w:val="ro-RO"/>
            </w:rPr>
            <m:t>BN=</m:t>
          </m:r>
          <m:d>
            <m:dPr>
              <m:ctrlPr>
                <w:rPr>
                  <w:rFonts w:ascii="Cambria Math" w:hAnsi="Cambria Math"/>
                  <w:i/>
                  <w:lang w:val="ro-RO"/>
                </w:rPr>
              </m:ctrlPr>
            </m:dPr>
            <m:e>
              <m:r>
                <w:rPr>
                  <w:rFonts w:ascii="Cambria Math" w:hAnsi="Cambria Math"/>
                  <w:lang w:val="ro-RO"/>
                </w:rPr>
                <m:t>Fond</m:t>
              </m:r>
            </m:e>
          </m:d>
          <m:r>
            <w:rPr>
              <w:rFonts w:ascii="Cambria Math" w:hAnsi="Cambria Math"/>
              <w:lang w:val="ro-RO"/>
            </w:rPr>
            <m:t>*</m:t>
          </m:r>
          <m:d>
            <m:dPr>
              <m:ctrlPr>
                <w:rPr>
                  <w:rFonts w:ascii="Cambria Math" w:hAnsi="Cambria Math"/>
                  <w:i/>
                  <w:lang w:val="ro-RO"/>
                </w:rPr>
              </m:ctrlPr>
            </m:dPr>
            <m:e>
              <m:r>
                <w:rPr>
                  <w:rFonts w:ascii="Cambria Math" w:hAnsi="Cambria Math"/>
                  <w:lang w:val="ro-RO"/>
                </w:rPr>
                <m:t>RBC-1</m:t>
              </m:r>
            </m:e>
          </m:d>
          <m:r>
            <w:rPr>
              <w:rFonts w:ascii="Cambria Math" w:hAnsi="Cambria Math"/>
              <w:lang w:val="ro-RO"/>
            </w:rPr>
            <m:t>-CA</m:t>
          </m:r>
        </m:oMath>
      </m:oMathPara>
    </w:p>
    <w:p w:rsidR="004B3372" w:rsidRPr="001C3B31" w:rsidRDefault="004B3372" w:rsidP="004B3372">
      <w:pPr>
        <w:rPr>
          <w:lang w:val="ro-RO"/>
        </w:rPr>
      </w:pPr>
      <w:r w:rsidRPr="001C3B31">
        <w:rPr>
          <w:lang w:val="ro-RO"/>
        </w:rPr>
        <w:t xml:space="preserve">Unde </w:t>
      </w:r>
      <m:oMath>
        <m:r>
          <w:rPr>
            <w:rFonts w:ascii="Cambria Math" w:hAnsi="Cambria Math"/>
            <w:lang w:val="ro-RO"/>
          </w:rPr>
          <m:t>BN</m:t>
        </m:r>
      </m:oMath>
      <w:r w:rsidRPr="001C3B31">
        <w:rPr>
          <w:lang w:val="ro-RO"/>
        </w:rPr>
        <w:t xml:space="preserve"> este Beneficiul Net al scenariului,  </w:t>
      </w:r>
      <m:oMath>
        <m:r>
          <w:rPr>
            <w:rFonts w:ascii="Cambria Math" w:hAnsi="Cambria Math"/>
            <w:lang w:val="ro-RO"/>
          </w:rPr>
          <m:t>Fond</m:t>
        </m:r>
      </m:oMath>
      <w:r w:rsidRPr="001C3B31">
        <w:rPr>
          <w:lang w:val="ro-RO"/>
        </w:rPr>
        <w:t xml:space="preserve"> este mărimea fondului de subvenționare, redirecționat pentru noile măsuri în scenariul „politică implementată”,  </w:t>
      </w:r>
      <m:oMath>
        <m:r>
          <w:rPr>
            <w:rFonts w:ascii="Cambria Math" w:hAnsi="Cambria Math"/>
            <w:lang w:val="ro-RO"/>
          </w:rPr>
          <m:t>CA</m:t>
        </m:r>
      </m:oMath>
      <w:r w:rsidRPr="001C3B31">
        <w:rPr>
          <w:lang w:val="ro-RO"/>
        </w:rPr>
        <w:t xml:space="preserve"> sunt cheltuielile administrative suplimentare suportate (dacă se va determina că a</w:t>
      </w:r>
      <w:r>
        <w:rPr>
          <w:lang w:val="ro-RO"/>
        </w:rPr>
        <w:t>ce</w:t>
      </w:r>
      <w:r w:rsidRPr="001C3B31">
        <w:rPr>
          <w:lang w:val="ro-RO"/>
        </w:rPr>
        <w:t xml:space="preserve">stea există), iar </w:t>
      </w:r>
      <m:oMath>
        <m:r>
          <w:rPr>
            <w:rFonts w:ascii="Cambria Math" w:hAnsi="Cambria Math"/>
            <w:lang w:val="ro-RO"/>
          </w:rPr>
          <m:t>RBC</m:t>
        </m:r>
      </m:oMath>
      <w:r w:rsidRPr="001C3B31">
        <w:rPr>
          <w:lang w:val="ro-RO"/>
        </w:rPr>
        <w:t xml:space="preserve"> este raportul final beneficiu-cost al scenariului, estimat conform procedurii de mai sus.</w:t>
      </w:r>
    </w:p>
    <w:p w:rsidR="004B3372" w:rsidRPr="007F0A8B" w:rsidRDefault="004B3372" w:rsidP="004B3372">
      <w:pPr>
        <w:pStyle w:val="Heading3"/>
        <w:numPr>
          <w:ilvl w:val="2"/>
          <w:numId w:val="24"/>
        </w:numPr>
        <w:rPr>
          <w:color w:val="0070C0"/>
          <w:lang w:val="ro-RO"/>
        </w:rPr>
      </w:pPr>
      <w:bookmarkStart w:id="61" w:name="_Ref5397664"/>
      <w:bookmarkStart w:id="62" w:name="_Toc32515780"/>
      <w:bookmarkStart w:id="63" w:name="_Toc32964835"/>
      <w:r w:rsidRPr="007F0A8B">
        <w:rPr>
          <w:color w:val="0070C0"/>
          <w:lang w:val="ro-RO"/>
        </w:rPr>
        <w:t>Scenariul „Status Quo”</w:t>
      </w:r>
      <w:bookmarkEnd w:id="61"/>
      <w:bookmarkEnd w:id="62"/>
      <w:bookmarkEnd w:id="63"/>
    </w:p>
    <w:p w:rsidR="004B3372" w:rsidRPr="001C3B31" w:rsidRDefault="004B3372" w:rsidP="004B3372">
      <w:pPr>
        <w:rPr>
          <w:lang w:val="ro-RO"/>
        </w:rPr>
      </w:pPr>
      <w:r w:rsidRPr="001C3B31">
        <w:rPr>
          <w:lang w:val="ro-RO"/>
        </w:rPr>
        <w:t>Deosebirea principală față de celălalt scenariu constă în faptul</w:t>
      </w:r>
      <w:r>
        <w:rPr>
          <w:lang w:val="ro-RO"/>
        </w:rPr>
        <w:t>,</w:t>
      </w:r>
      <w:r w:rsidRPr="001C3B31">
        <w:rPr>
          <w:lang w:val="ro-RO"/>
        </w:rPr>
        <w:t xml:space="preserve"> că măsurile pentru care se direcționează 5</w:t>
      </w:r>
      <w:r>
        <w:rPr>
          <w:lang w:val="ro-RO"/>
        </w:rPr>
        <w:t xml:space="preserve"> </w:t>
      </w:r>
      <w:r w:rsidRPr="001C3B31">
        <w:rPr>
          <w:lang w:val="ro-RO"/>
        </w:rPr>
        <w:t>% din FNDAR nu vor fi cele prevăzute de măsura propuse de PPP, ci cele prevăzute de Regulamentul privind condițiile, ordinea şi procedura de acordare a mijloacelor Fondului Național de Dezvoltare a Agriculturii şi Mediului Rural (HG nr. 455 din 21 iunie 2017), după cum urmează:</w:t>
      </w:r>
    </w:p>
    <w:p w:rsidR="004B3372" w:rsidRPr="001C3B31" w:rsidRDefault="004B3372" w:rsidP="004B3372">
      <w:pPr>
        <w:pStyle w:val="Bullet"/>
        <w:rPr>
          <w:lang w:val="ro-RO"/>
        </w:rPr>
      </w:pPr>
      <w:r w:rsidRPr="001C3B31">
        <w:rPr>
          <w:lang w:val="ro-RO"/>
        </w:rPr>
        <w:t>Investiții în exploatațiile agricole pentru restructurare și adaptare la standardele Uniunii Europene</w:t>
      </w:r>
      <w:r>
        <w:rPr>
          <w:lang w:val="ro-RO"/>
        </w:rPr>
        <w:t>;</w:t>
      </w:r>
    </w:p>
    <w:p w:rsidR="004B3372" w:rsidRPr="001C3B31" w:rsidRDefault="004B3372" w:rsidP="004B3372">
      <w:pPr>
        <w:pStyle w:val="Bullet"/>
        <w:rPr>
          <w:lang w:val="ro-RO"/>
        </w:rPr>
      </w:pPr>
      <w:r w:rsidRPr="001C3B31">
        <w:rPr>
          <w:lang w:val="ro-RO"/>
        </w:rPr>
        <w:t>Investiții în prelucrarea și comercializarea produselor agricole</w:t>
      </w:r>
      <w:r>
        <w:rPr>
          <w:lang w:val="ro-RO"/>
        </w:rPr>
        <w:t>;</w:t>
      </w:r>
    </w:p>
    <w:p w:rsidR="004B3372" w:rsidRPr="001C3B31" w:rsidRDefault="004B3372" w:rsidP="004B3372">
      <w:pPr>
        <w:pStyle w:val="Bullet"/>
        <w:rPr>
          <w:lang w:val="ro-RO"/>
        </w:rPr>
      </w:pPr>
      <w:r w:rsidRPr="001C3B31">
        <w:rPr>
          <w:lang w:val="ro-RO"/>
        </w:rPr>
        <w:t>Pregătirea pentru implementarea acțiunilor referitoare la mediul şi spațiul rural</w:t>
      </w:r>
      <w:r>
        <w:rPr>
          <w:lang w:val="ro-RO"/>
        </w:rPr>
        <w:t>;</w:t>
      </w:r>
    </w:p>
    <w:p w:rsidR="004B3372" w:rsidRPr="001C3B31" w:rsidRDefault="004B3372" w:rsidP="004B3372">
      <w:pPr>
        <w:pStyle w:val="Bullet"/>
        <w:rPr>
          <w:lang w:val="ro-RO"/>
        </w:rPr>
      </w:pPr>
      <w:r w:rsidRPr="001C3B31">
        <w:rPr>
          <w:lang w:val="ro-RO"/>
        </w:rPr>
        <w:t>Îmbunătățirea şi dezvoltarea infrastructurii rurale (prin intermediul producătorilor agricoli, nu al APL-urilor în cazul noilor măsuri)</w:t>
      </w:r>
      <w:r>
        <w:rPr>
          <w:lang w:val="ro-RO"/>
        </w:rPr>
        <w:t>;</w:t>
      </w:r>
    </w:p>
    <w:p w:rsidR="004B3372" w:rsidRPr="001C3B31" w:rsidRDefault="004B3372" w:rsidP="004B3372">
      <w:pPr>
        <w:pStyle w:val="Bullet"/>
        <w:rPr>
          <w:lang w:val="ro-RO"/>
        </w:rPr>
      </w:pPr>
      <w:r w:rsidRPr="001C3B31">
        <w:rPr>
          <w:lang w:val="ro-RO"/>
        </w:rPr>
        <w:t>Servicii de consultanță şi formare</w:t>
      </w:r>
      <w:r>
        <w:rPr>
          <w:lang w:val="ro-RO"/>
        </w:rPr>
        <w:t>.</w:t>
      </w:r>
    </w:p>
    <w:p w:rsidR="004B3372" w:rsidRPr="001C3B31" w:rsidRDefault="004B3372" w:rsidP="004B3372">
      <w:pPr>
        <w:rPr>
          <w:lang w:val="ro-RO"/>
        </w:rPr>
      </w:pPr>
      <w:r w:rsidRPr="001C3B31">
        <w:rPr>
          <w:lang w:val="ro-RO"/>
        </w:rPr>
        <w:t>Pentru a estima beneficiile și costurile legate de implementarea proiectelor în scenariul „Status Quo”, se va folosi o metodă similară celei aplicate pentru proiectele destinate agenților economici în scenariul „politică implementată” – estimarea raportului beneficiu-cost</w:t>
      </w:r>
      <w:r>
        <w:rPr>
          <w:lang w:val="ro-RO"/>
        </w:rPr>
        <w:t>,</w:t>
      </w:r>
      <w:r w:rsidRPr="001C3B31">
        <w:rPr>
          <w:lang w:val="ro-RO"/>
        </w:rPr>
        <w:t xml:space="preserve"> prin rata media a profitabilității întreprinderilor-țintă. Însă</w:t>
      </w:r>
      <w:r>
        <w:rPr>
          <w:lang w:val="ro-RO"/>
        </w:rPr>
        <w:t>,</w:t>
      </w:r>
      <w:r w:rsidRPr="001C3B31">
        <w:rPr>
          <w:lang w:val="ro-RO"/>
        </w:rPr>
        <w:t xml:space="preserve"> grupul-țintă de această dată este o altă categorie de întreprinderi – cele din domeniul agricol în mediul rural, deoarece în cazul măsurilor existente, beneficiarii subvențiilor sunt producătorii agricoli.</w:t>
      </w:r>
    </w:p>
    <w:p w:rsidR="004B3372" w:rsidRPr="001C3B31" w:rsidRDefault="004B3372" w:rsidP="004B3372">
      <w:pPr>
        <w:rPr>
          <w:lang w:val="ro-RO"/>
        </w:rPr>
      </w:pPr>
      <w:r w:rsidRPr="001C3B31">
        <w:rPr>
          <w:lang w:val="ro-RO"/>
        </w:rPr>
        <w:t>Costurile în acest scenariu vor fi ușor de estimat – cantitatea finanțării totale acordate nu se modifică, costurile legate de proiectele investiționale vor fi incluse în raportul cost-beneficiu transferat, iar cheltuielile administrative vor fi cele existente în momentul de față și, prin urmare, pot fi stabilite prin convenție la nivelul 0 (reprezentând situația actuală).</w:t>
      </w:r>
    </w:p>
    <w:p w:rsidR="004B3372" w:rsidRPr="001C3B31" w:rsidRDefault="004B3372" w:rsidP="004B3372">
      <w:pPr>
        <w:rPr>
          <w:lang w:val="ro-RO"/>
        </w:rPr>
      </w:pPr>
      <w:r w:rsidRPr="001C3B31">
        <w:rPr>
          <w:lang w:val="ro-RO"/>
        </w:rPr>
        <w:t>Beneficiul net se calculează conform aceleiași formule de mai sus.</w:t>
      </w:r>
    </w:p>
    <w:p w:rsidR="004B3372" w:rsidRPr="001C3B31" w:rsidRDefault="004B3372" w:rsidP="004B3372">
      <w:pPr>
        <w:spacing w:after="0"/>
        <w:jc w:val="left"/>
        <w:rPr>
          <w:b/>
          <w:bCs/>
          <w:caps/>
          <w:color w:val="1F497D" w:themeColor="text2"/>
          <w:sz w:val="40"/>
          <w:szCs w:val="40"/>
          <w:lang w:val="ro-RO"/>
        </w:rPr>
      </w:pPr>
      <w:r w:rsidRPr="001C3B31">
        <w:rPr>
          <w:lang w:val="ro-RO"/>
        </w:rPr>
        <w:br w:type="page"/>
      </w:r>
    </w:p>
    <w:p w:rsidR="004B3372" w:rsidRPr="001C3B31" w:rsidRDefault="004B3372" w:rsidP="004B3372">
      <w:pPr>
        <w:pStyle w:val="Heading1"/>
        <w:numPr>
          <w:ilvl w:val="0"/>
          <w:numId w:val="24"/>
        </w:numPr>
        <w:rPr>
          <w:lang w:val="ro-RO"/>
        </w:rPr>
      </w:pPr>
      <w:bookmarkStart w:id="64" w:name="_Toc32515781"/>
      <w:bookmarkStart w:id="65" w:name="_Toc32964836"/>
      <w:r w:rsidRPr="001C3B31">
        <w:rPr>
          <w:lang w:val="ro-RO"/>
        </w:rPr>
        <w:lastRenderedPageBreak/>
        <w:t>Rezultatele Analizei Cost-Beneficiu</w:t>
      </w:r>
      <w:bookmarkEnd w:id="64"/>
      <w:bookmarkEnd w:id="65"/>
    </w:p>
    <w:p w:rsidR="004B3372" w:rsidRPr="001C3B31" w:rsidRDefault="004B3372" w:rsidP="004B3372">
      <w:pPr>
        <w:rPr>
          <w:lang w:val="ro-RO"/>
        </w:rPr>
      </w:pPr>
      <w:r w:rsidRPr="001C3B31">
        <w:rPr>
          <w:lang w:val="ro-RO"/>
        </w:rPr>
        <w:t>Secțiunea următoare cuprinde o detaliere a tuturor componentelor monetare ș</w:t>
      </w:r>
      <w:r>
        <w:rPr>
          <w:lang w:val="ro-RO"/>
        </w:rPr>
        <w:t>i non</w:t>
      </w:r>
      <w:r w:rsidRPr="001C3B31">
        <w:rPr>
          <w:lang w:val="ro-RO"/>
        </w:rPr>
        <w:t>monetare ale tuturor beneficiilor și costurilor relevante în cadrul celor două</w:t>
      </w:r>
      <w:r>
        <w:rPr>
          <w:lang w:val="ro-RO"/>
        </w:rPr>
        <w:t xml:space="preserve"> scenarii, urmate de o concluzie</w:t>
      </w:r>
      <w:r w:rsidRPr="001C3B31">
        <w:rPr>
          <w:lang w:val="ro-RO"/>
        </w:rPr>
        <w:t xml:space="preserve"> care identifică scenar</w:t>
      </w:r>
      <w:r>
        <w:rPr>
          <w:lang w:val="ro-RO"/>
        </w:rPr>
        <w:t>iul mai favorabil, inclusiv cea</w:t>
      </w:r>
      <w:r w:rsidRPr="001C3B31">
        <w:rPr>
          <w:lang w:val="ro-RO"/>
        </w:rPr>
        <w:t xml:space="preserve"> mai benefic</w:t>
      </w:r>
      <w:r>
        <w:rPr>
          <w:lang w:val="ro-RO"/>
        </w:rPr>
        <w:t>ă sub</w:t>
      </w:r>
      <w:r w:rsidRPr="001C3B31">
        <w:rPr>
          <w:lang w:val="ro-RO"/>
        </w:rPr>
        <w:t>opțiun</w:t>
      </w:r>
      <w:r>
        <w:rPr>
          <w:lang w:val="ro-RO"/>
        </w:rPr>
        <w:t>e</w:t>
      </w:r>
      <w:r w:rsidRPr="001C3B31">
        <w:rPr>
          <w:lang w:val="ro-RO"/>
        </w:rPr>
        <w:t>.</w:t>
      </w:r>
    </w:p>
    <w:p w:rsidR="004B3372" w:rsidRPr="007F0A8B" w:rsidRDefault="004B3372" w:rsidP="004B3372">
      <w:pPr>
        <w:pStyle w:val="Heading2"/>
        <w:numPr>
          <w:ilvl w:val="1"/>
          <w:numId w:val="24"/>
        </w:numPr>
        <w:rPr>
          <w:color w:val="0070C0"/>
          <w:lang w:val="ro-RO"/>
        </w:rPr>
      </w:pPr>
      <w:bookmarkStart w:id="66" w:name="_Toc32515782"/>
      <w:bookmarkStart w:id="67" w:name="_Toc32964837"/>
      <w:r w:rsidRPr="007F0A8B">
        <w:rPr>
          <w:color w:val="0070C0"/>
          <w:lang w:val="ro-RO"/>
        </w:rPr>
        <w:t>Scenariul „politica implementată”</w:t>
      </w:r>
      <w:bookmarkEnd w:id="66"/>
      <w:bookmarkEnd w:id="67"/>
    </w:p>
    <w:p w:rsidR="004B3372" w:rsidRPr="007F0A8B" w:rsidRDefault="004B3372" w:rsidP="004B3372">
      <w:pPr>
        <w:pStyle w:val="Heading3"/>
        <w:numPr>
          <w:ilvl w:val="2"/>
          <w:numId w:val="24"/>
        </w:numPr>
        <w:rPr>
          <w:color w:val="0070C0"/>
          <w:lang w:val="ro-RO"/>
        </w:rPr>
      </w:pPr>
      <w:bookmarkStart w:id="68" w:name="_Toc32515783"/>
      <w:bookmarkStart w:id="69" w:name="_Toc32964838"/>
      <w:r w:rsidRPr="007F0A8B">
        <w:rPr>
          <w:color w:val="0070C0"/>
          <w:lang w:val="ro-RO"/>
        </w:rPr>
        <w:t>Raporturile beneficiu-cost</w:t>
      </w:r>
      <w:bookmarkEnd w:id="68"/>
      <w:bookmarkEnd w:id="69"/>
    </w:p>
    <w:p w:rsidR="004B3372" w:rsidRPr="001C3B31" w:rsidRDefault="004B3372" w:rsidP="004B3372">
      <w:pPr>
        <w:rPr>
          <w:lang w:val="ro-RO"/>
        </w:rPr>
      </w:pPr>
      <w:r w:rsidRPr="001C3B31">
        <w:rPr>
          <w:lang w:val="ro-RO"/>
        </w:rPr>
        <w:t>După cum s-a menționat în secțiunea „Metodologie”, raporturile sunt estimate pentru fiecare domeniu de acțiune prevăzut de nou Regulament, iar apoi sumate prin aplicarea unei medii ponderate. Valorile estimate și sursele de date pentru fiecare domeniu de acțiune sunt descrise în punctele care urmează.</w:t>
      </w:r>
    </w:p>
    <w:p w:rsidR="004B3372" w:rsidRPr="007F0A8B" w:rsidRDefault="004B3372" w:rsidP="004B3372">
      <w:pPr>
        <w:pStyle w:val="Heading3"/>
        <w:numPr>
          <w:ilvl w:val="3"/>
          <w:numId w:val="24"/>
        </w:numPr>
        <w:rPr>
          <w:color w:val="0070C0"/>
          <w:lang w:val="ro-RO"/>
        </w:rPr>
      </w:pPr>
      <w:bookmarkStart w:id="70" w:name="_Toc32964839"/>
      <w:bookmarkStart w:id="71" w:name="_Toc32515784"/>
      <w:r w:rsidRPr="007F0A8B">
        <w:rPr>
          <w:rFonts w:eastAsia="Times New Roman" w:cstheme="minorHAnsi"/>
          <w:color w:val="0070C0"/>
          <w:szCs w:val="20"/>
          <w:lang w:val="ro-RO" w:eastAsia="lt-LT"/>
        </w:rPr>
        <w:t>Diversificarea economiei rurale</w:t>
      </w:r>
      <w:bookmarkEnd w:id="70"/>
      <w:r w:rsidRPr="007F0A8B">
        <w:rPr>
          <w:rFonts w:eastAsia="Times New Roman" w:cstheme="minorHAnsi"/>
          <w:color w:val="0070C0"/>
          <w:szCs w:val="20"/>
          <w:lang w:val="ro-RO" w:eastAsia="lt-LT"/>
        </w:rPr>
        <w:t xml:space="preserve"> </w:t>
      </w:r>
      <w:bookmarkEnd w:id="71"/>
    </w:p>
    <w:p w:rsidR="004B3372" w:rsidRPr="001C3B31" w:rsidRDefault="004B3372" w:rsidP="004B3372">
      <w:pPr>
        <w:pStyle w:val="Focus"/>
        <w:rPr>
          <w:lang w:val="ro-RO"/>
        </w:rPr>
      </w:pPr>
      <w:r w:rsidRPr="001C3B31">
        <w:rPr>
          <w:lang w:val="ro-RO"/>
        </w:rPr>
        <w:t>Surse de informații:</w:t>
      </w:r>
    </w:p>
    <w:p w:rsidR="004B3372" w:rsidRPr="001C3B31" w:rsidRDefault="004B3372" w:rsidP="004B3372">
      <w:pPr>
        <w:rPr>
          <w:lang w:val="ro-RO"/>
        </w:rPr>
      </w:pPr>
      <w:r w:rsidRPr="001C3B31">
        <w:rPr>
          <w:lang w:val="ro-RO"/>
        </w:rPr>
        <w:t>Pentru a estima raportul beneficiu-cost al proiectelor de diversificare a econo</w:t>
      </w:r>
      <w:r>
        <w:rPr>
          <w:lang w:val="ro-RO"/>
        </w:rPr>
        <w:t>miei rurale prin activități non</w:t>
      </w:r>
      <w:r w:rsidRPr="001C3B31">
        <w:rPr>
          <w:lang w:val="ro-RO"/>
        </w:rPr>
        <w:t xml:space="preserve">agricole, am consultat </w:t>
      </w:r>
      <w:r w:rsidRPr="001C3B31">
        <w:rPr>
          <w:b/>
          <w:lang w:val="ro-RO"/>
        </w:rPr>
        <w:t>proiectele implementate de către GAL-uri</w:t>
      </w:r>
      <w:r>
        <w:rPr>
          <w:b/>
          <w:lang w:val="ro-RO"/>
        </w:rPr>
        <w:t>le</w:t>
      </w:r>
      <w:r w:rsidRPr="001C3B31">
        <w:rPr>
          <w:b/>
          <w:lang w:val="ro-RO"/>
        </w:rPr>
        <w:t xml:space="preserve"> existente în Republica Moldov</w:t>
      </w:r>
      <w:r>
        <w:rPr>
          <w:b/>
          <w:lang w:val="ro-RO"/>
        </w:rPr>
        <w:t>a în domeniul dezvoltării micro</w:t>
      </w:r>
      <w:r w:rsidRPr="001C3B31">
        <w:rPr>
          <w:b/>
          <w:lang w:val="ro-RO"/>
        </w:rPr>
        <w:t>întrepri</w:t>
      </w:r>
      <w:r>
        <w:rPr>
          <w:b/>
          <w:lang w:val="ro-RO"/>
        </w:rPr>
        <w:t>nderilor rurale în sectorul non</w:t>
      </w:r>
      <w:r w:rsidRPr="001C3B31">
        <w:rPr>
          <w:b/>
          <w:lang w:val="ro-RO"/>
        </w:rPr>
        <w:t>agricol</w:t>
      </w:r>
      <w:r w:rsidRPr="001C3B31">
        <w:rPr>
          <w:lang w:val="ro-RO"/>
        </w:rPr>
        <w:t>. Drept bază au fost analizate proiectele implementate de 16 GAL-uri din Republica Moldova, beneficiare de suport financiar din partea Solidarity Fund PL în Moldova</w:t>
      </w:r>
      <w:r>
        <w:rPr>
          <w:lang w:val="ro-RO"/>
        </w:rPr>
        <w:t>,</w:t>
      </w:r>
      <w:r w:rsidRPr="001C3B31">
        <w:rPr>
          <w:lang w:val="ro-RO"/>
        </w:rPr>
        <w:t xml:space="preserve"> în cadrul programului de finanțare FGM 2019. </w:t>
      </w:r>
    </w:p>
    <w:p w:rsidR="004B3372" w:rsidRPr="001C3B31" w:rsidRDefault="004B3372" w:rsidP="004B3372">
      <w:pPr>
        <w:pStyle w:val="Focus"/>
        <w:rPr>
          <w:lang w:val="ro-RO"/>
        </w:rPr>
      </w:pPr>
      <w:r w:rsidRPr="001C3B31">
        <w:rPr>
          <w:lang w:val="ro-RO"/>
        </w:rPr>
        <w:t>Valoarea estimată:</w:t>
      </w:r>
    </w:p>
    <w:p w:rsidR="004B3372" w:rsidRPr="001C3B31" w:rsidRDefault="004B3372" w:rsidP="004B3372">
      <w:pPr>
        <w:rPr>
          <w:lang w:val="ro-RO"/>
        </w:rPr>
      </w:pPr>
      <w:r w:rsidRPr="001C3B31">
        <w:rPr>
          <w:lang w:val="ro-RO"/>
        </w:rPr>
        <w:t>Un indicator care aproximează be</w:t>
      </w:r>
      <w:r>
        <w:rPr>
          <w:lang w:val="ro-RO"/>
        </w:rPr>
        <w:t>neficiile din dezvoltarea micro</w:t>
      </w:r>
      <w:r w:rsidRPr="001C3B31">
        <w:rPr>
          <w:lang w:val="ro-RO"/>
        </w:rPr>
        <w:t xml:space="preserve">întreprinderilor îl reprezintă </w:t>
      </w:r>
      <w:r w:rsidRPr="001C3B31">
        <w:rPr>
          <w:b/>
          <w:bCs/>
          <w:lang w:val="ro-RO"/>
        </w:rPr>
        <w:t>numărul locuri</w:t>
      </w:r>
      <w:r>
        <w:rPr>
          <w:b/>
          <w:bCs/>
          <w:lang w:val="ro-RO"/>
        </w:rPr>
        <w:t>lor</w:t>
      </w:r>
      <w:r w:rsidRPr="001C3B31">
        <w:rPr>
          <w:b/>
          <w:bCs/>
          <w:lang w:val="ro-RO"/>
        </w:rPr>
        <w:t xml:space="preserve"> de muncă permanente noi create</w:t>
      </w:r>
      <w:r w:rsidRPr="001C3B31">
        <w:rPr>
          <w:lang w:val="ro-RO"/>
        </w:rPr>
        <w:t xml:space="preserve"> și </w:t>
      </w:r>
      <w:r w:rsidRPr="001C3B31">
        <w:rPr>
          <w:b/>
          <w:bCs/>
          <w:lang w:val="ro-RO"/>
        </w:rPr>
        <w:t>contribuțiile/impozitele</w:t>
      </w:r>
      <w:r w:rsidRPr="001C3B31">
        <w:rPr>
          <w:lang w:val="ro-RO"/>
        </w:rPr>
        <w:t xml:space="preserve"> </w:t>
      </w:r>
      <w:r w:rsidRPr="001C3B31">
        <w:rPr>
          <w:b/>
          <w:bCs/>
          <w:lang w:val="ro-RO"/>
        </w:rPr>
        <w:t>plătite de angajați.</w:t>
      </w:r>
      <w:r w:rsidRPr="001C3B31">
        <w:rPr>
          <w:lang w:val="ro-RO"/>
        </w:rPr>
        <w:t xml:space="preserve"> Indicatorul care aproximează cos</w:t>
      </w:r>
      <w:r>
        <w:rPr>
          <w:lang w:val="ro-RO"/>
        </w:rPr>
        <w:t>turile în acest caz reprezentă</w:t>
      </w:r>
      <w:r w:rsidRPr="001C3B31">
        <w:rPr>
          <w:lang w:val="ro-RO"/>
        </w:rPr>
        <w:t xml:space="preserve"> costurile proiectelor implementate de GAL-uri</w:t>
      </w:r>
      <w:r>
        <w:rPr>
          <w:lang w:val="ro-RO"/>
        </w:rPr>
        <w:t>,</w:t>
      </w:r>
      <w:r w:rsidRPr="001C3B31">
        <w:rPr>
          <w:lang w:val="ro-RO"/>
        </w:rPr>
        <w:t xml:space="preserve"> care au av</w:t>
      </w:r>
      <w:r>
        <w:rPr>
          <w:lang w:val="ro-RO"/>
        </w:rPr>
        <w:t>ut drept scop dezvoltarea micro</w:t>
      </w:r>
      <w:r w:rsidRPr="001C3B31">
        <w:rPr>
          <w:lang w:val="ro-RO"/>
        </w:rPr>
        <w:t xml:space="preserve">întreprinderilor. </w:t>
      </w:r>
    </w:p>
    <w:p w:rsidR="004B3372" w:rsidRPr="001C3B31" w:rsidRDefault="004B3372" w:rsidP="004B3372">
      <w:pPr>
        <w:rPr>
          <w:lang w:val="ro-RO"/>
        </w:rPr>
      </w:pPr>
      <w:r w:rsidRPr="001C3B31">
        <w:rPr>
          <w:lang w:val="ro-RO"/>
        </w:rPr>
        <w:t>Pentru a asigura obiectivitatea analizei, la calcularea costurilor au fost luate în considerare toate proiectele care au facilitat dezvoltare</w:t>
      </w:r>
      <w:r>
        <w:rPr>
          <w:lang w:val="ro-RO"/>
        </w:rPr>
        <w:t>a micro</w:t>
      </w:r>
      <w:r w:rsidRPr="001C3B31">
        <w:rPr>
          <w:lang w:val="ro-RO"/>
        </w:rPr>
        <w:t>întreprinderilor, implementate de GAL-uri, indiferent de faptul</w:t>
      </w:r>
      <w:r>
        <w:rPr>
          <w:lang w:val="ro-RO"/>
        </w:rPr>
        <w:t>,</w:t>
      </w:r>
      <w:r w:rsidRPr="001C3B31">
        <w:rPr>
          <w:lang w:val="ro-RO"/>
        </w:rPr>
        <w:t xml:space="preserve"> dacă au creat sau nu locuri noi de muncă permanente. </w:t>
      </w:r>
    </w:p>
    <w:p w:rsidR="004B3372" w:rsidRPr="001C3B31" w:rsidRDefault="004B3372" w:rsidP="004B3372">
      <w:pPr>
        <w:rPr>
          <w:lang w:val="ro-RO"/>
        </w:rPr>
      </w:pPr>
      <w:r w:rsidRPr="001C3B31">
        <w:rPr>
          <w:lang w:val="ro-RO"/>
        </w:rPr>
        <w:t>Totodată, la calcularea veniturilor s-a mers pe premisa</w:t>
      </w:r>
      <w:r>
        <w:rPr>
          <w:lang w:val="ro-RO"/>
        </w:rPr>
        <w:t>,</w:t>
      </w:r>
      <w:r w:rsidRPr="001C3B31">
        <w:rPr>
          <w:lang w:val="ro-RO"/>
        </w:rPr>
        <w:t xml:space="preserve"> că locul de muncă creat va exista cel puțin 24 luni, timp în care va contribui la dezvoltare economică a întreprinderii, și</w:t>
      </w:r>
      <w:r>
        <w:rPr>
          <w:lang w:val="ro-RO"/>
        </w:rPr>
        <w:t>,</w:t>
      </w:r>
      <w:r w:rsidRPr="001C3B31">
        <w:rPr>
          <w:lang w:val="ro-RO"/>
        </w:rPr>
        <w:t xml:space="preserve"> respectiv</w:t>
      </w:r>
      <w:r>
        <w:rPr>
          <w:lang w:val="ro-RO"/>
        </w:rPr>
        <w:t>,</w:t>
      </w:r>
      <w:r w:rsidRPr="001C3B31">
        <w:rPr>
          <w:lang w:val="ro-RO"/>
        </w:rPr>
        <w:t xml:space="preserve"> va genera venituri din impozitul de salariu. Din lips</w:t>
      </w:r>
      <w:r>
        <w:rPr>
          <w:lang w:val="ro-RO"/>
        </w:rPr>
        <w:t>ă de</w:t>
      </w:r>
      <w:r w:rsidRPr="001C3B31">
        <w:rPr>
          <w:lang w:val="ro-RO"/>
        </w:rPr>
        <w:t xml:space="preserve"> informați</w:t>
      </w:r>
      <w:r>
        <w:rPr>
          <w:lang w:val="ro-RO"/>
        </w:rPr>
        <w:t>i</w:t>
      </w:r>
      <w:r w:rsidRPr="001C3B31">
        <w:rPr>
          <w:lang w:val="ro-RO"/>
        </w:rPr>
        <w:t xml:space="preserve"> statistice privind salariul mediu în sectorul real din mediul rural, drept reper pentru calcul </w:t>
      </w:r>
      <w:r>
        <w:rPr>
          <w:lang w:val="ro-RO"/>
        </w:rPr>
        <w:t>a fost luat cel mai mic salariu</w:t>
      </w:r>
      <w:r w:rsidRPr="001C3B31">
        <w:rPr>
          <w:lang w:val="ro-RO"/>
        </w:rPr>
        <w:t xml:space="preserve"> brut pentru trimestrul III al anului 2019</w:t>
      </w:r>
      <w:r>
        <w:rPr>
          <w:lang w:val="ro-RO"/>
        </w:rPr>
        <w:t>,</w:t>
      </w:r>
      <w:r w:rsidRPr="001C3B31">
        <w:rPr>
          <w:lang w:val="ro-RO"/>
        </w:rPr>
        <w:t xml:space="preserve"> la nivel de Unitate Teritorial Administrativă. În cazul nostru, valoarea </w:t>
      </w:r>
      <w:r>
        <w:rPr>
          <w:lang w:val="ro-RO"/>
        </w:rPr>
        <w:t>respectivă</w:t>
      </w:r>
      <w:r w:rsidRPr="001C3B31">
        <w:rPr>
          <w:lang w:val="ro-RO"/>
        </w:rPr>
        <w:t xml:space="preserve"> este de 4551 MDL, acesta</w:t>
      </w:r>
      <w:r>
        <w:rPr>
          <w:lang w:val="ro-RO"/>
        </w:rPr>
        <w:t>,</w:t>
      </w:r>
      <w:r w:rsidRPr="001C3B31">
        <w:rPr>
          <w:lang w:val="ro-RO"/>
        </w:rPr>
        <w:t xml:space="preserve"> conform datelor BNS</w:t>
      </w:r>
      <w:r>
        <w:rPr>
          <w:lang w:val="ro-RO"/>
        </w:rPr>
        <w:t>,</w:t>
      </w:r>
      <w:r w:rsidRPr="001C3B31">
        <w:rPr>
          <w:lang w:val="ro-RO"/>
        </w:rPr>
        <w:t xml:space="preserve"> fiind salariul mediu pe economie în raionul Dondușeni</w:t>
      </w:r>
      <w:r w:rsidRPr="001C3B31">
        <w:rPr>
          <w:rStyle w:val="FootnoteReference"/>
          <w:lang w:val="ro-RO"/>
        </w:rPr>
        <w:footnoteReference w:id="19"/>
      </w:r>
      <w:r w:rsidRPr="001C3B31">
        <w:rPr>
          <w:lang w:val="ro-RO"/>
        </w:rPr>
        <w:t>.</w:t>
      </w:r>
    </w:p>
    <w:p w:rsidR="004B3372" w:rsidRPr="001C3B31" w:rsidRDefault="004B3372" w:rsidP="004B3372">
      <w:pPr>
        <w:rPr>
          <w:lang w:val="ro-RO"/>
        </w:rPr>
      </w:pPr>
      <w:r w:rsidRPr="001C3B31">
        <w:rPr>
          <w:lang w:val="ro-RO"/>
        </w:rPr>
        <w:t xml:space="preserve">Astfel, pentru fiecare întreprindere beneficiară de finanțare în cadrul proiectelor implementate de GAL-uri am calculat raportul dintre veniturile fiscale ale statului generate de proiect în decurs de 24 luni și costurile de implementare ale proiectului. Iar </w:t>
      </w:r>
      <w:r w:rsidRPr="001C3B31">
        <w:rPr>
          <w:b/>
          <w:lang w:val="ro-RO"/>
        </w:rPr>
        <w:t>raportul beneficiu-cost</w:t>
      </w:r>
      <w:r w:rsidRPr="001C3B31">
        <w:rPr>
          <w:lang w:val="ro-RO"/>
        </w:rPr>
        <w:t xml:space="preserve"> total al finanțării acestui domeniu de acțiune a fost estimat </w:t>
      </w:r>
      <w:r>
        <w:rPr>
          <w:lang w:val="ro-RO"/>
        </w:rPr>
        <w:t>drept</w:t>
      </w:r>
      <w:r w:rsidRPr="001C3B31">
        <w:rPr>
          <w:lang w:val="ro-RO"/>
        </w:rPr>
        <w:t xml:space="preserve"> media aritmetică a valorilor pentru toate proiectele ce satisfac criteriile de mai sus. Această valoare este de </w:t>
      </w:r>
      <w:r w:rsidRPr="001C3B31">
        <w:rPr>
          <w:b/>
          <w:lang w:val="ro-RO"/>
        </w:rPr>
        <w:t>1.24</w:t>
      </w:r>
      <w:r w:rsidRPr="001C3B31">
        <w:rPr>
          <w:lang w:val="ro-RO"/>
        </w:rPr>
        <w:t>.</w:t>
      </w:r>
    </w:p>
    <w:p w:rsidR="004B3372" w:rsidRPr="001C3B31" w:rsidRDefault="004B3372" w:rsidP="004B3372">
      <w:pPr>
        <w:pStyle w:val="Focus"/>
        <w:rPr>
          <w:lang w:val="ro-RO"/>
        </w:rPr>
      </w:pPr>
      <w:r w:rsidRPr="001C3B31">
        <w:rPr>
          <w:lang w:val="ro-RO"/>
        </w:rPr>
        <w:t>Natura beneficiilor și a costurilor</w:t>
      </w:r>
    </w:p>
    <w:p w:rsidR="004B3372" w:rsidRPr="001C3B31" w:rsidRDefault="004B3372" w:rsidP="004B3372">
      <w:pPr>
        <w:pStyle w:val="Bullet"/>
        <w:numPr>
          <w:ilvl w:val="0"/>
          <w:numId w:val="0"/>
        </w:numPr>
        <w:rPr>
          <w:lang w:val="ro-RO"/>
        </w:rPr>
      </w:pPr>
      <w:r w:rsidRPr="001C3B31">
        <w:rPr>
          <w:lang w:val="ro-RO"/>
        </w:rPr>
        <w:t xml:space="preserve">Dat fiind faptul că estimările beneficiilor și ale costurilor pentru subpunctul respectiv provin din rapoartele de implementare ale proiectelor finanțate de GAL-uri, ele includ doar beneficiile și costurile </w:t>
      </w:r>
      <w:r w:rsidRPr="001C3B31">
        <w:rPr>
          <w:lang w:val="ro-RO"/>
        </w:rPr>
        <w:lastRenderedPageBreak/>
        <w:t xml:space="preserve">financiare. Pentru o redare mai integrală a impactului economic al acestui domeniu de acțiune al noii măsuri de subvenționare, ținem să mai menționăm și alte beneficii sociale suplimentare. </w:t>
      </w:r>
    </w:p>
    <w:p w:rsidR="004B3372" w:rsidRPr="001C3B31" w:rsidRDefault="004B3372" w:rsidP="004B3372">
      <w:pPr>
        <w:pStyle w:val="Bullet"/>
        <w:numPr>
          <w:ilvl w:val="0"/>
          <w:numId w:val="0"/>
        </w:numPr>
        <w:rPr>
          <w:lang w:val="ro-RO"/>
        </w:rPr>
      </w:pPr>
      <w:r>
        <w:rPr>
          <w:lang w:val="ro-RO"/>
        </w:rPr>
        <w:t>Spre</w:t>
      </w:r>
      <w:r w:rsidRPr="001C3B31">
        <w:rPr>
          <w:lang w:val="ro-RO"/>
        </w:rPr>
        <w:t xml:space="preserve"> exemplu, un impact social important al acestui tip de proiecte finanțate de măsura propusă de PPP reprezintă creșterea veniturilor companiilor</w:t>
      </w:r>
      <w:r>
        <w:rPr>
          <w:lang w:val="ro-RO"/>
        </w:rPr>
        <w:t>,</w:t>
      </w:r>
      <w:r w:rsidRPr="001C3B31">
        <w:rPr>
          <w:lang w:val="ro-RO"/>
        </w:rPr>
        <w:t xml:space="preserve"> în urma activității economice și creșterea contribuției agenților economici la taxele locale, fapt care va conduce la mărirea bugetului local. Sursele date ulterior pot fi direcționate către implementarea proiectelor locale cu menire socială.</w:t>
      </w:r>
    </w:p>
    <w:p w:rsidR="004B3372" w:rsidRPr="001C3B31" w:rsidRDefault="004B3372" w:rsidP="004B3372">
      <w:pPr>
        <w:pStyle w:val="Bullet"/>
        <w:numPr>
          <w:ilvl w:val="0"/>
          <w:numId w:val="0"/>
        </w:numPr>
        <w:rPr>
          <w:lang w:val="ro-RO"/>
        </w:rPr>
      </w:pPr>
      <w:r w:rsidRPr="001C3B31">
        <w:rPr>
          <w:lang w:val="ro-RO"/>
        </w:rPr>
        <w:t>Pe de altă parte, în condițiile creării noi</w:t>
      </w:r>
      <w:r>
        <w:rPr>
          <w:lang w:val="ro-RO"/>
        </w:rPr>
        <w:t>lor</w:t>
      </w:r>
      <w:r w:rsidRPr="001C3B31">
        <w:rPr>
          <w:lang w:val="ro-RO"/>
        </w:rPr>
        <w:t xml:space="preserve"> locuri de muncă, e</w:t>
      </w:r>
      <w:r>
        <w:rPr>
          <w:lang w:val="ro-RO"/>
        </w:rPr>
        <w:t>ste</w:t>
      </w:r>
      <w:r w:rsidRPr="001C3B31">
        <w:rPr>
          <w:lang w:val="ro-RO"/>
        </w:rPr>
        <w:t xml:space="preserve"> mare probabilitatea că unii dintre </w:t>
      </w:r>
      <w:r>
        <w:rPr>
          <w:lang w:val="ro-RO"/>
        </w:rPr>
        <w:t xml:space="preserve">noii </w:t>
      </w:r>
      <w:r w:rsidRPr="001C3B31">
        <w:rPr>
          <w:lang w:val="ro-RO"/>
        </w:rPr>
        <w:t>potențialii angajați să fi fost șomeri în cazul absenței proiectelor subvenționate (deși o proporție exactă este greu de estimat).</w:t>
      </w:r>
      <w:r>
        <w:rPr>
          <w:lang w:val="ro-RO"/>
        </w:rPr>
        <w:t xml:space="preserve"> </w:t>
      </w:r>
    </w:p>
    <w:p w:rsidR="004B3372" w:rsidRPr="001C3B31" w:rsidRDefault="004B3372" w:rsidP="004B3372">
      <w:pPr>
        <w:pStyle w:val="Bullet"/>
        <w:numPr>
          <w:ilvl w:val="0"/>
          <w:numId w:val="0"/>
        </w:numPr>
        <w:rPr>
          <w:lang w:val="ro-RO"/>
        </w:rPr>
      </w:pPr>
      <w:r w:rsidRPr="001C3B31">
        <w:rPr>
          <w:lang w:val="ro-RO"/>
        </w:rPr>
        <w:t>Prin urmare, ținem să menționăm că, datorită prezenței acestor beneficii sociale nemonetizate, raportul real beneficiu-cost al acestei măsuri de subvenționare ar putea fi mai mare decât cel expus mai sus.</w:t>
      </w:r>
    </w:p>
    <w:p w:rsidR="004B3372" w:rsidRPr="007F0A8B" w:rsidRDefault="004B3372" w:rsidP="004B3372">
      <w:pPr>
        <w:pStyle w:val="Heading3"/>
        <w:numPr>
          <w:ilvl w:val="3"/>
          <w:numId w:val="24"/>
        </w:numPr>
        <w:ind w:left="284"/>
        <w:rPr>
          <w:color w:val="0070C0"/>
          <w:lang w:val="ro-RO"/>
        </w:rPr>
      </w:pPr>
      <w:bookmarkStart w:id="72" w:name="_Toc32515785"/>
      <w:bookmarkStart w:id="73" w:name="_Toc32964840"/>
      <w:r w:rsidRPr="007F0A8B">
        <w:rPr>
          <w:color w:val="0070C0"/>
          <w:lang w:val="ro-RO"/>
        </w:rPr>
        <w:t>Crearea, îmbunătățirea și extinderea serviciilor locale de bază pentru populația rurală</w:t>
      </w:r>
      <w:bookmarkEnd w:id="72"/>
      <w:bookmarkEnd w:id="73"/>
    </w:p>
    <w:p w:rsidR="004B3372" w:rsidRPr="001C3B31" w:rsidRDefault="004B3372" w:rsidP="004B3372">
      <w:pPr>
        <w:pStyle w:val="Focus"/>
        <w:rPr>
          <w:lang w:val="ro-RO"/>
        </w:rPr>
      </w:pPr>
      <w:r w:rsidRPr="001C3B31">
        <w:rPr>
          <w:lang w:val="ro-RO"/>
        </w:rPr>
        <w:t>Surse de informații:</w:t>
      </w:r>
    </w:p>
    <w:p w:rsidR="004B3372" w:rsidRPr="001C3B31" w:rsidRDefault="004B3372" w:rsidP="004B3372">
      <w:pPr>
        <w:rPr>
          <w:lang w:val="ro-RO"/>
        </w:rPr>
      </w:pPr>
      <w:r w:rsidRPr="001C3B31">
        <w:rPr>
          <w:lang w:val="ro-RO"/>
        </w:rPr>
        <w:t xml:space="preserve">Pentru a estima raportul beneficiu-cost al proiectelor de acest tip am consultat </w:t>
      </w:r>
      <w:r w:rsidRPr="001C3B31">
        <w:rPr>
          <w:b/>
          <w:bCs/>
          <w:lang w:val="ro-RO"/>
        </w:rPr>
        <w:t xml:space="preserve">studiul de fezabilitate pentru proiectul „Parc și loc de joacă, </w:t>
      </w:r>
      <w:r>
        <w:rPr>
          <w:b/>
          <w:bCs/>
          <w:lang w:val="ro-RO"/>
        </w:rPr>
        <w:t>strada Crizantemelor din mun. S</w:t>
      </w:r>
      <w:r w:rsidRPr="001C3B31">
        <w:rPr>
          <w:b/>
          <w:bCs/>
          <w:lang w:val="ro-RO"/>
        </w:rPr>
        <w:t xml:space="preserve">ighișoara”.  </w:t>
      </w:r>
      <w:r w:rsidRPr="001C3B31">
        <w:rPr>
          <w:lang w:val="ro-RO"/>
        </w:rPr>
        <w:t xml:space="preserve">Obiectul studiului l-a reprezentat construcția unui parc și loc de joacă în municipiul Sighișoara, România. </w:t>
      </w:r>
    </w:p>
    <w:p w:rsidR="004B3372" w:rsidRPr="001C3B31" w:rsidRDefault="004B3372" w:rsidP="004B3372">
      <w:pPr>
        <w:pStyle w:val="Focus"/>
        <w:rPr>
          <w:lang w:val="ro-RO"/>
        </w:rPr>
      </w:pPr>
      <w:r w:rsidRPr="001C3B31">
        <w:rPr>
          <w:lang w:val="ro-RO"/>
        </w:rPr>
        <w:t>Valoarea estimată:</w:t>
      </w:r>
    </w:p>
    <w:p w:rsidR="004B3372" w:rsidRPr="001C3B31" w:rsidRDefault="004B3372" w:rsidP="004B3372">
      <w:pPr>
        <w:rPr>
          <w:lang w:val="ro-RO"/>
        </w:rPr>
      </w:pPr>
      <w:r w:rsidRPr="001C3B31">
        <w:rPr>
          <w:lang w:val="ro-RO"/>
        </w:rPr>
        <w:t>Studiul de Fezabilitate pentru proiectul „</w:t>
      </w:r>
      <w:r w:rsidRPr="001C3B31">
        <w:rPr>
          <w:b/>
          <w:bCs/>
          <w:lang w:val="ro-RO"/>
        </w:rPr>
        <w:t>Parc și loc de joacă, strada Crizan</w:t>
      </w:r>
      <w:r>
        <w:rPr>
          <w:b/>
          <w:bCs/>
          <w:lang w:val="ro-RO"/>
        </w:rPr>
        <w:t>temelor din mun. S</w:t>
      </w:r>
      <w:r w:rsidRPr="001C3B31">
        <w:rPr>
          <w:b/>
          <w:bCs/>
          <w:lang w:val="ro-RO"/>
        </w:rPr>
        <w:t>ighișoara</w:t>
      </w:r>
      <w:r w:rsidRPr="001C3B31">
        <w:rPr>
          <w:lang w:val="ro-RO"/>
        </w:rPr>
        <w:t>" din mun. Sighișoara, România”</w:t>
      </w:r>
      <w:r w:rsidRPr="001C3B31">
        <w:rPr>
          <w:rStyle w:val="FootnoteReference"/>
          <w:lang w:val="ro-RO"/>
        </w:rPr>
        <w:footnoteReference w:id="20"/>
      </w:r>
      <w:r w:rsidRPr="001C3B31">
        <w:rPr>
          <w:lang w:val="ro-RO"/>
        </w:rPr>
        <w:t xml:space="preserve"> relevă în cadrul analizei cost-beneficiu</w:t>
      </w:r>
      <w:r>
        <w:rPr>
          <w:lang w:val="ro-RO"/>
        </w:rPr>
        <w:t>,</w:t>
      </w:r>
      <w:r w:rsidRPr="001C3B31">
        <w:rPr>
          <w:lang w:val="ro-RO"/>
        </w:rPr>
        <w:t xml:space="preserve"> că beneficiile economice totale ale proiectului de amenajare a parcului și a unui loc de joacă au o valoare actualizată netă economică (VAN) de 423 389 RON, iar costurile totale au o VAN de 298 161 RON</w:t>
      </w:r>
      <w:r>
        <w:rPr>
          <w:lang w:val="ro-RO"/>
        </w:rPr>
        <w:t>.</w:t>
      </w:r>
      <w:r w:rsidRPr="001C3B31">
        <w:rPr>
          <w:lang w:val="ro-RO"/>
        </w:rPr>
        <w:t xml:space="preserve"> În consecință, proiectul are un </w:t>
      </w:r>
      <w:r w:rsidRPr="001C3B31">
        <w:rPr>
          <w:b/>
          <w:lang w:val="ro-RO"/>
        </w:rPr>
        <w:t>raport beneficiu-cost de 1.42</w:t>
      </w:r>
      <w:r w:rsidRPr="001C3B31">
        <w:rPr>
          <w:lang w:val="ro-RO"/>
        </w:rPr>
        <w:t>. Previziunile s-au realizat pornind de la o perioadă de implementare de 1 an, urmată de un orizont de exploatare a proiectului investițional de 20 de ani. Rata de actualizare economică utilizată pentru analiză este de 5</w:t>
      </w:r>
      <w:r>
        <w:rPr>
          <w:lang w:val="ro-RO"/>
        </w:rPr>
        <w:t xml:space="preserve"> </w:t>
      </w:r>
      <w:r w:rsidRPr="001C3B31">
        <w:rPr>
          <w:lang w:val="ro-RO"/>
        </w:rPr>
        <w:t>%.</w:t>
      </w:r>
    </w:p>
    <w:p w:rsidR="004B3372" w:rsidRPr="001C3B31" w:rsidRDefault="004B3372" w:rsidP="004B3372">
      <w:pPr>
        <w:rPr>
          <w:lang w:val="ro-RO"/>
        </w:rPr>
      </w:pPr>
      <w:r w:rsidRPr="001C3B31">
        <w:rPr>
          <w:lang w:val="ro-RO"/>
        </w:rPr>
        <w:t>Această valoare va fi aplicată pentru a estima beneficiile economice generate de fiecare leu cheltuit pentru implem</w:t>
      </w:r>
      <w:r>
        <w:rPr>
          <w:lang w:val="ro-RO"/>
        </w:rPr>
        <w:t>entarea proiectelor de renovare/</w:t>
      </w:r>
      <w:r w:rsidRPr="001C3B31">
        <w:rPr>
          <w:lang w:val="ro-RO"/>
        </w:rPr>
        <w:t xml:space="preserve">reabilitare a clădirilor publice și, mai general, a proiectelor de îmbunătățire și extindere a serviciilor locale de bază pentru populația rurală. Dat fiind faptul că raportul este mai mare decât 1, putem concluziona că acest tip de proiecte este, în general, </w:t>
      </w:r>
      <w:r w:rsidRPr="001C3B31">
        <w:rPr>
          <w:b/>
          <w:lang w:val="ro-RO"/>
        </w:rPr>
        <w:t>benefic pentru societate</w:t>
      </w:r>
      <w:r w:rsidRPr="001C3B31">
        <w:rPr>
          <w:lang w:val="ro-RO"/>
        </w:rPr>
        <w:t>.</w:t>
      </w:r>
    </w:p>
    <w:p w:rsidR="004B3372" w:rsidRPr="001C3B31" w:rsidRDefault="004B3372" w:rsidP="004B3372">
      <w:pPr>
        <w:pStyle w:val="Focus"/>
        <w:rPr>
          <w:lang w:val="ro-RO"/>
        </w:rPr>
      </w:pPr>
      <w:r w:rsidRPr="001C3B31">
        <w:rPr>
          <w:lang w:val="ro-RO"/>
        </w:rPr>
        <w:t>Natura beneficiilor și a costurilor:</w:t>
      </w:r>
    </w:p>
    <w:p w:rsidR="004B3372" w:rsidRPr="001C3B31" w:rsidRDefault="004B3372" w:rsidP="004B3372">
      <w:pPr>
        <w:rPr>
          <w:lang w:val="ro-RO"/>
        </w:rPr>
      </w:pPr>
      <w:r w:rsidRPr="001C3B31">
        <w:rPr>
          <w:lang w:val="ro-RO"/>
        </w:rPr>
        <w:t>Studiul de fezabilitate în cauză ia în calcul atât beneficiile financiare cât și cele sociale ale proiectului investițional respectiv.:</w:t>
      </w:r>
    </w:p>
    <w:p w:rsidR="004B3372" w:rsidRPr="001C3B31" w:rsidRDefault="004B3372" w:rsidP="004B3372">
      <w:pPr>
        <w:pStyle w:val="Bullet"/>
        <w:rPr>
          <w:lang w:val="ro-RO"/>
        </w:rPr>
      </w:pPr>
      <w:r w:rsidRPr="001C3B31">
        <w:rPr>
          <w:b/>
          <w:lang w:val="ro-RO"/>
        </w:rPr>
        <w:t xml:space="preserve">Diminuarea </w:t>
      </w:r>
      <w:r w:rsidRPr="001C3B31">
        <w:rPr>
          <w:bCs/>
          <w:lang w:val="ro-RO"/>
        </w:rPr>
        <w:t>costurilor de întreținere a spațiilor verzi</w:t>
      </w:r>
      <w:r>
        <w:rPr>
          <w:bCs/>
          <w:lang w:val="ro-RO"/>
        </w:rPr>
        <w:t>;</w:t>
      </w:r>
    </w:p>
    <w:p w:rsidR="004B3372" w:rsidRPr="001C3B31" w:rsidRDefault="004B3372" w:rsidP="004B3372">
      <w:pPr>
        <w:pStyle w:val="Bullet"/>
        <w:rPr>
          <w:lang w:val="ro-RO"/>
        </w:rPr>
      </w:pPr>
      <w:r w:rsidRPr="001C3B31">
        <w:rPr>
          <w:lang w:val="ro-RO"/>
        </w:rPr>
        <w:t>Venituri</w:t>
      </w:r>
      <w:r>
        <w:rPr>
          <w:lang w:val="ro-RO"/>
        </w:rPr>
        <w:t>le</w:t>
      </w:r>
      <w:r w:rsidRPr="001C3B31">
        <w:rPr>
          <w:lang w:val="ro-RO"/>
        </w:rPr>
        <w:t xml:space="preserve"> sociale din </w:t>
      </w:r>
      <w:r w:rsidRPr="001C3B31">
        <w:rPr>
          <w:b/>
          <w:bCs/>
          <w:lang w:val="ro-RO"/>
        </w:rPr>
        <w:t xml:space="preserve">folosirea terenului de baschet fără a plăti chirie. </w:t>
      </w:r>
    </w:p>
    <w:p w:rsidR="004B3372" w:rsidRPr="001C3B31" w:rsidRDefault="004B3372" w:rsidP="004B3372">
      <w:pPr>
        <w:pStyle w:val="Bullet"/>
        <w:numPr>
          <w:ilvl w:val="0"/>
          <w:numId w:val="0"/>
        </w:numPr>
        <w:rPr>
          <w:lang w:val="ro-RO"/>
        </w:rPr>
      </w:pPr>
      <w:r w:rsidRPr="001C3B31">
        <w:rPr>
          <w:lang w:val="ro-RO"/>
        </w:rPr>
        <w:t xml:space="preserve">Costurile acestui tip de proiect sunt alcătuite din </w:t>
      </w:r>
      <w:r w:rsidRPr="001C3B31">
        <w:rPr>
          <w:b/>
          <w:lang w:val="ro-RO"/>
        </w:rPr>
        <w:t xml:space="preserve">costurile de investiții </w:t>
      </w:r>
      <w:r w:rsidRPr="001C3B31">
        <w:rPr>
          <w:lang w:val="ro-RO"/>
        </w:rPr>
        <w:t xml:space="preserve">și </w:t>
      </w:r>
      <w:r w:rsidRPr="001C3B31">
        <w:rPr>
          <w:b/>
          <w:lang w:val="ro-RO"/>
        </w:rPr>
        <w:t xml:space="preserve">costurile suplimentare de operare și mentenanță </w:t>
      </w:r>
      <w:r w:rsidRPr="001C3B31">
        <w:rPr>
          <w:lang w:val="ro-RO"/>
        </w:rPr>
        <w:t xml:space="preserve">a parcului și a locului de joacă construit. </w:t>
      </w:r>
    </w:p>
    <w:p w:rsidR="004B3372" w:rsidRPr="007F0A8B" w:rsidRDefault="004B3372" w:rsidP="004B3372">
      <w:pPr>
        <w:pStyle w:val="Heading3"/>
        <w:numPr>
          <w:ilvl w:val="3"/>
          <w:numId w:val="24"/>
        </w:numPr>
        <w:ind w:left="284"/>
        <w:rPr>
          <w:color w:val="0070C0"/>
          <w:lang w:val="ro-RO"/>
        </w:rPr>
      </w:pPr>
      <w:bookmarkStart w:id="74" w:name="_Toc32964841"/>
      <w:r w:rsidRPr="007F0A8B">
        <w:rPr>
          <w:color w:val="0070C0"/>
          <w:lang w:val="ro-RO"/>
        </w:rPr>
        <w:t>Dezvoltarea potențialului cultural în mediul rural</w:t>
      </w:r>
      <w:bookmarkEnd w:id="74"/>
      <w:r w:rsidRPr="007F0A8B">
        <w:rPr>
          <w:color w:val="0070C0"/>
          <w:lang w:val="ro-RO"/>
        </w:rPr>
        <w:t xml:space="preserve"> </w:t>
      </w:r>
    </w:p>
    <w:p w:rsidR="004B3372" w:rsidRPr="001C3B31" w:rsidRDefault="004B3372" w:rsidP="004B3372">
      <w:pPr>
        <w:pStyle w:val="Focus"/>
        <w:rPr>
          <w:lang w:val="ro-RO"/>
        </w:rPr>
      </w:pPr>
      <w:r w:rsidRPr="001C3B31">
        <w:rPr>
          <w:lang w:val="ro-RO"/>
        </w:rPr>
        <w:t>Surse de informații:</w:t>
      </w:r>
    </w:p>
    <w:p w:rsidR="004B3372" w:rsidRPr="001C3B31" w:rsidRDefault="004B3372" w:rsidP="004B3372">
      <w:pPr>
        <w:rPr>
          <w:bCs/>
          <w:lang w:val="ro-RO"/>
        </w:rPr>
      </w:pPr>
      <w:r w:rsidRPr="001C3B31">
        <w:rPr>
          <w:lang w:val="ro-RO"/>
        </w:rPr>
        <w:t>Dezvoltarea potențialului cultural în mediul rural reprezintă un domeniu de intervenție ai cărui raport cost-beneficiu este destul de greu de evaluat. Principala problemă constă în greutatea monetizării beneficiilor generate de as</w:t>
      </w:r>
      <w:r>
        <w:rPr>
          <w:lang w:val="ro-RO"/>
        </w:rPr>
        <w:t>tfel de proiecte. Pentru analiză</w:t>
      </w:r>
      <w:r w:rsidRPr="001C3B31">
        <w:rPr>
          <w:lang w:val="ro-RO"/>
        </w:rPr>
        <w:t xml:space="preserve">, în scopul estimării raportului cost-beneficiu al </w:t>
      </w:r>
      <w:r w:rsidRPr="001C3B31">
        <w:rPr>
          <w:lang w:val="ro-RO"/>
        </w:rPr>
        <w:lastRenderedPageBreak/>
        <w:t xml:space="preserve">proiectelor de acest tip, am consultat </w:t>
      </w:r>
      <w:r w:rsidRPr="001C3B31">
        <w:rPr>
          <w:b/>
          <w:lang w:val="ro-RO"/>
        </w:rPr>
        <w:t>studiul de fezabilitate „Reabilitare şi extindere Cămin Cultural, localitatea componentă Slătinița, municipiul Bistriţa”</w:t>
      </w:r>
      <w:r w:rsidRPr="001C3B31">
        <w:rPr>
          <w:rStyle w:val="FootnoteReference"/>
          <w:b/>
          <w:lang w:val="ro-RO"/>
        </w:rPr>
        <w:footnoteReference w:id="21"/>
      </w:r>
      <w:r w:rsidRPr="001C3B31">
        <w:rPr>
          <w:bCs/>
          <w:lang w:val="ro-RO"/>
        </w:rPr>
        <w:t xml:space="preserve"> elaborat în anul 2018. </w:t>
      </w:r>
    </w:p>
    <w:p w:rsidR="004B3372" w:rsidRPr="001C3B31" w:rsidRDefault="004B3372" w:rsidP="004B3372">
      <w:pPr>
        <w:pStyle w:val="Focus"/>
        <w:rPr>
          <w:lang w:val="ro-RO"/>
        </w:rPr>
      </w:pPr>
      <w:r w:rsidRPr="001C3B31">
        <w:rPr>
          <w:lang w:val="ro-RO"/>
        </w:rPr>
        <w:t>Valoarea estimată:</w:t>
      </w:r>
    </w:p>
    <w:p w:rsidR="004B3372" w:rsidRPr="001C3B31" w:rsidRDefault="004B3372" w:rsidP="004B3372">
      <w:pPr>
        <w:rPr>
          <w:lang w:val="ro-RO"/>
        </w:rPr>
      </w:pPr>
      <w:r w:rsidRPr="001C3B31">
        <w:rPr>
          <w:lang w:val="ro-RO"/>
        </w:rPr>
        <w:t xml:space="preserve">Studiul de Fezabilitate al proiectului de </w:t>
      </w:r>
      <w:r>
        <w:rPr>
          <w:bCs/>
          <w:lang w:val="ro-RO"/>
        </w:rPr>
        <w:t>r</w:t>
      </w:r>
      <w:r w:rsidRPr="001C3B31">
        <w:rPr>
          <w:bCs/>
          <w:lang w:val="ro-RO"/>
        </w:rPr>
        <w:t>eabilitare şi extindere Cămin Cult</w:t>
      </w:r>
      <w:r>
        <w:rPr>
          <w:bCs/>
          <w:lang w:val="ro-RO"/>
        </w:rPr>
        <w:t>ural, localitatea componentă Slă</w:t>
      </w:r>
      <w:r w:rsidRPr="001C3B31">
        <w:rPr>
          <w:bCs/>
          <w:lang w:val="ro-RO"/>
        </w:rPr>
        <w:t>tiniţa, municipiul Bistriţa</w:t>
      </w:r>
      <w:r>
        <w:rPr>
          <w:bCs/>
          <w:lang w:val="ro-RO"/>
        </w:rPr>
        <w:t>,</w:t>
      </w:r>
      <w:r w:rsidRPr="001C3B31" w:rsidDel="00FC4393">
        <w:rPr>
          <w:lang w:val="ro-RO"/>
        </w:rPr>
        <w:t xml:space="preserve"> </w:t>
      </w:r>
      <w:r w:rsidRPr="001C3B31">
        <w:rPr>
          <w:lang w:val="ro-RO"/>
        </w:rPr>
        <w:t xml:space="preserve">relevă în cadrul analizei cost-beneficiu că beneficiile economice totale ale proiectului au o valoare actualizată netă economică (VAN) la finalul perioadei de analiză este negativă și constituie </w:t>
      </w:r>
      <w:r w:rsidRPr="001C3B31">
        <w:rPr>
          <w:b/>
          <w:bCs/>
          <w:lang w:val="ro-RO"/>
        </w:rPr>
        <w:t xml:space="preserve">– 3 001 704 RON </w:t>
      </w:r>
      <w:r w:rsidRPr="001C3B31">
        <w:rPr>
          <w:lang w:val="ro-RO"/>
        </w:rPr>
        <w:t>(la costul proiectului de 3 024 220 RON). Rata internă de rentabilitate a proiectului a fost estimată de 7.4</w:t>
      </w:r>
      <w:r>
        <w:rPr>
          <w:lang w:val="ro-RO"/>
        </w:rPr>
        <w:t xml:space="preserve"> </w:t>
      </w:r>
      <w:r w:rsidRPr="001C3B31">
        <w:rPr>
          <w:lang w:val="ro-RO"/>
        </w:rPr>
        <w:t>%, fiind inferioară rate</w:t>
      </w:r>
      <w:r>
        <w:rPr>
          <w:lang w:val="ro-RO"/>
        </w:rPr>
        <w:t>i</w:t>
      </w:r>
      <w:r w:rsidRPr="001C3B31">
        <w:rPr>
          <w:lang w:val="ro-RO"/>
        </w:rPr>
        <w:t xml:space="preserve"> de actualizare de 8</w:t>
      </w:r>
      <w:r>
        <w:rPr>
          <w:lang w:val="ro-RO"/>
        </w:rPr>
        <w:t xml:space="preserve"> </w:t>
      </w:r>
      <w:r w:rsidRPr="001C3B31">
        <w:rPr>
          <w:lang w:val="ro-RO"/>
        </w:rPr>
        <w:t xml:space="preserve">%. Totodată, raportul de beneficiu-cost fiind de </w:t>
      </w:r>
      <w:r w:rsidRPr="001C3B31">
        <w:rPr>
          <w:b/>
          <w:bCs/>
          <w:lang w:val="ro-RO"/>
        </w:rPr>
        <w:t>1.25</w:t>
      </w:r>
      <w:r>
        <w:rPr>
          <w:b/>
          <w:bCs/>
          <w:lang w:val="ro-RO"/>
        </w:rPr>
        <w:t>,</w:t>
      </w:r>
      <w:r w:rsidRPr="001C3B31">
        <w:rPr>
          <w:b/>
          <w:bCs/>
          <w:lang w:val="ro-RO"/>
        </w:rPr>
        <w:t xml:space="preserve"> calculată în baza încasărilor și cheltuielilor aferente exploatării proiectului. </w:t>
      </w:r>
    </w:p>
    <w:p w:rsidR="004B3372" w:rsidRPr="001C3B31" w:rsidRDefault="004B3372" w:rsidP="004B3372">
      <w:pPr>
        <w:rPr>
          <w:lang w:val="ro-RO"/>
        </w:rPr>
      </w:pPr>
      <w:r w:rsidRPr="001C3B31">
        <w:rPr>
          <w:lang w:val="ro-RO"/>
        </w:rPr>
        <w:t>Din analiza financiară a proiectului rezultă</w:t>
      </w:r>
      <w:r>
        <w:rPr>
          <w:lang w:val="ro-RO"/>
        </w:rPr>
        <w:t>,</w:t>
      </w:r>
      <w:r w:rsidRPr="001C3B31">
        <w:rPr>
          <w:lang w:val="ro-RO"/>
        </w:rPr>
        <w:t xml:space="preserve"> că veniturile de exploatare excedă cheltuielile aferente exploatării obiectului construit, fapt care indică ca exploatarea investiției este asigurată, fără însă ca valoarea investiției să poată fi susținută sau recuperată prin activitatea desfășurată. </w:t>
      </w:r>
    </w:p>
    <w:p w:rsidR="004B3372" w:rsidRPr="001C3B31" w:rsidRDefault="004B3372" w:rsidP="004B3372">
      <w:pPr>
        <w:pStyle w:val="Focus"/>
        <w:rPr>
          <w:lang w:val="ro-RO"/>
        </w:rPr>
      </w:pPr>
      <w:r w:rsidRPr="001C3B31">
        <w:rPr>
          <w:lang w:val="ro-RO"/>
        </w:rPr>
        <w:t>Natura beneficiilor și a costurilor:</w:t>
      </w:r>
    </w:p>
    <w:p w:rsidR="004B3372" w:rsidRPr="001C3B31" w:rsidRDefault="004B3372" w:rsidP="004B3372">
      <w:pPr>
        <w:rPr>
          <w:lang w:val="ro-RO"/>
        </w:rPr>
      </w:pPr>
      <w:r w:rsidRPr="001C3B31">
        <w:rPr>
          <w:lang w:val="ro-RO"/>
        </w:rPr>
        <w:t>Studiul de fezabilitate a luat în considerație directă doar beneficiile financiare. Acestea sunt:</w:t>
      </w:r>
    </w:p>
    <w:p w:rsidR="004B3372" w:rsidRPr="001C3B31" w:rsidRDefault="004B3372" w:rsidP="004B3372">
      <w:pPr>
        <w:pStyle w:val="Bullet"/>
        <w:rPr>
          <w:lang w:val="ro-RO"/>
        </w:rPr>
      </w:pPr>
      <w:r w:rsidRPr="001C3B31">
        <w:rPr>
          <w:lang w:val="ro-RO"/>
        </w:rPr>
        <w:t>Venituri din</w:t>
      </w:r>
      <w:r w:rsidRPr="001C3B31">
        <w:rPr>
          <w:b/>
          <w:lang w:val="ro-RO"/>
        </w:rPr>
        <w:t xml:space="preserve"> vânzări de bilete </w:t>
      </w:r>
      <w:r w:rsidRPr="001C3B31">
        <w:rPr>
          <w:lang w:val="ro-RO"/>
        </w:rPr>
        <w:t>de intrare pe teritoriul parcului de distracții</w:t>
      </w:r>
      <w:r>
        <w:rPr>
          <w:lang w:val="ro-RO"/>
        </w:rPr>
        <w:t>;</w:t>
      </w:r>
    </w:p>
    <w:p w:rsidR="004B3372" w:rsidRPr="001C3B31" w:rsidRDefault="004B3372" w:rsidP="004B3372">
      <w:pPr>
        <w:pStyle w:val="Bullet"/>
        <w:rPr>
          <w:lang w:val="ro-RO"/>
        </w:rPr>
      </w:pPr>
      <w:r w:rsidRPr="001C3B31">
        <w:rPr>
          <w:lang w:val="ro-RO"/>
        </w:rPr>
        <w:t xml:space="preserve">Venituri din </w:t>
      </w:r>
      <w:r w:rsidRPr="001C3B31">
        <w:rPr>
          <w:b/>
          <w:lang w:val="ro-RO"/>
        </w:rPr>
        <w:t>oferirea în chirie a echipamentului</w:t>
      </w:r>
      <w:r>
        <w:rPr>
          <w:b/>
          <w:lang w:val="ro-RO"/>
        </w:rPr>
        <w:t>;</w:t>
      </w:r>
    </w:p>
    <w:p w:rsidR="004B3372" w:rsidRPr="001C3B31" w:rsidRDefault="004B3372" w:rsidP="004B3372">
      <w:pPr>
        <w:pStyle w:val="Bullet"/>
        <w:rPr>
          <w:lang w:val="ro-RO"/>
        </w:rPr>
      </w:pPr>
      <w:r w:rsidRPr="001C3B31">
        <w:rPr>
          <w:lang w:val="ro-RO"/>
        </w:rPr>
        <w:t xml:space="preserve">Venituri din prestarea serviciilor de </w:t>
      </w:r>
      <w:r w:rsidRPr="001C3B31">
        <w:rPr>
          <w:b/>
          <w:lang w:val="ro-RO"/>
        </w:rPr>
        <w:t>publicitate</w:t>
      </w:r>
      <w:r>
        <w:rPr>
          <w:b/>
          <w:lang w:val="ro-RO"/>
        </w:rPr>
        <w:t>;</w:t>
      </w:r>
    </w:p>
    <w:p w:rsidR="004B3372" w:rsidRPr="001C3B31" w:rsidRDefault="004B3372" w:rsidP="004B3372">
      <w:pPr>
        <w:pStyle w:val="Bullet"/>
        <w:rPr>
          <w:lang w:val="ro-RO"/>
        </w:rPr>
      </w:pPr>
      <w:r w:rsidRPr="001C3B31">
        <w:rPr>
          <w:lang w:val="ro-RO"/>
        </w:rPr>
        <w:t xml:space="preserve">Venituri din activități de </w:t>
      </w:r>
      <w:r w:rsidRPr="001C3B31">
        <w:rPr>
          <w:b/>
          <w:lang w:val="ro-RO"/>
        </w:rPr>
        <w:t>instruire</w:t>
      </w:r>
      <w:r w:rsidRPr="001C3B31">
        <w:rPr>
          <w:lang w:val="ro-RO"/>
        </w:rPr>
        <w:t xml:space="preserve"> </w:t>
      </w:r>
      <w:r>
        <w:rPr>
          <w:lang w:val="ro-RO"/>
        </w:rPr>
        <w:t>pe tipuri</w:t>
      </w:r>
      <w:r w:rsidRPr="001C3B31">
        <w:rPr>
          <w:lang w:val="ro-RO"/>
        </w:rPr>
        <w:t xml:space="preserve"> de sport</w:t>
      </w:r>
      <w:r>
        <w:rPr>
          <w:lang w:val="ro-RO"/>
        </w:rPr>
        <w:t>.</w:t>
      </w:r>
    </w:p>
    <w:p w:rsidR="004B3372" w:rsidRPr="001C3B31" w:rsidRDefault="004B3372" w:rsidP="004B3372">
      <w:pPr>
        <w:pStyle w:val="Bullet"/>
        <w:numPr>
          <w:ilvl w:val="0"/>
          <w:numId w:val="0"/>
        </w:numPr>
        <w:rPr>
          <w:lang w:val="ro-RO"/>
        </w:rPr>
      </w:pPr>
      <w:r w:rsidRPr="001C3B31">
        <w:rPr>
          <w:lang w:val="ro-RO"/>
        </w:rPr>
        <w:t>Costurile acestui tip de proiect, luate în considerare în studiul de fezabilitate, sunt costuri investiționale și de operare, și anume:</w:t>
      </w:r>
    </w:p>
    <w:p w:rsidR="004B3372" w:rsidRPr="001C3B31" w:rsidRDefault="004B3372" w:rsidP="004B3372">
      <w:pPr>
        <w:pStyle w:val="Bullet"/>
        <w:rPr>
          <w:lang w:val="ro-RO"/>
        </w:rPr>
      </w:pPr>
      <w:r w:rsidRPr="001C3B31">
        <w:rPr>
          <w:lang w:val="ro-RO"/>
        </w:rPr>
        <w:t>Cheltuieli cu personalul (care ar trebui diminuate în analiza economică pentru a ține cont de reducerea șomajului)</w:t>
      </w:r>
      <w:r>
        <w:rPr>
          <w:lang w:val="ro-RO"/>
        </w:rPr>
        <w:t>;</w:t>
      </w:r>
    </w:p>
    <w:p w:rsidR="004B3372" w:rsidRPr="001C3B31" w:rsidRDefault="004B3372" w:rsidP="004B3372">
      <w:pPr>
        <w:pStyle w:val="Bullet"/>
        <w:rPr>
          <w:lang w:val="ro-RO"/>
        </w:rPr>
      </w:pPr>
      <w:r w:rsidRPr="001C3B31">
        <w:rPr>
          <w:lang w:val="ro-RO"/>
        </w:rPr>
        <w:t>Cheltuieli cu energia electrică</w:t>
      </w:r>
      <w:r>
        <w:rPr>
          <w:lang w:val="ro-RO"/>
        </w:rPr>
        <w:t>;</w:t>
      </w:r>
    </w:p>
    <w:p w:rsidR="004B3372" w:rsidRPr="001C3B31" w:rsidRDefault="004B3372" w:rsidP="004B3372">
      <w:pPr>
        <w:pStyle w:val="Bullet"/>
        <w:rPr>
          <w:lang w:val="ro-RO"/>
        </w:rPr>
      </w:pPr>
      <w:r w:rsidRPr="001C3B31">
        <w:rPr>
          <w:lang w:val="ro-RO"/>
        </w:rPr>
        <w:t>Cheltuieli cu poșta, telecomunicații, radio, TV, internet</w:t>
      </w:r>
      <w:r>
        <w:rPr>
          <w:lang w:val="ro-RO"/>
        </w:rPr>
        <w:t>;</w:t>
      </w:r>
    </w:p>
    <w:p w:rsidR="004B3372" w:rsidRPr="001C3B31" w:rsidRDefault="004B3372" w:rsidP="004B3372">
      <w:pPr>
        <w:pStyle w:val="Bullet"/>
        <w:rPr>
          <w:lang w:val="ro-RO"/>
        </w:rPr>
      </w:pPr>
      <w:r w:rsidRPr="001C3B31">
        <w:rPr>
          <w:lang w:val="ro-RO"/>
        </w:rPr>
        <w:t>Cheltuieli de mentenanță</w:t>
      </w:r>
      <w:r>
        <w:rPr>
          <w:lang w:val="ro-RO"/>
        </w:rPr>
        <w:t>;</w:t>
      </w:r>
    </w:p>
    <w:p w:rsidR="004B3372" w:rsidRPr="001C3B31" w:rsidRDefault="004B3372" w:rsidP="004B3372">
      <w:pPr>
        <w:pStyle w:val="Bullet"/>
        <w:rPr>
          <w:lang w:val="ro-RO"/>
        </w:rPr>
      </w:pPr>
      <w:r w:rsidRPr="001C3B31">
        <w:rPr>
          <w:lang w:val="ro-RO"/>
        </w:rPr>
        <w:t>Cheltuieli cu consumabile</w:t>
      </w:r>
      <w:r>
        <w:rPr>
          <w:lang w:val="ro-RO"/>
        </w:rPr>
        <w:t>;</w:t>
      </w:r>
    </w:p>
    <w:p w:rsidR="004B3372" w:rsidRPr="001C3B31" w:rsidRDefault="004B3372" w:rsidP="004B3372">
      <w:pPr>
        <w:pStyle w:val="Bullet"/>
        <w:rPr>
          <w:lang w:val="ro-RO"/>
        </w:rPr>
      </w:pPr>
      <w:r w:rsidRPr="001C3B31">
        <w:rPr>
          <w:lang w:val="ro-RO"/>
        </w:rPr>
        <w:t>Cheltuieli de salubrizare</w:t>
      </w:r>
      <w:r>
        <w:rPr>
          <w:lang w:val="ro-RO"/>
        </w:rPr>
        <w:t>;</w:t>
      </w:r>
    </w:p>
    <w:p w:rsidR="004B3372" w:rsidRPr="001C3B31" w:rsidRDefault="004B3372" w:rsidP="004B3372">
      <w:pPr>
        <w:pStyle w:val="Bullet"/>
        <w:rPr>
          <w:lang w:val="ro-RO"/>
        </w:rPr>
      </w:pPr>
      <w:r w:rsidRPr="001C3B31">
        <w:rPr>
          <w:lang w:val="ro-RO"/>
        </w:rPr>
        <w:t>Cheltuieli de transport</w:t>
      </w:r>
      <w:r>
        <w:rPr>
          <w:lang w:val="ro-RO"/>
        </w:rPr>
        <w:t>;</w:t>
      </w:r>
    </w:p>
    <w:p w:rsidR="004B3372" w:rsidRPr="001C3B31" w:rsidRDefault="004B3372" w:rsidP="004B3372">
      <w:pPr>
        <w:pStyle w:val="Bullet"/>
        <w:rPr>
          <w:lang w:val="ro-RO"/>
        </w:rPr>
      </w:pPr>
      <w:r w:rsidRPr="001C3B31">
        <w:rPr>
          <w:lang w:val="ro-RO"/>
        </w:rPr>
        <w:t>Cheltuieli cu apa tehnică</w:t>
      </w:r>
      <w:r>
        <w:rPr>
          <w:lang w:val="ro-RO"/>
        </w:rPr>
        <w:t>;</w:t>
      </w:r>
    </w:p>
    <w:p w:rsidR="004B3372" w:rsidRPr="001C3B31" w:rsidRDefault="004B3372" w:rsidP="004B3372">
      <w:pPr>
        <w:pStyle w:val="Bullet"/>
        <w:rPr>
          <w:lang w:val="ro-RO"/>
        </w:rPr>
      </w:pPr>
      <w:r w:rsidRPr="001C3B31">
        <w:rPr>
          <w:lang w:val="ro-RO"/>
        </w:rPr>
        <w:t>Cheltuieli cu agentul termic</w:t>
      </w:r>
      <w:r>
        <w:rPr>
          <w:lang w:val="ro-RO"/>
        </w:rPr>
        <w:t>.</w:t>
      </w:r>
    </w:p>
    <w:p w:rsidR="004B3372" w:rsidRPr="001C3B31" w:rsidRDefault="004B3372" w:rsidP="004B3372">
      <w:pPr>
        <w:pStyle w:val="Bullet"/>
        <w:numPr>
          <w:ilvl w:val="0"/>
          <w:numId w:val="0"/>
        </w:numPr>
        <w:rPr>
          <w:lang w:val="ro-RO"/>
        </w:rPr>
      </w:pPr>
      <w:r w:rsidRPr="001C3B31">
        <w:rPr>
          <w:lang w:val="ro-RO"/>
        </w:rPr>
        <w:t xml:space="preserve">În același timp este important de menționat faptul că proiectul </w:t>
      </w:r>
      <w:r>
        <w:rPr>
          <w:lang w:val="ro-RO"/>
        </w:rPr>
        <w:t>respectiv face parte din categoria</w:t>
      </w:r>
      <w:r w:rsidRPr="001C3B31">
        <w:rPr>
          <w:lang w:val="ro-RO"/>
        </w:rPr>
        <w:t xml:space="preserve"> proiectelor sociale</w:t>
      </w:r>
      <w:r>
        <w:rPr>
          <w:lang w:val="ro-RO"/>
        </w:rPr>
        <w:t>,</w:t>
      </w:r>
      <w:r w:rsidRPr="001C3B31">
        <w:rPr>
          <w:lang w:val="ro-RO"/>
        </w:rPr>
        <w:t xml:space="preserve"> ai cărui menire de bază constă în crearea condițiilor favorabile pentru dezvoltarea socială și culturală a comunității. Mai mult de</w:t>
      </w:r>
      <w:r>
        <w:rPr>
          <w:lang w:val="ro-RO"/>
        </w:rPr>
        <w:t>cât</w:t>
      </w:r>
      <w:r w:rsidRPr="001C3B31">
        <w:rPr>
          <w:lang w:val="ro-RO"/>
        </w:rPr>
        <w:t xml:space="preserve"> atât, având în vedere orientarea socială a proiectului monetizarea completă a beneficiilor generate este greu de estimat, fapt care ne permite să presupunem, cu o înaltă probabilitate, că raportul beneficiu-cost real al acestui tip de proiecte este superior celui prezentat mai sus.</w:t>
      </w:r>
      <w:r>
        <w:rPr>
          <w:lang w:val="ro-RO"/>
        </w:rPr>
        <w:t xml:space="preserve"> </w:t>
      </w:r>
    </w:p>
    <w:p w:rsidR="004B3372" w:rsidRPr="001C3B31" w:rsidRDefault="004B3372" w:rsidP="004B3372">
      <w:pPr>
        <w:pStyle w:val="Bullet"/>
        <w:numPr>
          <w:ilvl w:val="0"/>
          <w:numId w:val="0"/>
        </w:numPr>
        <w:rPr>
          <w:lang w:val="ro-RO"/>
        </w:rPr>
      </w:pPr>
    </w:p>
    <w:p w:rsidR="004B3372" w:rsidRPr="007F0A8B" w:rsidRDefault="004B3372" w:rsidP="004B3372">
      <w:pPr>
        <w:pStyle w:val="Heading3"/>
        <w:numPr>
          <w:ilvl w:val="3"/>
          <w:numId w:val="24"/>
        </w:numPr>
        <w:ind w:left="284"/>
        <w:rPr>
          <w:color w:val="0070C0"/>
          <w:lang w:val="ro-RO"/>
        </w:rPr>
      </w:pPr>
      <w:bookmarkStart w:id="75" w:name="_Toc32515787"/>
      <w:bookmarkStart w:id="76" w:name="_Toc32964842"/>
      <w:r w:rsidRPr="007F0A8B">
        <w:rPr>
          <w:color w:val="0070C0"/>
          <w:lang w:val="ro-RO"/>
        </w:rPr>
        <w:t>Dezvoltarea și promovarea serviciilor și activităților de turism rural şi a activităților în aer liber</w:t>
      </w:r>
      <w:bookmarkEnd w:id="75"/>
      <w:bookmarkEnd w:id="76"/>
      <w:r w:rsidRPr="007F0A8B">
        <w:rPr>
          <w:color w:val="0070C0"/>
          <w:lang w:val="ro-RO"/>
        </w:rPr>
        <w:t xml:space="preserve"> </w:t>
      </w:r>
    </w:p>
    <w:p w:rsidR="004B3372" w:rsidRPr="001C3B31" w:rsidRDefault="004B3372" w:rsidP="004B3372">
      <w:pPr>
        <w:pStyle w:val="Focus"/>
        <w:rPr>
          <w:lang w:val="ro-RO"/>
        </w:rPr>
      </w:pPr>
      <w:r w:rsidRPr="001C3B31">
        <w:rPr>
          <w:lang w:val="ro-RO"/>
        </w:rPr>
        <w:t>Surse de informații:</w:t>
      </w:r>
    </w:p>
    <w:p w:rsidR="004B3372" w:rsidRPr="001C3B31" w:rsidRDefault="004B3372" w:rsidP="004B3372">
      <w:pPr>
        <w:rPr>
          <w:lang w:val="ro-RO"/>
        </w:rPr>
      </w:pPr>
      <w:r w:rsidRPr="001C3B31">
        <w:rPr>
          <w:lang w:val="ro-RO"/>
        </w:rPr>
        <w:t xml:space="preserve">Pentru a estima raportul beneficiu-cost al proiectelor de dezvoltare și promovare a serviciilor și activităților de turism rural şi a activităților în aer liber, am consultat </w:t>
      </w:r>
      <w:r w:rsidRPr="001C3B31">
        <w:rPr>
          <w:b/>
          <w:lang w:val="ro-RO"/>
        </w:rPr>
        <w:t xml:space="preserve">studiile de fezabilitate ale </w:t>
      </w:r>
      <w:r w:rsidRPr="001C3B31">
        <w:rPr>
          <w:b/>
          <w:lang w:val="ro-RO"/>
        </w:rPr>
        <w:lastRenderedPageBreak/>
        <w:t>proiectelor de construcție a stațiunilor turistice rurale din România</w:t>
      </w:r>
      <w:r w:rsidRPr="001C3B31">
        <w:rPr>
          <w:lang w:val="ro-RO"/>
        </w:rPr>
        <w:t>. Din păcate, în Republica Moldova asemenea studii de fezabilitate nu au fost identificate.</w:t>
      </w:r>
    </w:p>
    <w:p w:rsidR="004B3372" w:rsidRPr="001C3B31" w:rsidRDefault="004B3372" w:rsidP="004B3372">
      <w:pPr>
        <w:pStyle w:val="Focus"/>
        <w:rPr>
          <w:lang w:val="ro-RO"/>
        </w:rPr>
      </w:pPr>
      <w:r w:rsidRPr="001C3B31">
        <w:rPr>
          <w:lang w:val="ro-RO"/>
        </w:rPr>
        <w:t>Valoarea estimată:</w:t>
      </w:r>
    </w:p>
    <w:p w:rsidR="004B3372" w:rsidRPr="001C3B31" w:rsidRDefault="004B3372" w:rsidP="004B3372">
      <w:pPr>
        <w:rPr>
          <w:lang w:val="ro-RO"/>
        </w:rPr>
      </w:pPr>
      <w:r w:rsidRPr="001C3B31">
        <w:rPr>
          <w:lang w:val="ro-RO"/>
        </w:rPr>
        <w:t>Studiul de Fezabilitate pentru proiectul „Înființarea centrului de informare și promovare a turismului rural „Țara Codrului”</w:t>
      </w:r>
      <w:r w:rsidRPr="001C3B31">
        <w:rPr>
          <w:rStyle w:val="FootnoteReference"/>
          <w:lang w:val="ro-RO"/>
        </w:rPr>
        <w:t xml:space="preserve"> </w:t>
      </w:r>
      <w:r w:rsidRPr="001C3B31">
        <w:rPr>
          <w:rStyle w:val="FootnoteReference"/>
          <w:lang w:val="ro-RO"/>
        </w:rPr>
        <w:footnoteReference w:id="22"/>
      </w:r>
      <w:r w:rsidRPr="001C3B31">
        <w:rPr>
          <w:lang w:val="ro-RO"/>
        </w:rPr>
        <w:t>, implementat în localitatea Ariniș, județul Maramureș</w:t>
      </w:r>
      <w:r>
        <w:rPr>
          <w:lang w:val="ro-RO"/>
        </w:rPr>
        <w:t>,</w:t>
      </w:r>
      <w:r w:rsidRPr="001C3B31">
        <w:rPr>
          <w:lang w:val="ro-RO"/>
        </w:rPr>
        <w:t xml:space="preserve"> în anul 2015” relevă în cadrul analizei cost-beneficiu că beneficiile economice totale ale proiectului au o valoare actualizată netă (VAN) economică de 1.44 milioane RON, iar costurile totale au o VAN economică de 1.56 milioane RON. În consecință, proiectul are un </w:t>
      </w:r>
      <w:r w:rsidRPr="001C3B31">
        <w:rPr>
          <w:b/>
          <w:lang w:val="ro-RO"/>
        </w:rPr>
        <w:t xml:space="preserve">raport beneficiu-cost </w:t>
      </w:r>
      <w:r>
        <w:rPr>
          <w:b/>
          <w:lang w:val="ro-RO"/>
        </w:rPr>
        <w:t xml:space="preserve">de </w:t>
      </w:r>
      <w:r w:rsidRPr="001C3B31">
        <w:rPr>
          <w:b/>
          <w:lang w:val="ro-RO"/>
        </w:rPr>
        <w:t>0.92</w:t>
      </w:r>
      <w:r w:rsidRPr="001C3B31">
        <w:rPr>
          <w:lang w:val="ro-RO"/>
        </w:rPr>
        <w:t>. Previziunile s-au realizat pornind de la o perioadă de implementare de 1 an, urmată de un orizont de exploatare de 20 ani. Rata de actualizare economică utilizată pentru analiză este de 8</w:t>
      </w:r>
      <w:r>
        <w:rPr>
          <w:lang w:val="ro-RO"/>
        </w:rPr>
        <w:t xml:space="preserve"> </w:t>
      </w:r>
      <w:r w:rsidRPr="001C3B31">
        <w:rPr>
          <w:lang w:val="ro-RO"/>
        </w:rPr>
        <w:t>%.</w:t>
      </w:r>
    </w:p>
    <w:p w:rsidR="004B3372" w:rsidRPr="001C3B31" w:rsidRDefault="004B3372" w:rsidP="004B3372">
      <w:pPr>
        <w:rPr>
          <w:lang w:val="ro-RO"/>
        </w:rPr>
      </w:pPr>
      <w:r w:rsidRPr="001C3B31">
        <w:rPr>
          <w:lang w:val="ro-RO"/>
        </w:rPr>
        <w:t>Această valoare va fi aplicată pentru a estima beneficiile economice generate de fiecare leu cheltuit pentru implementarea proiectelor de dezvoltare și promovare a serviciilor și activităților de turism rural şi a activităților în aer liber. Dat fiind faptul că raportul este cu puțin mai mic decât 1, putem concluziona</w:t>
      </w:r>
      <w:r>
        <w:rPr>
          <w:lang w:val="ro-RO"/>
        </w:rPr>
        <w:t>,</w:t>
      </w:r>
      <w:r w:rsidRPr="001C3B31">
        <w:rPr>
          <w:lang w:val="ro-RO"/>
        </w:rPr>
        <w:t xml:space="preserve"> că acest tip de proiecte este în </w:t>
      </w:r>
      <w:r>
        <w:rPr>
          <w:lang w:val="ro-RO"/>
        </w:rPr>
        <w:t xml:space="preserve">funcție </w:t>
      </w:r>
      <w:r w:rsidRPr="001C3B31">
        <w:rPr>
          <w:lang w:val="ro-RO"/>
        </w:rPr>
        <w:t>de condițiile specifice pentru fiecare proiect în parte, pot fi benefice pentru comunitate.</w:t>
      </w:r>
    </w:p>
    <w:p w:rsidR="004B3372" w:rsidRPr="001C3B31" w:rsidRDefault="004B3372" w:rsidP="004B3372">
      <w:pPr>
        <w:pStyle w:val="Focus"/>
        <w:rPr>
          <w:lang w:val="ro-RO"/>
        </w:rPr>
      </w:pPr>
      <w:r w:rsidRPr="001C3B31">
        <w:rPr>
          <w:lang w:val="ro-RO"/>
        </w:rPr>
        <w:t>Natura beneficiilor și a costurilor:</w:t>
      </w:r>
    </w:p>
    <w:p w:rsidR="004B3372" w:rsidRPr="001C3B31" w:rsidRDefault="004B3372" w:rsidP="004B3372">
      <w:pPr>
        <w:rPr>
          <w:lang w:val="ro-RO"/>
        </w:rPr>
      </w:pPr>
      <w:r w:rsidRPr="001C3B31">
        <w:rPr>
          <w:lang w:val="ro-RO"/>
        </w:rPr>
        <w:t>Beneficiile acestui tip de proiect, relevate în cadrul studiului de fezabilitate, sunt atât de natură financiară directă, cât și de natură economică indirectă:</w:t>
      </w:r>
    </w:p>
    <w:p w:rsidR="004B3372" w:rsidRPr="001C3B31" w:rsidRDefault="004B3372" w:rsidP="004B3372">
      <w:pPr>
        <w:pStyle w:val="Bullet"/>
        <w:rPr>
          <w:lang w:val="ro-RO"/>
        </w:rPr>
      </w:pPr>
      <w:r w:rsidRPr="001C3B31">
        <w:rPr>
          <w:lang w:val="ro-RO"/>
        </w:rPr>
        <w:t xml:space="preserve">Beneficiile financiare – adică </w:t>
      </w:r>
      <w:r w:rsidRPr="001C3B31">
        <w:rPr>
          <w:b/>
          <w:lang w:val="ro-RO"/>
        </w:rPr>
        <w:t>veniturile generate de creșterea numărului turiștilor în zonă</w:t>
      </w:r>
      <w:r w:rsidRPr="001C3B31">
        <w:rPr>
          <w:lang w:val="ro-RO"/>
        </w:rPr>
        <w:t>– alcătuiesc cea mare parte din beneficiile totale (65.5</w:t>
      </w:r>
      <w:r>
        <w:rPr>
          <w:lang w:val="ro-RO"/>
        </w:rPr>
        <w:t xml:space="preserve"> </w:t>
      </w:r>
      <w:r w:rsidRPr="001C3B31">
        <w:rPr>
          <w:lang w:val="ro-RO"/>
        </w:rPr>
        <w:t>%).</w:t>
      </w:r>
    </w:p>
    <w:p w:rsidR="004B3372" w:rsidRPr="001C3B31" w:rsidRDefault="004B3372" w:rsidP="004B3372">
      <w:pPr>
        <w:pStyle w:val="Bullet"/>
        <w:rPr>
          <w:lang w:val="ro-RO"/>
        </w:rPr>
      </w:pPr>
      <w:r>
        <w:rPr>
          <w:lang w:val="ro-RO"/>
        </w:rPr>
        <w:t>O categorie</w:t>
      </w:r>
      <w:r w:rsidRPr="001C3B31">
        <w:rPr>
          <w:lang w:val="ro-RO"/>
        </w:rPr>
        <w:t xml:space="preserve"> de beneficii economice suplimentare rezultă din creșterea generală a turismului în regiune</w:t>
      </w:r>
      <w:r>
        <w:rPr>
          <w:lang w:val="ro-RO"/>
        </w:rPr>
        <w:t>, drept</w:t>
      </w:r>
      <w:r w:rsidRPr="001C3B31">
        <w:rPr>
          <w:lang w:val="ro-RO"/>
        </w:rPr>
        <w:t xml:space="preserve"> urmare a construcției stației turistice. Aceste beneficii au fost cuantificate sub formă de </w:t>
      </w:r>
      <w:r w:rsidRPr="001C3B31">
        <w:rPr>
          <w:b/>
          <w:lang w:val="ro-RO"/>
        </w:rPr>
        <w:t>venituri suplimentare din servicii de cazare și alimentație publică</w:t>
      </w:r>
      <w:r w:rsidRPr="001C3B31">
        <w:rPr>
          <w:lang w:val="ro-RO"/>
        </w:rPr>
        <w:t xml:space="preserve"> prestate în comunele din vecinătate și constituie </w:t>
      </w:r>
      <w:r>
        <w:rPr>
          <w:lang w:val="ro-RO"/>
        </w:rPr>
        <w:t xml:space="preserve"> </w:t>
      </w:r>
      <w:r w:rsidRPr="001C3B31">
        <w:rPr>
          <w:lang w:val="ro-RO"/>
        </w:rPr>
        <w:t>34.2</w:t>
      </w:r>
      <w:r>
        <w:rPr>
          <w:lang w:val="ro-RO"/>
        </w:rPr>
        <w:t xml:space="preserve"> </w:t>
      </w:r>
      <w:r w:rsidRPr="001C3B31">
        <w:rPr>
          <w:lang w:val="ro-RO"/>
        </w:rPr>
        <w:t>% din VAN economică totală a beneficiilor.</w:t>
      </w:r>
    </w:p>
    <w:p w:rsidR="004B3372" w:rsidRPr="001C3B31" w:rsidRDefault="004B3372" w:rsidP="004B3372">
      <w:pPr>
        <w:pStyle w:val="Bullet"/>
        <w:rPr>
          <w:lang w:val="ro-RO"/>
        </w:rPr>
      </w:pPr>
      <w:r w:rsidRPr="001C3B31">
        <w:rPr>
          <w:lang w:val="ro-RO"/>
        </w:rPr>
        <w:t xml:space="preserve">Alte beneficii mai puțin semnificative rezultă din </w:t>
      </w:r>
      <w:r w:rsidRPr="001C3B31">
        <w:rPr>
          <w:b/>
          <w:lang w:val="ro-RO"/>
        </w:rPr>
        <w:t>corecții fiscale</w:t>
      </w:r>
      <w:r w:rsidRPr="001C3B31">
        <w:rPr>
          <w:lang w:val="ro-RO"/>
        </w:rPr>
        <w:t xml:space="preserve"> – ajustările efectuate asupra fluxului financiar pentru a transforma prețurile din piețele distorsionate în echivalentele ipotetice dintr-o piață competitivă, precum și excluderea transferurilor de la o categorie socială la alta (taxe, impozite).   Acestea reprezintă 0.2</w:t>
      </w:r>
      <w:r>
        <w:rPr>
          <w:lang w:val="ro-RO"/>
        </w:rPr>
        <w:t xml:space="preserve"> </w:t>
      </w:r>
      <w:r w:rsidRPr="001C3B31">
        <w:rPr>
          <w:lang w:val="ro-RO"/>
        </w:rPr>
        <w:t>% din beneficiile totale.</w:t>
      </w:r>
    </w:p>
    <w:p w:rsidR="004B3372" w:rsidRPr="001C3B31" w:rsidRDefault="004B3372" w:rsidP="004B3372">
      <w:pPr>
        <w:pStyle w:val="Bullet"/>
        <w:numPr>
          <w:ilvl w:val="0"/>
          <w:numId w:val="0"/>
        </w:numPr>
        <w:rPr>
          <w:lang w:val="ro-RO"/>
        </w:rPr>
      </w:pPr>
      <w:r w:rsidRPr="001C3B31">
        <w:rPr>
          <w:lang w:val="ro-RO"/>
        </w:rPr>
        <w:t xml:space="preserve">Costurile acestui tip de proiect sunt următoarele: </w:t>
      </w:r>
    </w:p>
    <w:p w:rsidR="004B3372" w:rsidRPr="001C3B31" w:rsidRDefault="004B3372" w:rsidP="004B3372">
      <w:pPr>
        <w:pStyle w:val="Bullet"/>
        <w:rPr>
          <w:lang w:val="ro-RO"/>
        </w:rPr>
      </w:pPr>
      <w:r w:rsidRPr="001C3B31">
        <w:rPr>
          <w:b/>
          <w:lang w:val="ro-RO"/>
        </w:rPr>
        <w:t>Costurile pentru realizarea investiției</w:t>
      </w:r>
      <w:r w:rsidRPr="001C3B31">
        <w:rPr>
          <w:lang w:val="ro-RO"/>
        </w:rPr>
        <w:t>, suportate în anul 1 al orizontului de referință, alcătuiesc 30.5</w:t>
      </w:r>
      <w:r>
        <w:rPr>
          <w:lang w:val="ro-RO"/>
        </w:rPr>
        <w:t xml:space="preserve"> </w:t>
      </w:r>
      <w:r w:rsidRPr="001C3B31">
        <w:rPr>
          <w:lang w:val="ro-RO"/>
        </w:rPr>
        <w:t>% din VAN economică totală a costurilor (dacă se ia în calcul și valoarea reziduală a investiției la sfârșitul orizontului de referință).</w:t>
      </w:r>
    </w:p>
    <w:p w:rsidR="004B3372" w:rsidRPr="001C3B31" w:rsidRDefault="004B3372" w:rsidP="004B3372">
      <w:pPr>
        <w:pStyle w:val="Bullet"/>
        <w:rPr>
          <w:lang w:val="ro-RO"/>
        </w:rPr>
      </w:pPr>
      <w:r w:rsidRPr="001C3B31">
        <w:rPr>
          <w:b/>
          <w:lang w:val="ro-RO"/>
        </w:rPr>
        <w:t>Costurile operaționale pentru exploatarea obiectivului</w:t>
      </w:r>
      <w:r w:rsidRPr="001C3B31">
        <w:rPr>
          <w:lang w:val="ro-RO"/>
        </w:rPr>
        <w:t xml:space="preserve">  pe</w:t>
      </w:r>
      <w:r>
        <w:rPr>
          <w:lang w:val="ro-RO"/>
        </w:rPr>
        <w:t>ntru</w:t>
      </w:r>
      <w:r w:rsidRPr="001C3B31">
        <w:rPr>
          <w:lang w:val="ro-RO"/>
        </w:rPr>
        <w:t xml:space="preserve"> o perioadă de 20 ani reprezintă 69.5</w:t>
      </w:r>
      <w:r>
        <w:rPr>
          <w:lang w:val="ro-RO"/>
        </w:rPr>
        <w:t xml:space="preserve"> </w:t>
      </w:r>
      <w:r w:rsidRPr="001C3B31">
        <w:rPr>
          <w:lang w:val="ro-RO"/>
        </w:rPr>
        <w:t>% din costurile economice totale.</w:t>
      </w:r>
    </w:p>
    <w:p w:rsidR="004B3372" w:rsidRPr="007F0A8B" w:rsidRDefault="004B3372" w:rsidP="004B3372">
      <w:pPr>
        <w:pStyle w:val="Heading3"/>
        <w:numPr>
          <w:ilvl w:val="2"/>
          <w:numId w:val="24"/>
        </w:numPr>
        <w:rPr>
          <w:color w:val="0070C0"/>
          <w:lang w:val="ro-RO"/>
        </w:rPr>
      </w:pPr>
      <w:bookmarkStart w:id="77" w:name="_Toc32515788"/>
      <w:bookmarkStart w:id="78" w:name="_Toc32964843"/>
      <w:r w:rsidRPr="007F0A8B">
        <w:rPr>
          <w:color w:val="0070C0"/>
          <w:lang w:val="ro-RO"/>
        </w:rPr>
        <w:t>Administrarea Grupului de acțiune Locală</w:t>
      </w:r>
      <w:bookmarkEnd w:id="77"/>
      <w:bookmarkEnd w:id="78"/>
    </w:p>
    <w:p w:rsidR="004B3372" w:rsidRPr="001C3B31" w:rsidRDefault="004B3372" w:rsidP="004B3372">
      <w:pPr>
        <w:rPr>
          <w:lang w:val="ro-RO"/>
        </w:rPr>
      </w:pPr>
      <w:r w:rsidRPr="001C3B31">
        <w:rPr>
          <w:lang w:val="ro-RO"/>
        </w:rPr>
        <w:t xml:space="preserve">Propunerea de Politici Publice analizată prevede implementarea unei măsuri de subvenționare specifice, care prevede existența unui intermediar între beneficiarul final al proiectului și instituția finanțatoare – AIPA. </w:t>
      </w:r>
    </w:p>
    <w:p w:rsidR="004B3372" w:rsidRPr="001C3B31" w:rsidRDefault="004B3372" w:rsidP="004B3372">
      <w:pPr>
        <w:rPr>
          <w:lang w:val="ro-RO"/>
        </w:rPr>
      </w:pPr>
      <w:r w:rsidRPr="001C3B31">
        <w:rPr>
          <w:lang w:val="ro-RO"/>
        </w:rPr>
        <w:t>În acest caz intermediarul este reprezentat de Grupul de Acțiune Locală, o entitate cu personalitate juridică, formată din membrii mai multor comunități rurale și/sau urbane, care urmărește dezvolta</w:t>
      </w:r>
      <w:r>
        <w:rPr>
          <w:lang w:val="ro-RO"/>
        </w:rPr>
        <w:t>rea și implementarea Strategiilor</w:t>
      </w:r>
      <w:r w:rsidRPr="001C3B31">
        <w:rPr>
          <w:lang w:val="ro-RO"/>
        </w:rPr>
        <w:t xml:space="preserve"> de </w:t>
      </w:r>
      <w:r>
        <w:rPr>
          <w:lang w:val="ro-RO"/>
        </w:rPr>
        <w:t>Dezvoltare Locală (SDL). SDL-</w:t>
      </w:r>
      <w:r w:rsidRPr="001C3B31">
        <w:rPr>
          <w:lang w:val="ro-RO"/>
        </w:rPr>
        <w:t>le</w:t>
      </w:r>
      <w:r>
        <w:rPr>
          <w:lang w:val="ro-RO"/>
        </w:rPr>
        <w:t>,</w:t>
      </w:r>
      <w:r w:rsidRPr="001C3B31">
        <w:rPr>
          <w:lang w:val="ro-RO"/>
        </w:rPr>
        <w:t xml:space="preserve"> la rândul lor</w:t>
      </w:r>
      <w:r>
        <w:rPr>
          <w:lang w:val="ro-RO"/>
        </w:rPr>
        <w:t>,</w:t>
      </w:r>
      <w:r w:rsidRPr="001C3B31">
        <w:rPr>
          <w:lang w:val="ro-RO"/>
        </w:rPr>
        <w:t xml:space="preserve"> includ proiecte în domeniile</w:t>
      </w:r>
      <w:r>
        <w:rPr>
          <w:lang w:val="ro-RO"/>
        </w:rPr>
        <w:t>,</w:t>
      </w:r>
      <w:r w:rsidRPr="001C3B31">
        <w:rPr>
          <w:lang w:val="ro-RO"/>
        </w:rPr>
        <w:t xml:space="preserve"> ale căror cost-b</w:t>
      </w:r>
      <w:r>
        <w:rPr>
          <w:lang w:val="ro-RO"/>
        </w:rPr>
        <w:t>eneficiu a fost analizat în sub</w:t>
      </w:r>
      <w:r w:rsidRPr="001C3B31">
        <w:rPr>
          <w:lang w:val="ro-RO"/>
        </w:rPr>
        <w:t xml:space="preserve">capitolele precedente. </w:t>
      </w:r>
    </w:p>
    <w:p w:rsidR="004B3372" w:rsidRPr="001C3B31" w:rsidRDefault="004B3372" w:rsidP="004B3372">
      <w:pPr>
        <w:rPr>
          <w:lang w:val="ro-RO"/>
        </w:rPr>
      </w:pPr>
      <w:r w:rsidRPr="001C3B31">
        <w:rPr>
          <w:lang w:val="ro-RO"/>
        </w:rPr>
        <w:t xml:space="preserve">În calitate de entitate cu personalitate juridică, GAL-urile urmează să poarte costuri administrative pentru evaluarea cererilor de proiect din partea beneficiarilor, monitorizarea implementării, elaborarea rapoartelor de analiză, etc. </w:t>
      </w:r>
    </w:p>
    <w:p w:rsidR="004B3372" w:rsidRPr="001C3B31" w:rsidRDefault="004B3372" w:rsidP="004B3372">
      <w:pPr>
        <w:rPr>
          <w:lang w:val="ro-RO"/>
        </w:rPr>
      </w:pPr>
      <w:r w:rsidRPr="001C3B31">
        <w:rPr>
          <w:lang w:val="ro-RO"/>
        </w:rPr>
        <w:lastRenderedPageBreak/>
        <w:t>În urma aplicării instrumentelor de evaluare, inclusiv interviuri, chestionare și discuții în grup, membrii GAL-urilor existente la momentul de față au menționat că suma anuală necesară pentru o bună administrare a GAL-ului variază între 200 și 600 mii MDL. Mai mult de</w:t>
      </w:r>
      <w:r>
        <w:rPr>
          <w:lang w:val="ro-RO"/>
        </w:rPr>
        <w:t>cât</w:t>
      </w:r>
      <w:r w:rsidRPr="001C3B31">
        <w:rPr>
          <w:lang w:val="ro-RO"/>
        </w:rPr>
        <w:t xml:space="preserve"> atât, în urma consultărilor cu MADRM s-a constat că valoarea estimativă a costurilor administrat</w:t>
      </w:r>
      <w:r>
        <w:rPr>
          <w:lang w:val="ro-RO"/>
        </w:rPr>
        <w:t xml:space="preserve">ive ale GAL-ului constituie cca </w:t>
      </w:r>
      <w:r w:rsidRPr="001C3B31">
        <w:rPr>
          <w:lang w:val="ro-RO"/>
        </w:rPr>
        <w:t xml:space="preserve"> 20</w:t>
      </w:r>
      <w:r>
        <w:rPr>
          <w:lang w:val="ro-RO"/>
        </w:rPr>
        <w:t xml:space="preserve"> </w:t>
      </w:r>
      <w:r w:rsidRPr="001C3B31">
        <w:rPr>
          <w:lang w:val="ro-RO"/>
        </w:rPr>
        <w:t>% din valoarea totală a finanțării</w:t>
      </w:r>
      <w:r>
        <w:rPr>
          <w:lang w:val="ro-RO"/>
        </w:rPr>
        <w:t xml:space="preserve">, </w:t>
      </w:r>
      <w:r w:rsidRPr="001C3B31">
        <w:rPr>
          <w:lang w:val="ro-RO"/>
        </w:rPr>
        <w:t xml:space="preserve"> în baza măsurii de subvenționare prevăzută de PPP-ul analizat. </w:t>
      </w:r>
    </w:p>
    <w:p w:rsidR="004B3372" w:rsidRPr="001C3B31" w:rsidRDefault="004B3372" w:rsidP="004B3372">
      <w:pPr>
        <w:pStyle w:val="Focus"/>
        <w:rPr>
          <w:lang w:val="ro-RO"/>
        </w:rPr>
      </w:pPr>
      <w:r w:rsidRPr="001C3B31">
        <w:rPr>
          <w:lang w:val="ro-RO"/>
        </w:rPr>
        <w:t>Surse de informații:</w:t>
      </w:r>
    </w:p>
    <w:p w:rsidR="004B3372" w:rsidRPr="001C3B31" w:rsidRDefault="004B3372" w:rsidP="004B3372">
      <w:pPr>
        <w:rPr>
          <w:lang w:val="ro-RO"/>
        </w:rPr>
      </w:pPr>
      <w:r w:rsidRPr="001C3B31">
        <w:rPr>
          <w:lang w:val="ro-RO"/>
        </w:rPr>
        <w:t>Pentru a estima raportul beneficiu-cost al cheltuielilor legate de administrarea GAL-urilor, am consultat rezultatele activității financiare a Grupului de Acțiune Locală „Plaiul Codrilor”, care în anul 2019 a beneficiat de suport financiar prin cadrul Programului FGM 2019, finanțat de Solidarity Fund PL in Moldova. Analiza raportului cost-beneficiu a fost realizată reieșind din cheltuielile administrative suportate de către GAL „Plaiul Codrilor” și valoarea cofinanțării atrase peste valoarea minimă admisibilă de cofinanțare în valoare de 30</w:t>
      </w:r>
      <w:r>
        <w:rPr>
          <w:lang w:val="ro-RO"/>
        </w:rPr>
        <w:t xml:space="preserve"> </w:t>
      </w:r>
      <w:r w:rsidRPr="001C3B31">
        <w:rPr>
          <w:lang w:val="ro-RO"/>
        </w:rPr>
        <w:t xml:space="preserve">%. </w:t>
      </w:r>
    </w:p>
    <w:p w:rsidR="004B3372" w:rsidRPr="001C3B31" w:rsidRDefault="004B3372" w:rsidP="004B3372">
      <w:pPr>
        <w:pStyle w:val="Focus"/>
        <w:rPr>
          <w:lang w:val="ro-RO"/>
        </w:rPr>
      </w:pPr>
      <w:r w:rsidRPr="001C3B31">
        <w:rPr>
          <w:lang w:val="ro-RO"/>
        </w:rPr>
        <w:t>Valoarea estimată:</w:t>
      </w:r>
    </w:p>
    <w:p w:rsidR="004B3372" w:rsidRPr="001C3B31" w:rsidRDefault="004B3372" w:rsidP="004B3372">
      <w:pPr>
        <w:rPr>
          <w:lang w:val="ro-RO"/>
        </w:rPr>
      </w:pPr>
      <w:r w:rsidRPr="001C3B31">
        <w:rPr>
          <w:lang w:val="ro-RO"/>
        </w:rPr>
        <w:t>Analiza rezultatelor financiare ale Grupului de Acțiune Locală „Plaiul Codrilor”</w:t>
      </w:r>
      <w:r>
        <w:rPr>
          <w:lang w:val="ro-RO"/>
        </w:rPr>
        <w:t>,</w:t>
      </w:r>
      <w:r w:rsidRPr="001C3B31">
        <w:rPr>
          <w:lang w:val="ro-RO"/>
        </w:rPr>
        <w:t xml:space="preserve"> în urma implementării proiectelor de dezvoltare rurală</w:t>
      </w:r>
      <w:r>
        <w:rPr>
          <w:lang w:val="ro-RO"/>
        </w:rPr>
        <w:t>,</w:t>
      </w:r>
      <w:r w:rsidRPr="001C3B31">
        <w:rPr>
          <w:lang w:val="ro-RO"/>
        </w:rPr>
        <w:t xml:space="preserve"> </w:t>
      </w:r>
      <w:r>
        <w:rPr>
          <w:lang w:val="ro-RO"/>
        </w:rPr>
        <w:t>demonstrează</w:t>
      </w:r>
      <w:r w:rsidRPr="001C3B31">
        <w:rPr>
          <w:lang w:val="ro-RO"/>
        </w:rPr>
        <w:t xml:space="preserve"> următoarele. Valoarea totală a suportului financiar obținut din sursele FGM 2019 a constituit 350 000 MDL. În același timp</w:t>
      </w:r>
      <w:r>
        <w:rPr>
          <w:lang w:val="ro-RO"/>
        </w:rPr>
        <w:t>,</w:t>
      </w:r>
      <w:r w:rsidRPr="001C3B31">
        <w:rPr>
          <w:lang w:val="ro-RO"/>
        </w:rPr>
        <w:t xml:space="preserve"> din totalul de 350 000 MDL, pentru acoperirea cheltuielilor administrative ale GAL-ului au fost folosite 20</w:t>
      </w:r>
      <w:r>
        <w:rPr>
          <w:lang w:val="ro-RO"/>
        </w:rPr>
        <w:t xml:space="preserve"> </w:t>
      </w:r>
      <w:r w:rsidRPr="001C3B31">
        <w:rPr>
          <w:lang w:val="ro-RO"/>
        </w:rPr>
        <w:t xml:space="preserve">% sau 70 000 MDL, restul 280 000 MDL fiind distribuții în calitate de finanțare beneficiarilor pentru implementarea proiectelor. </w:t>
      </w:r>
    </w:p>
    <w:p w:rsidR="004B3372" w:rsidRPr="001C3B31" w:rsidRDefault="004B3372" w:rsidP="004B3372">
      <w:pPr>
        <w:rPr>
          <w:lang w:val="ro-RO"/>
        </w:rPr>
      </w:pPr>
      <w:r w:rsidRPr="001C3B31">
        <w:rPr>
          <w:lang w:val="ro-RO"/>
        </w:rPr>
        <w:t>Reieșind din condițiile programului de finanțare FGM 2019, obținerea finanțării din sursele GAL-ului puteau fi realizate de către beneficiari doar cu condiția cofinanțări de cel puțin 30</w:t>
      </w:r>
      <w:r>
        <w:rPr>
          <w:lang w:val="ro-RO"/>
        </w:rPr>
        <w:t xml:space="preserve"> </w:t>
      </w:r>
      <w:r w:rsidRPr="001C3B31">
        <w:rPr>
          <w:lang w:val="ro-RO"/>
        </w:rPr>
        <w:t xml:space="preserve">% din valoarea totală a proiectului. Astfel, valoarea totală </w:t>
      </w:r>
      <w:r>
        <w:rPr>
          <w:lang w:val="ro-RO"/>
        </w:rPr>
        <w:t xml:space="preserve">a </w:t>
      </w:r>
      <w:r w:rsidRPr="001C3B31">
        <w:rPr>
          <w:lang w:val="ro-RO"/>
        </w:rPr>
        <w:t>cofinanțărilor ce urmau a fi atrase pentru valorificarea a 280 000 MDL era de 120 000 MDL. Cu toate acestea</w:t>
      </w:r>
      <w:r>
        <w:rPr>
          <w:lang w:val="ro-RO"/>
        </w:rPr>
        <w:t>,</w:t>
      </w:r>
      <w:r w:rsidRPr="001C3B31">
        <w:rPr>
          <w:lang w:val="ro-RO"/>
        </w:rPr>
        <w:t xml:space="preserve"> rapoartele de implementare a proiectului </w:t>
      </w:r>
      <w:r>
        <w:rPr>
          <w:lang w:val="ro-RO"/>
        </w:rPr>
        <w:t>demonstrează</w:t>
      </w:r>
      <w:r w:rsidRPr="001C3B31">
        <w:rPr>
          <w:lang w:val="ro-RO"/>
        </w:rPr>
        <w:t xml:space="preserve"> că beneficiarii proiectelo</w:t>
      </w:r>
      <w:r>
        <w:rPr>
          <w:lang w:val="ro-RO"/>
        </w:rPr>
        <w:t xml:space="preserve">r au contribuit cu 253 150 MDL </w:t>
      </w:r>
      <w:r w:rsidRPr="001C3B31">
        <w:rPr>
          <w:lang w:val="ro-RO"/>
        </w:rPr>
        <w:t xml:space="preserve">sau cu 133 150 MDL peste valoarea minimă admisă. </w:t>
      </w:r>
    </w:p>
    <w:p w:rsidR="004B3372" w:rsidRPr="001C3B31" w:rsidRDefault="004B3372" w:rsidP="004B3372">
      <w:pPr>
        <w:rPr>
          <w:lang w:val="ro-RO"/>
        </w:rPr>
      </w:pPr>
      <w:r w:rsidRPr="001C3B31">
        <w:rPr>
          <w:lang w:val="ro-RO"/>
        </w:rPr>
        <w:t xml:space="preserve">În consecință, proiectul are un </w:t>
      </w:r>
      <w:r w:rsidRPr="001C3B31">
        <w:rPr>
          <w:b/>
          <w:lang w:val="ro-RO"/>
        </w:rPr>
        <w:t xml:space="preserve">raport beneficiu-cost de 1.9 </w:t>
      </w:r>
      <w:r w:rsidRPr="001C3B31">
        <w:rPr>
          <w:bCs/>
          <w:lang w:val="ro-RO"/>
        </w:rPr>
        <w:t>al utilizării resurselor pentru administrarea fondurilor de către GAL</w:t>
      </w:r>
      <w:r w:rsidRPr="001C3B31">
        <w:rPr>
          <w:lang w:val="ro-RO"/>
        </w:rPr>
        <w:t xml:space="preserve">. </w:t>
      </w:r>
    </w:p>
    <w:p w:rsidR="004B3372" w:rsidRPr="001C3B31" w:rsidRDefault="004B3372" w:rsidP="004B3372">
      <w:pPr>
        <w:rPr>
          <w:lang w:val="ro-RO"/>
        </w:rPr>
      </w:pPr>
      <w:r w:rsidRPr="001C3B31">
        <w:rPr>
          <w:lang w:val="ro-RO"/>
        </w:rPr>
        <w:t xml:space="preserve">Suplimentar la beneficiile luate în calcul la stabilirea raportului cost-beneficiu, printr-o administrare eficientă, GAL-urile dispun de suficientă capacitate pentru a atrage fonduri din surse externe pentru implementarea proiectelor din Strategia lor de Dezvoltare Locală. </w:t>
      </w:r>
    </w:p>
    <w:p w:rsidR="004B3372" w:rsidRPr="001C3B31" w:rsidRDefault="004B3372" w:rsidP="004B3372">
      <w:pPr>
        <w:pStyle w:val="Focus"/>
        <w:rPr>
          <w:lang w:val="ro-RO"/>
        </w:rPr>
      </w:pPr>
      <w:r w:rsidRPr="001C3B31">
        <w:rPr>
          <w:lang w:val="ro-RO"/>
        </w:rPr>
        <w:t>Natura beneficiilor și a costurilor:</w:t>
      </w:r>
    </w:p>
    <w:p w:rsidR="004B3372" w:rsidRPr="001C3B31" w:rsidRDefault="004B3372" w:rsidP="004B3372">
      <w:pPr>
        <w:rPr>
          <w:lang w:val="ro-RO"/>
        </w:rPr>
      </w:pPr>
      <w:r w:rsidRPr="001C3B31">
        <w:rPr>
          <w:lang w:val="ro-RO"/>
        </w:rPr>
        <w:t>Beneficiile utilizării resurselor pentru administrarea GAL-urilor, sunt atât de natură financiară directă, cât și de natură economică indirectă:</w:t>
      </w:r>
    </w:p>
    <w:p w:rsidR="004B3372" w:rsidRPr="001C3B31" w:rsidRDefault="004B3372" w:rsidP="004B3372">
      <w:pPr>
        <w:pStyle w:val="Bullet"/>
        <w:rPr>
          <w:lang w:val="ro-RO"/>
        </w:rPr>
      </w:pPr>
      <w:r w:rsidRPr="001C3B31">
        <w:rPr>
          <w:lang w:val="ro-RO"/>
        </w:rPr>
        <w:t>Beneficiile financiare reprezintă sumele atrase în calitate de cofinanțare peste limita minimă acceptată</w:t>
      </w:r>
      <w:r>
        <w:rPr>
          <w:lang w:val="ro-RO"/>
        </w:rPr>
        <w:t>;</w:t>
      </w:r>
    </w:p>
    <w:p w:rsidR="004B3372" w:rsidRPr="001C3B31" w:rsidRDefault="004B3372" w:rsidP="004B3372">
      <w:pPr>
        <w:pStyle w:val="Bullet"/>
        <w:rPr>
          <w:lang w:val="ro-RO"/>
        </w:rPr>
      </w:pPr>
      <w:r w:rsidRPr="001C3B31">
        <w:rPr>
          <w:lang w:val="ro-RO"/>
        </w:rPr>
        <w:t>Alte beneficii financiare reprezintă finanțările atrase de către GAL-uri din surse externe pentru finanțarea proiectelor implementate în cadrul SDL.</w:t>
      </w:r>
    </w:p>
    <w:p w:rsidR="004B3372" w:rsidRPr="001C3B31" w:rsidRDefault="004B3372" w:rsidP="004B3372">
      <w:pPr>
        <w:pStyle w:val="Bullet"/>
        <w:numPr>
          <w:ilvl w:val="0"/>
          <w:numId w:val="0"/>
        </w:numPr>
        <w:rPr>
          <w:lang w:val="ro-RO"/>
        </w:rPr>
      </w:pPr>
      <w:r w:rsidRPr="001C3B31">
        <w:rPr>
          <w:lang w:val="ro-RO"/>
        </w:rPr>
        <w:t xml:space="preserve">Costurile acestui tip de proiect sunt următoarele: </w:t>
      </w:r>
    </w:p>
    <w:p w:rsidR="004B3372" w:rsidRPr="001C3B31" w:rsidRDefault="004B3372" w:rsidP="004B3372">
      <w:pPr>
        <w:pStyle w:val="Bullet"/>
        <w:rPr>
          <w:bCs/>
          <w:lang w:val="ro-RO"/>
        </w:rPr>
      </w:pPr>
      <w:r>
        <w:rPr>
          <w:bCs/>
          <w:lang w:val="ro-RO"/>
        </w:rPr>
        <w:t>Unicele</w:t>
      </w:r>
      <w:r w:rsidRPr="001C3B31">
        <w:rPr>
          <w:bCs/>
          <w:lang w:val="ro-RO"/>
        </w:rPr>
        <w:t xml:space="preserve"> costuri sunt reprezentante de costurile de administrare ale GAL-ului, care reprezintă în cea mai mare măsură costuri de salarizare, restul fiind costuri de transport, costuri de audit extern, etc. </w:t>
      </w:r>
    </w:p>
    <w:p w:rsidR="004B3372" w:rsidRPr="007F0A8B" w:rsidRDefault="004B3372" w:rsidP="004B3372">
      <w:pPr>
        <w:pStyle w:val="Heading3"/>
        <w:numPr>
          <w:ilvl w:val="2"/>
          <w:numId w:val="24"/>
        </w:numPr>
        <w:rPr>
          <w:color w:val="0070C0"/>
          <w:lang w:val="ro-RO"/>
        </w:rPr>
      </w:pPr>
      <w:bookmarkStart w:id="79" w:name="_Toc32515789"/>
      <w:bookmarkStart w:id="80" w:name="_Toc32964844"/>
      <w:r w:rsidRPr="007F0A8B">
        <w:rPr>
          <w:color w:val="0070C0"/>
          <w:lang w:val="ro-RO"/>
        </w:rPr>
        <w:t>Ponderea domeniilor de acțiune</w:t>
      </w:r>
      <w:bookmarkEnd w:id="79"/>
      <w:bookmarkEnd w:id="80"/>
      <w:r w:rsidRPr="007F0A8B">
        <w:rPr>
          <w:color w:val="0070C0"/>
          <w:lang w:val="ro-RO"/>
        </w:rPr>
        <w:t xml:space="preserve"> </w:t>
      </w:r>
    </w:p>
    <w:p w:rsidR="004B3372" w:rsidRPr="001C3B31" w:rsidRDefault="004B3372" w:rsidP="004B3372">
      <w:pPr>
        <w:pStyle w:val="Bullet"/>
        <w:numPr>
          <w:ilvl w:val="0"/>
          <w:numId w:val="0"/>
        </w:numPr>
        <w:spacing w:after="120"/>
        <w:rPr>
          <w:lang w:val="ro-RO"/>
        </w:rPr>
      </w:pPr>
      <w:r w:rsidRPr="001C3B31">
        <w:rPr>
          <w:lang w:val="ro-RO"/>
        </w:rPr>
        <w:t>Din cele 5</w:t>
      </w:r>
      <w:r>
        <w:rPr>
          <w:lang w:val="ro-RO"/>
        </w:rPr>
        <w:t xml:space="preserve"> </w:t>
      </w:r>
      <w:r w:rsidRPr="001C3B31">
        <w:rPr>
          <w:lang w:val="ro-RO"/>
        </w:rPr>
        <w:t>% din FNDAMR</w:t>
      </w:r>
      <w:r>
        <w:rPr>
          <w:lang w:val="ro-RO"/>
        </w:rPr>
        <w:t>,</w:t>
      </w:r>
      <w:r w:rsidRPr="001C3B31">
        <w:rPr>
          <w:lang w:val="ro-RO"/>
        </w:rPr>
        <w:t xml:space="preserve"> 1</w:t>
      </w:r>
      <w:r>
        <w:rPr>
          <w:lang w:val="ro-RO"/>
        </w:rPr>
        <w:t xml:space="preserve"> </w:t>
      </w:r>
      <w:r w:rsidRPr="001C3B31">
        <w:rPr>
          <w:lang w:val="ro-RO"/>
        </w:rPr>
        <w:t>% urmează să fie rezervat din start pentru acoperirea costurilor administrative ale GAL-urilor. Restul 4</w:t>
      </w:r>
      <w:r>
        <w:rPr>
          <w:lang w:val="ro-RO"/>
        </w:rPr>
        <w:t xml:space="preserve"> </w:t>
      </w:r>
      <w:r w:rsidRPr="001C3B31">
        <w:rPr>
          <w:lang w:val="ro-RO"/>
        </w:rPr>
        <w:t>% vor fi acordate pentru finanțarea diferitor tipuri de proiecte, conform domeniilor de acțiune expuse și cu raporturile beneficiu-cost estimate mai sus. Ponderea fiecărui domeniu de acțiune în raportul beneficiu-cost total este proporțională cu suma fondurilor respective alocate.</w:t>
      </w:r>
    </w:p>
    <w:p w:rsidR="004B3372" w:rsidRPr="001C3B31" w:rsidRDefault="004B3372" w:rsidP="004B3372">
      <w:pPr>
        <w:pStyle w:val="Bullet"/>
        <w:numPr>
          <w:ilvl w:val="0"/>
          <w:numId w:val="0"/>
        </w:numPr>
        <w:spacing w:after="120"/>
        <w:rPr>
          <w:lang w:val="ro-RO"/>
        </w:rPr>
      </w:pPr>
      <w:r w:rsidRPr="001C3B31">
        <w:rPr>
          <w:lang w:val="ro-RO"/>
        </w:rPr>
        <w:lastRenderedPageBreak/>
        <w:t xml:space="preserve">În </w:t>
      </w:r>
      <w:r>
        <w:rPr>
          <w:lang w:val="ro-RO"/>
        </w:rPr>
        <w:t xml:space="preserve">rezultatul </w:t>
      </w:r>
      <w:r w:rsidRPr="001C3B31">
        <w:rPr>
          <w:lang w:val="ro-RO"/>
        </w:rPr>
        <w:t>consultărilor cu reprezentații MADRM s-a constatat</w:t>
      </w:r>
      <w:r>
        <w:rPr>
          <w:lang w:val="ro-RO"/>
        </w:rPr>
        <w:t>,</w:t>
      </w:r>
      <w:r w:rsidRPr="001C3B31">
        <w:rPr>
          <w:lang w:val="ro-RO"/>
        </w:rPr>
        <w:t xml:space="preserve"> că mijloacele alocate în baza măsurii </w:t>
      </w:r>
      <w:r>
        <w:rPr>
          <w:lang w:val="ro-RO"/>
        </w:rPr>
        <w:t>respective</w:t>
      </w:r>
      <w:r w:rsidRPr="001C3B31">
        <w:rPr>
          <w:lang w:val="ro-RO"/>
        </w:rPr>
        <w:t xml:space="preserve"> urmează să fie distribuite de către GAL-uri în baza propriilor Strategii de Dezvoltare Locală. Totuși, condițiile generale pentru finanțare de către GAL-uri prevăd alocarea a cel puțin 50</w:t>
      </w:r>
      <w:r>
        <w:rPr>
          <w:lang w:val="ro-RO"/>
        </w:rPr>
        <w:t xml:space="preserve"> </w:t>
      </w:r>
      <w:r w:rsidRPr="001C3B31">
        <w:rPr>
          <w:lang w:val="ro-RO"/>
        </w:rPr>
        <w:t xml:space="preserve">% din finanțare pentru proiecte care urmăresc dezvoltarea economică în mediul rural.  </w:t>
      </w:r>
    </w:p>
    <w:p w:rsidR="004B3372" w:rsidRPr="001C3B31" w:rsidRDefault="004B3372" w:rsidP="004B3372">
      <w:pPr>
        <w:pStyle w:val="Bullet"/>
        <w:numPr>
          <w:ilvl w:val="0"/>
          <w:numId w:val="0"/>
        </w:numPr>
        <w:spacing w:after="120"/>
        <w:rPr>
          <w:lang w:val="ro-RO"/>
        </w:rPr>
      </w:pPr>
      <w:r w:rsidRPr="001C3B31">
        <w:rPr>
          <w:lang w:val="ro-RO"/>
        </w:rPr>
        <w:t>Astfel, la ponderarea domeniilor de acțiune s-a ținut cont de acest aspect, considerându-se că 50</w:t>
      </w:r>
      <w:r>
        <w:rPr>
          <w:lang w:val="ro-RO"/>
        </w:rPr>
        <w:t xml:space="preserve"> </w:t>
      </w:r>
      <w:r w:rsidRPr="001C3B31">
        <w:rPr>
          <w:lang w:val="ro-RO"/>
        </w:rPr>
        <w:t>%</w:t>
      </w:r>
      <w:r>
        <w:rPr>
          <w:lang w:val="ro-RO"/>
        </w:rPr>
        <w:t xml:space="preserve"> din valoarea tuturor finanțărilor</w:t>
      </w:r>
      <w:r w:rsidRPr="001C3B31">
        <w:rPr>
          <w:lang w:val="ro-RO"/>
        </w:rPr>
        <w:t xml:space="preserve"> va fi utilizată pentru proiectele de dezvoltare economică. Pentru restul tipurilor de proiecte am făcut presupunerea unei </w:t>
      </w:r>
      <w:r w:rsidRPr="001C3B31">
        <w:rPr>
          <w:b/>
          <w:lang w:val="ro-RO"/>
        </w:rPr>
        <w:t>distribuții egale</w:t>
      </w:r>
      <w:r w:rsidRPr="001C3B31">
        <w:rPr>
          <w:lang w:val="ro-RO"/>
        </w:rPr>
        <w:t xml:space="preserve"> între domeniile de acțiune. </w:t>
      </w:r>
    </w:p>
    <w:p w:rsidR="004B3372" w:rsidRPr="001C3B31" w:rsidRDefault="004B3372" w:rsidP="004B3372">
      <w:pPr>
        <w:pStyle w:val="Bullet"/>
        <w:numPr>
          <w:ilvl w:val="0"/>
          <w:numId w:val="0"/>
        </w:numPr>
        <w:spacing w:after="120"/>
        <w:rPr>
          <w:lang w:val="ro-RO"/>
        </w:rPr>
      </w:pPr>
      <w:r w:rsidRPr="001C3B31">
        <w:rPr>
          <w:lang w:val="ro-RO"/>
        </w:rPr>
        <w:t xml:space="preserve">O totalizare poate fi văzută în tabelul de mai jos: </w:t>
      </w:r>
    </w:p>
    <w:p w:rsidR="004B3372" w:rsidRPr="001C3B31" w:rsidRDefault="004B3372" w:rsidP="004B3372">
      <w:pPr>
        <w:pStyle w:val="Caption"/>
        <w:framePr w:wrap="around"/>
        <w:rPr>
          <w:lang w:val="ro-RO"/>
        </w:rPr>
      </w:pPr>
      <w:r w:rsidRPr="001C3B31">
        <w:rPr>
          <w:lang w:val="ro-RO"/>
        </w:rPr>
        <w:t>TABELUL 9. totalizarea raporturilor beneficiu-cost</w:t>
      </w:r>
    </w:p>
    <w:tbl>
      <w:tblPr>
        <w:tblStyle w:val="Civittatable"/>
        <w:tblW w:w="4369" w:type="pct"/>
        <w:tblLook w:val="04A0" w:firstRow="1" w:lastRow="0" w:firstColumn="1" w:lastColumn="0" w:noHBand="0" w:noVBand="1"/>
      </w:tblPr>
      <w:tblGrid>
        <w:gridCol w:w="4627"/>
        <w:gridCol w:w="1868"/>
        <w:gridCol w:w="1868"/>
      </w:tblGrid>
      <w:tr w:rsidR="004B3372" w:rsidRPr="001C3B31" w:rsidTr="00B50045">
        <w:trPr>
          <w:cnfStyle w:val="100000000000" w:firstRow="1" w:lastRow="0" w:firstColumn="0" w:lastColumn="0" w:oddVBand="0" w:evenVBand="0" w:oddHBand="0" w:evenHBand="0" w:firstRowFirstColumn="0" w:firstRowLastColumn="0" w:lastRowFirstColumn="0" w:lastRowLastColumn="0"/>
          <w:trHeight w:val="540"/>
        </w:trPr>
        <w:tc>
          <w:tcPr>
            <w:tcW w:w="2766" w:type="pct"/>
            <w:hideMark/>
          </w:tcPr>
          <w:p w:rsidR="004B3372" w:rsidRPr="001C3B31" w:rsidRDefault="004B3372" w:rsidP="00B50045">
            <w:pPr>
              <w:spacing w:after="60"/>
              <w:jc w:val="left"/>
              <w:rPr>
                <w:rFonts w:eastAsia="Times New Roman" w:cstheme="minorHAnsi"/>
                <w:b/>
                <w:bCs/>
                <w:sz w:val="23"/>
                <w:szCs w:val="23"/>
                <w:lang w:val="ro-RO" w:eastAsia="lt-LT"/>
              </w:rPr>
            </w:pPr>
            <w:r w:rsidRPr="001C3B31">
              <w:rPr>
                <w:rFonts w:eastAsia="Times New Roman" w:cstheme="minorHAnsi"/>
                <w:b/>
                <w:szCs w:val="20"/>
                <w:lang w:val="ro-RO" w:eastAsia="lt-LT"/>
              </w:rPr>
              <w:t>Tipul de proiect</w:t>
            </w:r>
          </w:p>
        </w:tc>
        <w:tc>
          <w:tcPr>
            <w:tcW w:w="1117" w:type="pct"/>
          </w:tcPr>
          <w:p w:rsidR="004B3372" w:rsidRPr="001C3B31" w:rsidRDefault="004B3372" w:rsidP="00B50045">
            <w:pPr>
              <w:spacing w:after="60"/>
              <w:jc w:val="left"/>
              <w:rPr>
                <w:rFonts w:eastAsia="Times New Roman" w:cstheme="minorHAnsi"/>
                <w:b/>
                <w:szCs w:val="20"/>
                <w:lang w:val="ro-RO" w:eastAsia="lt-LT"/>
              </w:rPr>
            </w:pPr>
            <w:r w:rsidRPr="001C3B31">
              <w:rPr>
                <w:rFonts w:eastAsia="Times New Roman" w:cstheme="minorHAnsi"/>
                <w:b/>
                <w:szCs w:val="20"/>
                <w:lang w:val="ro-RO" w:eastAsia="lt-LT"/>
              </w:rPr>
              <w:t>Raportul beneficiu-cost</w:t>
            </w:r>
          </w:p>
        </w:tc>
        <w:tc>
          <w:tcPr>
            <w:tcW w:w="1117" w:type="pct"/>
          </w:tcPr>
          <w:p w:rsidR="004B3372" w:rsidRPr="001C3B31" w:rsidRDefault="004B3372" w:rsidP="00B50045">
            <w:pPr>
              <w:spacing w:after="60"/>
              <w:jc w:val="left"/>
              <w:rPr>
                <w:rFonts w:eastAsia="Times New Roman" w:cstheme="minorHAnsi"/>
                <w:b/>
                <w:szCs w:val="20"/>
                <w:lang w:val="ro-RO" w:eastAsia="lt-LT"/>
              </w:rPr>
            </w:pPr>
            <w:r w:rsidRPr="001C3B31">
              <w:rPr>
                <w:rFonts w:eastAsia="Times New Roman" w:cstheme="minorHAnsi"/>
                <w:b/>
                <w:szCs w:val="20"/>
                <w:lang w:val="ro-RO" w:eastAsia="lt-LT"/>
              </w:rPr>
              <w:t>% din totalul fndamr</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87"/>
        </w:trPr>
        <w:tc>
          <w:tcPr>
            <w:tcW w:w="2766" w:type="pct"/>
          </w:tcPr>
          <w:p w:rsidR="004B3372" w:rsidRPr="001C3B31"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Administrarea GAL</w:t>
            </w:r>
          </w:p>
        </w:tc>
        <w:tc>
          <w:tcPr>
            <w:tcW w:w="1117" w:type="pct"/>
          </w:tcPr>
          <w:p w:rsidR="004B3372" w:rsidRPr="001C3B31"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1.9</w:t>
            </w:r>
          </w:p>
        </w:tc>
        <w:tc>
          <w:tcPr>
            <w:tcW w:w="1117"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0.75 %</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87"/>
        </w:trPr>
        <w:tc>
          <w:tcPr>
            <w:tcW w:w="2766" w:type="pct"/>
            <w:hideMark/>
          </w:tcPr>
          <w:p w:rsidR="004B3372" w:rsidRPr="001C3B31"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 xml:space="preserve">Diversificarea economiei rurale </w:t>
            </w:r>
          </w:p>
        </w:tc>
        <w:tc>
          <w:tcPr>
            <w:tcW w:w="1117" w:type="pct"/>
          </w:tcPr>
          <w:p w:rsidR="004B3372" w:rsidRPr="001C3B31"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1.24</w:t>
            </w:r>
          </w:p>
        </w:tc>
        <w:tc>
          <w:tcPr>
            <w:tcW w:w="1117"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2.5 %</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540"/>
        </w:trPr>
        <w:tc>
          <w:tcPr>
            <w:tcW w:w="2766" w:type="pct"/>
            <w:hideMark/>
          </w:tcPr>
          <w:p w:rsidR="004B3372" w:rsidRPr="001C3B31" w:rsidRDefault="004B3372" w:rsidP="00B50045">
            <w:pPr>
              <w:spacing w:after="60"/>
              <w:jc w:val="left"/>
              <w:rPr>
                <w:rFonts w:eastAsia="Times New Roman" w:cstheme="minorHAnsi"/>
                <w:bCs/>
                <w:szCs w:val="20"/>
                <w:lang w:val="ro-RO" w:eastAsia="lt-LT"/>
              </w:rPr>
            </w:pPr>
            <w:r w:rsidRPr="001C3B31">
              <w:rPr>
                <w:lang w:val="ro-RO"/>
              </w:rPr>
              <w:t>Crearea, îmbunătățirea și extinderea serviciilor locale de bază pentru populația rurală</w:t>
            </w:r>
          </w:p>
        </w:tc>
        <w:tc>
          <w:tcPr>
            <w:tcW w:w="1117" w:type="pct"/>
          </w:tcPr>
          <w:p w:rsidR="004B3372" w:rsidRPr="001C3B31"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1.42</w:t>
            </w:r>
          </w:p>
        </w:tc>
        <w:tc>
          <w:tcPr>
            <w:tcW w:w="1117"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0.58 %</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449"/>
        </w:trPr>
        <w:tc>
          <w:tcPr>
            <w:tcW w:w="2766" w:type="pct"/>
          </w:tcPr>
          <w:p w:rsidR="004B3372" w:rsidRPr="001C3B31" w:rsidRDefault="004B3372" w:rsidP="00B50045">
            <w:pPr>
              <w:spacing w:after="60"/>
              <w:jc w:val="left"/>
              <w:rPr>
                <w:rFonts w:eastAsia="Times New Roman" w:cstheme="minorHAnsi"/>
                <w:b/>
                <w:szCs w:val="20"/>
                <w:lang w:val="ro-RO" w:eastAsia="lt-LT"/>
              </w:rPr>
            </w:pPr>
            <w:r w:rsidRPr="001C3B31">
              <w:rPr>
                <w:rFonts w:eastAsia="Times New Roman" w:cstheme="minorHAnsi"/>
                <w:szCs w:val="20"/>
                <w:lang w:val="ro-RO" w:eastAsia="lt-LT"/>
              </w:rPr>
              <w:t>Dezvoltarea potențialului cultural în mediul rural</w:t>
            </w:r>
          </w:p>
        </w:tc>
        <w:tc>
          <w:tcPr>
            <w:tcW w:w="1117" w:type="pct"/>
          </w:tcPr>
          <w:p w:rsidR="004B3372" w:rsidRPr="001C3B31" w:rsidRDefault="004B3372" w:rsidP="00B50045">
            <w:pPr>
              <w:spacing w:after="60"/>
              <w:jc w:val="left"/>
              <w:rPr>
                <w:rFonts w:eastAsia="Times New Roman" w:cstheme="minorHAnsi"/>
                <w:bCs/>
                <w:szCs w:val="20"/>
                <w:lang w:val="ro-RO" w:eastAsia="lt-LT"/>
              </w:rPr>
            </w:pPr>
            <w:r w:rsidRPr="001C3B31">
              <w:rPr>
                <w:rFonts w:eastAsia="Times New Roman" w:cstheme="minorHAnsi"/>
                <w:bCs/>
                <w:szCs w:val="20"/>
                <w:lang w:val="ro-RO" w:eastAsia="lt-LT"/>
              </w:rPr>
              <w:t>1.25</w:t>
            </w:r>
          </w:p>
        </w:tc>
        <w:tc>
          <w:tcPr>
            <w:tcW w:w="1117" w:type="pct"/>
            <w:vAlign w:val="center"/>
          </w:tcPr>
          <w:p w:rsidR="004B3372" w:rsidRPr="001C3B31" w:rsidRDefault="004B3372" w:rsidP="00B50045">
            <w:pPr>
              <w:spacing w:after="60"/>
              <w:jc w:val="left"/>
              <w:rPr>
                <w:rFonts w:eastAsia="Times New Roman" w:cstheme="minorHAnsi"/>
                <w:bCs/>
                <w:szCs w:val="20"/>
                <w:lang w:val="ro-RO" w:eastAsia="lt-LT"/>
              </w:rPr>
            </w:pPr>
            <w:r w:rsidRPr="001C3B31">
              <w:rPr>
                <w:rFonts w:ascii="Calibri" w:hAnsi="Calibri" w:cs="Calibri"/>
                <w:color w:val="000000"/>
                <w:lang w:val="ro-RO"/>
              </w:rPr>
              <w:t>0.58 %</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540"/>
        </w:trPr>
        <w:tc>
          <w:tcPr>
            <w:tcW w:w="2766" w:type="pct"/>
          </w:tcPr>
          <w:p w:rsidR="004B3372" w:rsidRPr="001C3B31" w:rsidRDefault="004B3372" w:rsidP="00B50045">
            <w:pPr>
              <w:spacing w:after="60"/>
              <w:jc w:val="left"/>
              <w:rPr>
                <w:rFonts w:eastAsia="Times New Roman" w:cstheme="minorHAnsi"/>
                <w:szCs w:val="20"/>
                <w:lang w:val="ro-RO" w:eastAsia="lt-LT"/>
              </w:rPr>
            </w:pPr>
            <w:r w:rsidRPr="001C3B31">
              <w:rPr>
                <w:rFonts w:eastAsia="Times New Roman" w:cstheme="minorHAnsi"/>
                <w:szCs w:val="20"/>
                <w:lang w:val="ro-RO" w:eastAsia="lt-LT"/>
              </w:rPr>
              <w:t>Dezvoltarea și promovarea serviciilor și activităților de turism rural şi a activităților în aer liber</w:t>
            </w:r>
          </w:p>
        </w:tc>
        <w:tc>
          <w:tcPr>
            <w:tcW w:w="1117" w:type="pct"/>
          </w:tcPr>
          <w:p w:rsidR="004B3372" w:rsidRPr="001C3B31" w:rsidRDefault="004B3372" w:rsidP="00B50045">
            <w:pPr>
              <w:spacing w:after="60"/>
              <w:jc w:val="left"/>
              <w:rPr>
                <w:rFonts w:ascii="Calibri" w:eastAsia="Times New Roman" w:hAnsi="Calibri" w:cs="Times New Roman"/>
                <w:color w:val="000000"/>
                <w:szCs w:val="20"/>
                <w:lang w:val="ro-RO"/>
              </w:rPr>
            </w:pPr>
            <w:r w:rsidRPr="001C3B31">
              <w:rPr>
                <w:rFonts w:ascii="Calibri" w:eastAsia="Times New Roman" w:hAnsi="Calibri" w:cs="Times New Roman"/>
                <w:color w:val="000000"/>
                <w:szCs w:val="20"/>
                <w:lang w:val="ro-RO"/>
              </w:rPr>
              <w:t>0.92</w:t>
            </w:r>
          </w:p>
        </w:tc>
        <w:tc>
          <w:tcPr>
            <w:tcW w:w="1117" w:type="pct"/>
            <w:vAlign w:val="center"/>
          </w:tcPr>
          <w:p w:rsidR="004B3372" w:rsidRPr="001C3B31" w:rsidRDefault="004B3372" w:rsidP="00B50045">
            <w:pPr>
              <w:spacing w:after="60"/>
              <w:jc w:val="left"/>
              <w:rPr>
                <w:rFonts w:ascii="Calibri" w:eastAsia="Times New Roman" w:hAnsi="Calibri" w:cs="Times New Roman"/>
                <w:bCs/>
                <w:color w:val="000000"/>
                <w:szCs w:val="20"/>
                <w:lang w:val="ro-RO"/>
              </w:rPr>
            </w:pPr>
            <w:r w:rsidRPr="001C3B31">
              <w:rPr>
                <w:rFonts w:ascii="Calibri" w:hAnsi="Calibri" w:cs="Calibri"/>
                <w:color w:val="000000"/>
                <w:lang w:val="ro-RO"/>
              </w:rPr>
              <w:t>0.58 %</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540"/>
        </w:trPr>
        <w:tc>
          <w:tcPr>
            <w:tcW w:w="2766" w:type="pct"/>
          </w:tcPr>
          <w:p w:rsidR="004B3372" w:rsidRPr="001C3B31" w:rsidRDefault="004B3372" w:rsidP="00B50045">
            <w:pPr>
              <w:spacing w:after="60"/>
              <w:jc w:val="left"/>
              <w:rPr>
                <w:rFonts w:eastAsia="Times New Roman" w:cstheme="minorHAnsi"/>
                <w:b/>
                <w:iCs/>
                <w:szCs w:val="20"/>
                <w:lang w:val="ro-RO" w:eastAsia="lt-LT"/>
              </w:rPr>
            </w:pPr>
            <w:r w:rsidRPr="001C3B31">
              <w:rPr>
                <w:rFonts w:eastAsia="Times New Roman" w:cstheme="minorHAnsi"/>
                <w:b/>
                <w:iCs/>
                <w:szCs w:val="20"/>
                <w:lang w:val="ro-RO" w:eastAsia="lt-LT"/>
              </w:rPr>
              <w:t>Total general pentru scenariul „politică implementată”</w:t>
            </w:r>
          </w:p>
        </w:tc>
        <w:tc>
          <w:tcPr>
            <w:tcW w:w="1117" w:type="pct"/>
          </w:tcPr>
          <w:p w:rsidR="004B3372" w:rsidRPr="001C3B31" w:rsidRDefault="004B3372" w:rsidP="00B50045">
            <w:pPr>
              <w:spacing w:after="60"/>
              <w:jc w:val="left"/>
              <w:rPr>
                <w:rFonts w:eastAsia="Times New Roman" w:cstheme="minorHAnsi"/>
                <w:b/>
                <w:iCs/>
                <w:szCs w:val="20"/>
                <w:lang w:val="ro-RO" w:eastAsia="lt-LT"/>
              </w:rPr>
            </w:pPr>
            <w:r w:rsidRPr="001C3B31">
              <w:rPr>
                <w:rFonts w:eastAsia="Times New Roman" w:cstheme="minorHAnsi"/>
                <w:b/>
                <w:iCs/>
                <w:szCs w:val="20"/>
                <w:lang w:val="ro-RO" w:eastAsia="lt-LT"/>
              </w:rPr>
              <w:t>1,34</w:t>
            </w:r>
          </w:p>
        </w:tc>
        <w:tc>
          <w:tcPr>
            <w:tcW w:w="1117" w:type="pct"/>
          </w:tcPr>
          <w:p w:rsidR="004B3372" w:rsidRPr="001C3B31" w:rsidRDefault="004B3372" w:rsidP="00B50045">
            <w:pPr>
              <w:spacing w:after="60"/>
              <w:jc w:val="left"/>
              <w:rPr>
                <w:rFonts w:eastAsia="Times New Roman" w:cstheme="minorHAnsi"/>
                <w:b/>
                <w:iCs/>
                <w:szCs w:val="20"/>
                <w:lang w:val="ro-RO" w:eastAsia="lt-LT"/>
              </w:rPr>
            </w:pPr>
            <w:r w:rsidRPr="001C3B31">
              <w:rPr>
                <w:rFonts w:eastAsia="Times New Roman" w:cstheme="minorHAnsi"/>
                <w:b/>
                <w:iCs/>
                <w:szCs w:val="20"/>
                <w:lang w:val="ro-RO" w:eastAsia="lt-LT"/>
              </w:rPr>
              <w:t>5%</w:t>
            </w:r>
          </w:p>
        </w:tc>
      </w:tr>
    </w:tbl>
    <w:p w:rsidR="004B3372" w:rsidRPr="001C3B31" w:rsidRDefault="004B3372" w:rsidP="004B3372">
      <w:pPr>
        <w:pStyle w:val="Bullet"/>
        <w:numPr>
          <w:ilvl w:val="0"/>
          <w:numId w:val="0"/>
        </w:numPr>
        <w:spacing w:after="120"/>
        <w:rPr>
          <w:lang w:val="ro-RO"/>
        </w:rPr>
      </w:pPr>
      <w:r w:rsidRPr="001C3B31">
        <w:rPr>
          <w:lang w:val="ro-RO"/>
        </w:rPr>
        <w:t>Cele mai importante concluzii ce rezultă din această totalizare sunt următoarele:</w:t>
      </w:r>
    </w:p>
    <w:p w:rsidR="004B3372" w:rsidRPr="00102C72" w:rsidRDefault="004B3372" w:rsidP="004B3372">
      <w:pPr>
        <w:pStyle w:val="Bullet"/>
        <w:rPr>
          <w:b/>
          <w:lang w:val="ro-RO"/>
        </w:rPr>
      </w:pPr>
      <w:r w:rsidRPr="001C3B31">
        <w:rPr>
          <w:lang w:val="ro-RO"/>
        </w:rPr>
        <w:t xml:space="preserve">Înainte de a lua în calcul cheltuielile administrative suplimentare generate de adoptarea noului Regulament, raportul mediu beneficiu-cost al potențialelor proiecte finanțate de noile măsuri este de 1,34. </w:t>
      </w:r>
      <w:r w:rsidRPr="00102C72">
        <w:rPr>
          <w:b/>
          <w:lang w:val="ro-RO"/>
        </w:rPr>
        <w:t>Aceasta înseamnă că fiecare 1 milion de lei cheltuite din bugetul de stat pentru aceste subvenții vor rezulta în beneficii în valoare de aproximativ 1.34 milioane lei.</w:t>
      </w:r>
    </w:p>
    <w:p w:rsidR="004B3372" w:rsidRPr="001C3B31" w:rsidRDefault="004B3372" w:rsidP="004B3372">
      <w:pPr>
        <w:pStyle w:val="Bullet"/>
        <w:rPr>
          <w:lang w:val="ro-RO"/>
        </w:rPr>
      </w:pPr>
      <w:r w:rsidRPr="001C3B31">
        <w:rPr>
          <w:lang w:val="ro-RO"/>
        </w:rPr>
        <w:t>Toate domeniile de acțiune din cadrul noii măsuri sunt, în general, benefice pentru societate, având un raport beneficiu-cost mai mare ca 1.</w:t>
      </w:r>
    </w:p>
    <w:p w:rsidR="004B3372" w:rsidRPr="001C3B31" w:rsidRDefault="004B3372" w:rsidP="004B3372">
      <w:pPr>
        <w:pStyle w:val="Bullet"/>
        <w:rPr>
          <w:lang w:val="ro-RO"/>
        </w:rPr>
      </w:pPr>
      <w:r w:rsidRPr="001C3B31">
        <w:rPr>
          <w:lang w:val="ro-RO"/>
        </w:rPr>
        <w:t xml:space="preserve">Domeniile cu cele mai mari beneficii per unitate </w:t>
      </w:r>
      <w:r>
        <w:rPr>
          <w:lang w:val="ro-RO"/>
        </w:rPr>
        <w:t>d</w:t>
      </w:r>
      <w:r w:rsidRPr="001C3B31">
        <w:rPr>
          <w:lang w:val="ro-RO"/>
        </w:rPr>
        <w:t xml:space="preserve">e cost sunt cele de </w:t>
      </w:r>
      <w:r>
        <w:rPr>
          <w:lang w:val="ro-RO"/>
        </w:rPr>
        <w:t>c</w:t>
      </w:r>
      <w:r w:rsidRPr="001C3B31">
        <w:rPr>
          <w:lang w:val="ro-RO"/>
        </w:rPr>
        <w:t>reare, îmbunătățire și extindere</w:t>
      </w:r>
      <w:r>
        <w:rPr>
          <w:lang w:val="ro-RO"/>
        </w:rPr>
        <w:t xml:space="preserve"> </w:t>
      </w:r>
      <w:r w:rsidRPr="001C3B31">
        <w:rPr>
          <w:lang w:val="ro-RO"/>
        </w:rPr>
        <w:t>a serviciilor</w:t>
      </w:r>
      <w:r>
        <w:rPr>
          <w:lang w:val="ro-RO"/>
        </w:rPr>
        <w:t xml:space="preserve"> locale de bază pentru populație și cele de d</w:t>
      </w:r>
      <w:r w:rsidRPr="001C3B31">
        <w:rPr>
          <w:lang w:val="ro-RO"/>
        </w:rPr>
        <w:t>iversificare a economiei rurale prin activități nonagricole</w:t>
      </w:r>
      <w:r>
        <w:rPr>
          <w:lang w:val="ro-RO"/>
        </w:rPr>
        <w:t>.</w:t>
      </w:r>
    </w:p>
    <w:p w:rsidR="004B3372" w:rsidRPr="001C3B31" w:rsidRDefault="004B3372" w:rsidP="004B3372">
      <w:pPr>
        <w:pStyle w:val="Bullet"/>
        <w:numPr>
          <w:ilvl w:val="0"/>
          <w:numId w:val="0"/>
        </w:numPr>
        <w:rPr>
          <w:lang w:val="ro-RO"/>
        </w:rPr>
      </w:pPr>
      <w:r w:rsidRPr="001C3B31">
        <w:rPr>
          <w:lang w:val="ro-RO"/>
        </w:rPr>
        <w:t>În continuare purcedem la estimarea cheltuielilor administrative pentru a completa analiza scenariului implementării noului Regulament.</w:t>
      </w:r>
    </w:p>
    <w:p w:rsidR="004B3372" w:rsidRPr="007F0A8B" w:rsidRDefault="004B3372" w:rsidP="004B3372">
      <w:pPr>
        <w:pStyle w:val="Heading3"/>
        <w:numPr>
          <w:ilvl w:val="2"/>
          <w:numId w:val="24"/>
        </w:numPr>
        <w:rPr>
          <w:color w:val="0070C0"/>
          <w:lang w:val="ro-RO"/>
        </w:rPr>
      </w:pPr>
      <w:bookmarkStart w:id="81" w:name="_Toc32515790"/>
      <w:bookmarkStart w:id="82" w:name="_Toc32964845"/>
      <w:r w:rsidRPr="007F0A8B">
        <w:rPr>
          <w:color w:val="0070C0"/>
          <w:lang w:val="ro-RO"/>
        </w:rPr>
        <w:t>Cheltuielile administrative</w:t>
      </w:r>
      <w:bookmarkEnd w:id="81"/>
      <w:bookmarkEnd w:id="82"/>
    </w:p>
    <w:p w:rsidR="004B3372" w:rsidRPr="001C3B31" w:rsidRDefault="004B3372" w:rsidP="004B3372">
      <w:pPr>
        <w:rPr>
          <w:lang w:val="ro-RO"/>
        </w:rPr>
      </w:pPr>
      <w:r w:rsidRPr="001C3B31">
        <w:rPr>
          <w:lang w:val="ro-RO"/>
        </w:rPr>
        <w:t>Propunerea de Politici Publice prevede extinderea tipurilor de activitate pentru care se acordă subvenții, conform noilor măsuri. Totodată, setul de acte necesar pentru obținerea subvențiilor</w:t>
      </w:r>
      <w:r>
        <w:rPr>
          <w:lang w:val="ro-RO"/>
        </w:rPr>
        <w:t>,</w:t>
      </w:r>
      <w:r w:rsidRPr="001C3B31">
        <w:rPr>
          <w:lang w:val="ro-RO"/>
        </w:rPr>
        <w:t xml:space="preserve"> în baza măsurii prevăzute de PPP-ul analizat</w:t>
      </w:r>
      <w:r>
        <w:rPr>
          <w:lang w:val="ro-RO"/>
        </w:rPr>
        <w:t>,</w:t>
      </w:r>
      <w:r w:rsidRPr="001C3B31">
        <w:rPr>
          <w:lang w:val="ro-RO"/>
        </w:rPr>
        <w:t xml:space="preserve"> nu diferă de cel în cazul altor măsuri de subvenționare în domeniul dezvoltării rurale. </w:t>
      </w:r>
    </w:p>
    <w:p w:rsidR="004B3372" w:rsidRPr="001C3B31" w:rsidRDefault="004B3372" w:rsidP="004B3372">
      <w:pPr>
        <w:rPr>
          <w:lang w:val="ro-RO"/>
        </w:rPr>
      </w:pPr>
      <w:r w:rsidRPr="001C3B31">
        <w:rPr>
          <w:lang w:val="ro-RO"/>
        </w:rPr>
        <w:t xml:space="preserve">Pe lângă setul de acte standard, beneficiarii </w:t>
      </w:r>
      <w:r>
        <w:rPr>
          <w:lang w:val="ro-RO"/>
        </w:rPr>
        <w:t xml:space="preserve">de </w:t>
      </w:r>
      <w:r w:rsidRPr="001C3B31">
        <w:rPr>
          <w:lang w:val="ro-RO"/>
        </w:rPr>
        <w:t>subvenți</w:t>
      </w:r>
      <w:r>
        <w:rPr>
          <w:lang w:val="ro-RO"/>
        </w:rPr>
        <w:t>i,</w:t>
      </w:r>
      <w:r w:rsidRPr="001C3B31">
        <w:rPr>
          <w:lang w:val="ro-RO"/>
        </w:rPr>
        <w:t xml:space="preserve"> în condițiile PPP-ului analizat</w:t>
      </w:r>
      <w:r>
        <w:rPr>
          <w:lang w:val="ro-RO"/>
        </w:rPr>
        <w:t>, urmează să prezinte documente</w:t>
      </w:r>
      <w:r w:rsidRPr="001C3B31">
        <w:rPr>
          <w:lang w:val="ro-RO"/>
        </w:rPr>
        <w:t xml:space="preserve"> </w:t>
      </w:r>
      <w:r>
        <w:rPr>
          <w:lang w:val="ro-RO"/>
        </w:rPr>
        <w:t>justificative</w:t>
      </w:r>
      <w:r w:rsidRPr="001C3B31">
        <w:rPr>
          <w:lang w:val="ro-RO"/>
        </w:rPr>
        <w:t xml:space="preserve"> cu privire la înregistrarea GAL-ului, precum și Strategia de Dezvoltare Locală, în baza căreia urmează să fie valorificate subvențiile primite. </w:t>
      </w:r>
    </w:p>
    <w:p w:rsidR="004B3372" w:rsidRPr="001C3B31" w:rsidRDefault="004B3372" w:rsidP="004B3372">
      <w:pPr>
        <w:pStyle w:val="Bullet"/>
        <w:numPr>
          <w:ilvl w:val="0"/>
          <w:numId w:val="0"/>
        </w:numPr>
        <w:rPr>
          <w:lang w:val="ro-RO"/>
        </w:rPr>
      </w:pPr>
      <w:r w:rsidRPr="001C3B31">
        <w:rPr>
          <w:lang w:val="ro-RO"/>
        </w:rPr>
        <w:t>Pregătirea acestui document necesită timp și efort din partea solicitanților. Totodată, este important de menționat</w:t>
      </w:r>
      <w:r>
        <w:rPr>
          <w:lang w:val="ro-RO"/>
        </w:rPr>
        <w:t>, că Grupurile de Acțiune Locală</w:t>
      </w:r>
      <w:r w:rsidRPr="001C3B31">
        <w:rPr>
          <w:lang w:val="ro-RO"/>
        </w:rPr>
        <w:t xml:space="preserve"> elaborează Strategia de Dezvoltare Locală</w:t>
      </w:r>
      <w:r>
        <w:rPr>
          <w:lang w:val="ro-RO"/>
        </w:rPr>
        <w:t>,</w:t>
      </w:r>
      <w:r w:rsidRPr="001C3B31">
        <w:rPr>
          <w:lang w:val="ro-RO"/>
        </w:rPr>
        <w:t xml:space="preserve"> indiferent de faptul dacă aplică sau nu la finanțare în condițiile măsurii </w:t>
      </w:r>
      <w:r>
        <w:rPr>
          <w:lang w:val="ro-RO"/>
        </w:rPr>
        <w:t>respective</w:t>
      </w:r>
      <w:r w:rsidRPr="001C3B31">
        <w:rPr>
          <w:lang w:val="ro-RO"/>
        </w:rPr>
        <w:t xml:space="preserve"> de subvenționare. </w:t>
      </w:r>
    </w:p>
    <w:p w:rsidR="004B3372" w:rsidRPr="001C3B31" w:rsidRDefault="004B3372" w:rsidP="004B3372">
      <w:pPr>
        <w:rPr>
          <w:lang w:val="ro-RO"/>
        </w:rPr>
      </w:pPr>
      <w:r w:rsidRPr="001C3B31">
        <w:rPr>
          <w:lang w:val="ro-RO"/>
        </w:rPr>
        <w:t xml:space="preserve">Totodată, evaluarea unor astfel de documente va crește povara administrativă asupra autorității ce gestionează acordarea subvențiilor (AIPA). Pentru asigurarea monitorizării valorificării fondurilor </w:t>
      </w:r>
      <w:r w:rsidRPr="001C3B31">
        <w:rPr>
          <w:lang w:val="ro-RO"/>
        </w:rPr>
        <w:lastRenderedPageBreak/>
        <w:t>alocate, dar și evaluării proiectelor implementate</w:t>
      </w:r>
      <w:r>
        <w:rPr>
          <w:lang w:val="ro-RO"/>
        </w:rPr>
        <w:t>,</w:t>
      </w:r>
      <w:r w:rsidRPr="001C3B31">
        <w:rPr>
          <w:lang w:val="ro-RO"/>
        </w:rPr>
        <w:t xml:space="preserve"> autoritatea va avea nevoie să suplinească numărul membrilor comisiei de evaluări cu angajați cu experiență în domeniul proiectării și al tipurilor de investiții ce se încadrează în noile măsuri de subvenționare. </w:t>
      </w:r>
    </w:p>
    <w:p w:rsidR="004B3372" w:rsidRPr="007F0A8B" w:rsidRDefault="004B3372" w:rsidP="004B3372">
      <w:pPr>
        <w:pStyle w:val="Heading3"/>
        <w:numPr>
          <w:ilvl w:val="3"/>
          <w:numId w:val="24"/>
        </w:numPr>
        <w:rPr>
          <w:color w:val="0070C0"/>
          <w:lang w:val="ro-RO"/>
        </w:rPr>
      </w:pPr>
      <w:bookmarkStart w:id="83" w:name="_Toc32515791"/>
      <w:bookmarkStart w:id="84" w:name="_Toc32964846"/>
      <w:r w:rsidRPr="007F0A8B">
        <w:rPr>
          <w:color w:val="0070C0"/>
          <w:lang w:val="ro-RO"/>
        </w:rPr>
        <w:t>Cheltuieli din partea autorităților gestionare ale fondului</w:t>
      </w:r>
      <w:bookmarkEnd w:id="83"/>
      <w:bookmarkEnd w:id="84"/>
    </w:p>
    <w:p w:rsidR="004B3372" w:rsidRPr="001C3B31" w:rsidRDefault="004B3372" w:rsidP="004B3372">
      <w:pPr>
        <w:rPr>
          <w:lang w:val="ro-RO"/>
        </w:rPr>
      </w:pPr>
      <w:r w:rsidRPr="001C3B31">
        <w:rPr>
          <w:lang w:val="ro-RO"/>
        </w:rPr>
        <w:t xml:space="preserve"> La 18 octombrie 2019 a fost aprobată HG  </w:t>
      </w:r>
      <w:r>
        <w:rPr>
          <w:lang w:val="ro-RO"/>
        </w:rPr>
        <w:t xml:space="preserve">nr. </w:t>
      </w:r>
      <w:r w:rsidRPr="001C3B31">
        <w:rPr>
          <w:lang w:val="ro-RO"/>
        </w:rPr>
        <w:t>476/2019 pentru aprobarea Regulamentului privind acordarea subvențiilor pentru îmbunătățirea nivelului de trai și de muncă în mediul rural din Fondul național de dezvoltare a agriculturii și mediului rural. În vederea aplicării în practică</w:t>
      </w:r>
      <w:r>
        <w:rPr>
          <w:lang w:val="ro-RO"/>
        </w:rPr>
        <w:t>,</w:t>
      </w:r>
      <w:r w:rsidRPr="001C3B31">
        <w:rPr>
          <w:lang w:val="ro-RO"/>
        </w:rPr>
        <w:t xml:space="preserve"> AIPA urmează să-și suplinească numărul de personal pentru a asigura evaluarea și monitorizarea proiectelor implementate în baza măsurilor de s</w:t>
      </w:r>
      <w:r>
        <w:rPr>
          <w:lang w:val="ro-RO"/>
        </w:rPr>
        <w:t>ubvenționare prevăzute de hotărâ</w:t>
      </w:r>
      <w:r w:rsidRPr="001C3B31">
        <w:rPr>
          <w:lang w:val="ro-RO"/>
        </w:rPr>
        <w:t xml:space="preserve">rea în cauză. Astfel, în cazul implementării PPP-ului analizat, AIPA va dispune de personalul necesar pentru a face față efortului administrativ suplimentar, fără angajarea de personal în acest sens. </w:t>
      </w:r>
    </w:p>
    <w:p w:rsidR="004B3372" w:rsidRPr="007F0A8B" w:rsidRDefault="004B3372" w:rsidP="004B3372">
      <w:pPr>
        <w:pStyle w:val="Heading3"/>
        <w:numPr>
          <w:ilvl w:val="3"/>
          <w:numId w:val="24"/>
        </w:numPr>
        <w:rPr>
          <w:color w:val="0070C0"/>
          <w:lang w:val="ro-RO"/>
        </w:rPr>
      </w:pPr>
      <w:bookmarkStart w:id="85" w:name="_Toc32515792"/>
      <w:bookmarkStart w:id="86" w:name="_Toc32964847"/>
      <w:r w:rsidRPr="007F0A8B">
        <w:rPr>
          <w:color w:val="0070C0"/>
          <w:lang w:val="ro-RO"/>
        </w:rPr>
        <w:t>Cheltuieli din partea solicitanților</w:t>
      </w:r>
      <w:bookmarkEnd w:id="85"/>
      <w:bookmarkEnd w:id="86"/>
    </w:p>
    <w:p w:rsidR="004B3372" w:rsidRPr="001C3B31" w:rsidRDefault="004B3372" w:rsidP="004B3372">
      <w:pPr>
        <w:rPr>
          <w:lang w:val="ro-RO"/>
        </w:rPr>
      </w:pPr>
      <w:r w:rsidRPr="001C3B31">
        <w:rPr>
          <w:lang w:val="ro-RO"/>
        </w:rPr>
        <w:t xml:space="preserve">GAL-urile care vor depune dosarele pentru solicitarea subvențiilor pentru </w:t>
      </w:r>
      <w:r>
        <w:rPr>
          <w:lang w:val="ro-RO"/>
        </w:rPr>
        <w:t>obținerea finanțării vor trebui</w:t>
      </w:r>
      <w:r w:rsidRPr="001C3B31">
        <w:rPr>
          <w:lang w:val="ro-RO"/>
        </w:rPr>
        <w:t xml:space="preserve"> să elaboreze o Strategie de Dezvoltare Locală. Reieșind din informațiile obținute în cadrul interviurilor de la membrii GAL-urilor, durata medie de elaborare a Strategiei d</w:t>
      </w:r>
      <w:r>
        <w:rPr>
          <w:lang w:val="ro-RO"/>
        </w:rPr>
        <w:t>e Dezvoltare Locală este de cca</w:t>
      </w:r>
      <w:r w:rsidRPr="001C3B31">
        <w:rPr>
          <w:lang w:val="ro-RO"/>
        </w:rPr>
        <w:t xml:space="preserve"> 7 zile. Totodată la elaborarea Strategiei sunt implicați între 10 și 15 persoane, ceea ce înseamnă că numărul total de zile/om lucrate este între 70 și 105. Pornind de la salariul mediu pe economie în 2020 de 7953 MDL pentru 22 de zile lucrătoare, </w:t>
      </w:r>
      <w:r>
        <w:rPr>
          <w:lang w:val="ro-RO"/>
        </w:rPr>
        <w:t>aceasta ne demonstrează</w:t>
      </w:r>
      <w:r w:rsidRPr="001C3B31">
        <w:rPr>
          <w:lang w:val="ro-RO"/>
        </w:rPr>
        <w:t xml:space="preserve"> că valoarea cheltuielilor administrative din partea GAL-ului este între </w:t>
      </w:r>
      <w:r w:rsidRPr="001C3B31">
        <w:rPr>
          <w:b/>
          <w:bCs/>
          <w:lang w:val="ro-RO"/>
        </w:rPr>
        <w:t xml:space="preserve">24 503 MDL </w:t>
      </w:r>
      <w:r w:rsidRPr="001C3B31">
        <w:rPr>
          <w:lang w:val="ro-RO"/>
        </w:rPr>
        <w:t xml:space="preserve">și </w:t>
      </w:r>
      <w:r w:rsidRPr="001C3B31">
        <w:rPr>
          <w:b/>
          <w:bCs/>
          <w:lang w:val="ro-RO"/>
        </w:rPr>
        <w:t>27 957 MDL.</w:t>
      </w:r>
      <w:r w:rsidRPr="001C3B31">
        <w:rPr>
          <w:lang w:val="ro-RO"/>
        </w:rPr>
        <w:t xml:space="preserve"> </w:t>
      </w:r>
    </w:p>
    <w:p w:rsidR="004B3372" w:rsidRPr="001C3B31" w:rsidRDefault="004B3372" w:rsidP="004B3372">
      <w:pPr>
        <w:rPr>
          <w:lang w:val="ro-RO"/>
        </w:rPr>
      </w:pPr>
      <w:r w:rsidRPr="001C3B31">
        <w:rPr>
          <w:lang w:val="ro-RO"/>
        </w:rPr>
        <w:t xml:space="preserve">În aceeași ordine de idei, agenții economici care vor depune dosarele pentru solicitarea finanțării din partea GAL vor trebui să întocmească un plan de afaceri. Experiența noastră în domeniul de consultanță ne sugerează că un preț mediu pe piață pentru </w:t>
      </w:r>
      <w:r w:rsidRPr="001C3B31">
        <w:rPr>
          <w:b/>
          <w:lang w:val="ro-RO"/>
        </w:rPr>
        <w:t>elaborarea unui plan de afaceri</w:t>
      </w:r>
      <w:r>
        <w:rPr>
          <w:lang w:val="ro-RO"/>
        </w:rPr>
        <w:t xml:space="preserve"> pentru o micro</w:t>
      </w:r>
      <w:r w:rsidRPr="001C3B31">
        <w:rPr>
          <w:lang w:val="ro-RO"/>
        </w:rPr>
        <w:t xml:space="preserve">întreprindere este de circa </w:t>
      </w:r>
      <w:r w:rsidRPr="001C3B31">
        <w:rPr>
          <w:b/>
          <w:lang w:val="ro-RO"/>
        </w:rPr>
        <w:t>2-5 mii MDL</w:t>
      </w:r>
      <w:r w:rsidRPr="001C3B31">
        <w:rPr>
          <w:lang w:val="ro-RO"/>
        </w:rPr>
        <w:t xml:space="preserve">. </w:t>
      </w:r>
    </w:p>
    <w:p w:rsidR="004B3372" w:rsidRPr="00991458" w:rsidRDefault="004B3372" w:rsidP="004B3372">
      <w:pPr>
        <w:pStyle w:val="Heading3"/>
        <w:numPr>
          <w:ilvl w:val="2"/>
          <w:numId w:val="24"/>
        </w:numPr>
        <w:rPr>
          <w:color w:val="0070C0"/>
          <w:lang w:val="ro-RO"/>
        </w:rPr>
      </w:pPr>
      <w:bookmarkStart w:id="87" w:name="_Toc32515793"/>
      <w:bookmarkStart w:id="88" w:name="_Toc32964848"/>
      <w:r w:rsidRPr="00991458">
        <w:rPr>
          <w:color w:val="0070C0"/>
          <w:lang w:val="ro-RO"/>
        </w:rPr>
        <w:t>Sinteză. Beneficiul net</w:t>
      </w:r>
      <w:bookmarkEnd w:id="87"/>
      <w:bookmarkEnd w:id="88"/>
    </w:p>
    <w:p w:rsidR="004B3372" w:rsidRPr="001C3B31" w:rsidRDefault="004B3372" w:rsidP="004B3372">
      <w:pPr>
        <w:rPr>
          <w:lang w:val="ro-RO"/>
        </w:rPr>
      </w:pPr>
      <w:r w:rsidRPr="001C3B31">
        <w:rPr>
          <w:lang w:val="ro-RO"/>
        </w:rPr>
        <w:t>Deoarece majoritatea estimărilor efectuate până acum au fost în valori relative (pentru fiecare X lei de finanțare), pentru aprecierea beneficiului net final al PPP-ului evaluat, este necesară o convertire a acestora în valori monetare absolute. Mărimea de legătură care ne va permite să facem această transformare este mărimea totală a fondului de subvenționare redirecționat către noile măsuri, care</w:t>
      </w:r>
      <w:r>
        <w:rPr>
          <w:lang w:val="ro-RO"/>
        </w:rPr>
        <w:t>,</w:t>
      </w:r>
      <w:r w:rsidRPr="001C3B31">
        <w:rPr>
          <w:lang w:val="ro-RO"/>
        </w:rPr>
        <w:t xml:space="preserve"> la rândul său, este o cotă fixă din mărim</w:t>
      </w:r>
      <w:r>
        <w:rPr>
          <w:lang w:val="ro-RO"/>
        </w:rPr>
        <w:t>ea FNDAMR, aprobată prin Legea b</w:t>
      </w:r>
      <w:r w:rsidRPr="001C3B31">
        <w:rPr>
          <w:lang w:val="ro-RO"/>
        </w:rPr>
        <w:t xml:space="preserve">ugetului de </w:t>
      </w:r>
      <w:r>
        <w:rPr>
          <w:lang w:val="ro-RO"/>
        </w:rPr>
        <w:t>s</w:t>
      </w:r>
      <w:r w:rsidRPr="001C3B31">
        <w:rPr>
          <w:lang w:val="ro-RO"/>
        </w:rPr>
        <w:t xml:space="preserve">tat în fiecare an. </w:t>
      </w:r>
    </w:p>
    <w:p w:rsidR="004B3372" w:rsidRPr="001C3B31" w:rsidRDefault="004B3372" w:rsidP="004B3372">
      <w:pPr>
        <w:rPr>
          <w:lang w:val="ro-RO"/>
        </w:rPr>
      </w:pPr>
      <w:r w:rsidRPr="001C3B31">
        <w:rPr>
          <w:lang w:val="ro-RO"/>
        </w:rPr>
        <w:t>În tabelul de mai jos este redată evoluția mărimii FNDAMR în ultimii ani. Tendința este un pic neregulată, însă ar fi rațional să ne așteptăm la o creștere treptată a fondului în anii următori, de aceea am aplicat rata</w:t>
      </w:r>
      <w:r>
        <w:rPr>
          <w:lang w:val="ro-RO"/>
        </w:rPr>
        <w:t xml:space="preserve"> medie de creștere dintre 2018-</w:t>
      </w:r>
      <w:r w:rsidRPr="001C3B31">
        <w:rPr>
          <w:lang w:val="ro-RO"/>
        </w:rPr>
        <w:t>2019 și 2019-2020 pentru efectuarea previziunilor pentru anii următori.</w:t>
      </w:r>
    </w:p>
    <w:p w:rsidR="004B3372" w:rsidRPr="001C3B31" w:rsidRDefault="004B3372" w:rsidP="004B3372">
      <w:pPr>
        <w:pStyle w:val="Caption"/>
        <w:framePr w:wrap="around"/>
        <w:rPr>
          <w:lang w:val="ro-RO"/>
        </w:rPr>
      </w:pPr>
      <w:r w:rsidRPr="001C3B31">
        <w:rPr>
          <w:lang w:val="ro-RO"/>
        </w:rPr>
        <w:t>TABELUL 10. Mărimea FNDAMR: evoluție recentă și previziuni pentru viitor</w:t>
      </w:r>
    </w:p>
    <w:tbl>
      <w:tblPr>
        <w:tblStyle w:val="Civittatable"/>
        <w:tblW w:w="4940" w:type="pct"/>
        <w:tblLayout w:type="fixed"/>
        <w:tblLook w:val="04A0" w:firstRow="1" w:lastRow="0" w:firstColumn="1" w:lastColumn="0" w:noHBand="0" w:noVBand="1"/>
      </w:tblPr>
      <w:tblGrid>
        <w:gridCol w:w="1454"/>
        <w:gridCol w:w="1287"/>
        <w:gridCol w:w="1343"/>
        <w:gridCol w:w="1343"/>
        <w:gridCol w:w="1343"/>
        <w:gridCol w:w="1343"/>
        <w:gridCol w:w="1343"/>
      </w:tblGrid>
      <w:tr w:rsidR="004B3372" w:rsidRPr="001C3B31" w:rsidTr="00B50045">
        <w:trPr>
          <w:cnfStyle w:val="100000000000" w:firstRow="1" w:lastRow="0" w:firstColumn="0" w:lastColumn="0" w:oddVBand="0" w:evenVBand="0" w:oddHBand="0" w:evenHBand="0" w:firstRowFirstColumn="0" w:firstRowLastColumn="0" w:lastRowFirstColumn="0" w:lastRowLastColumn="0"/>
          <w:trHeight w:val="275"/>
        </w:trPr>
        <w:tc>
          <w:tcPr>
            <w:tcW w:w="1433" w:type="dxa"/>
            <w:vAlign w:val="center"/>
          </w:tcPr>
          <w:p w:rsidR="004B3372" w:rsidRPr="001C3B31" w:rsidRDefault="004B3372" w:rsidP="00B50045">
            <w:pPr>
              <w:spacing w:after="60"/>
              <w:jc w:val="left"/>
              <w:rPr>
                <w:rFonts w:ascii="Calibri" w:hAnsi="Calibri" w:cs="Calibri"/>
                <w:b/>
                <w:lang w:val="ro-RO"/>
              </w:rPr>
            </w:pPr>
            <w:r w:rsidRPr="001C3B31">
              <w:rPr>
                <w:rFonts w:ascii="Calibri" w:hAnsi="Calibri" w:cs="Calibri"/>
                <w:b/>
                <w:lang w:val="ro-RO"/>
              </w:rPr>
              <w:t>ANUL</w:t>
            </w:r>
          </w:p>
        </w:tc>
        <w:tc>
          <w:tcPr>
            <w:tcW w:w="1269" w:type="dxa"/>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lang w:val="ro-RO"/>
              </w:rPr>
              <w:t>2017</w:t>
            </w:r>
          </w:p>
        </w:tc>
        <w:tc>
          <w:tcPr>
            <w:tcW w:w="1324" w:type="dxa"/>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lang w:val="ro-RO"/>
              </w:rPr>
              <w:t>2018</w:t>
            </w:r>
          </w:p>
        </w:tc>
        <w:tc>
          <w:tcPr>
            <w:tcW w:w="1324" w:type="dxa"/>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lang w:val="ro-RO"/>
              </w:rPr>
              <w:t>2019</w:t>
            </w:r>
          </w:p>
        </w:tc>
        <w:tc>
          <w:tcPr>
            <w:tcW w:w="1324" w:type="dxa"/>
            <w:vAlign w:val="center"/>
          </w:tcPr>
          <w:p w:rsidR="004B3372" w:rsidRPr="001C3B31" w:rsidRDefault="004B3372" w:rsidP="00B50045">
            <w:pPr>
              <w:spacing w:after="60"/>
              <w:jc w:val="left"/>
              <w:rPr>
                <w:rFonts w:ascii="Calibri" w:hAnsi="Calibri" w:cs="Calibri"/>
                <w:b/>
                <w:lang w:val="ro-RO"/>
              </w:rPr>
            </w:pPr>
            <w:r w:rsidRPr="001C3B31">
              <w:rPr>
                <w:rFonts w:ascii="Calibri" w:hAnsi="Calibri" w:cs="Calibri"/>
                <w:b/>
                <w:lang w:val="ro-RO"/>
              </w:rPr>
              <w:t>2020</w:t>
            </w:r>
          </w:p>
        </w:tc>
        <w:tc>
          <w:tcPr>
            <w:tcW w:w="1324" w:type="dxa"/>
            <w:vAlign w:val="center"/>
          </w:tcPr>
          <w:p w:rsidR="004B3372" w:rsidRPr="001C3B31" w:rsidRDefault="004B3372" w:rsidP="00B50045">
            <w:pPr>
              <w:spacing w:after="60"/>
              <w:jc w:val="left"/>
              <w:rPr>
                <w:rFonts w:ascii="Calibri" w:hAnsi="Calibri" w:cs="Calibri"/>
                <w:b/>
                <w:lang w:val="ro-RO"/>
              </w:rPr>
            </w:pPr>
            <w:r w:rsidRPr="001C3B31">
              <w:rPr>
                <w:rFonts w:ascii="Calibri" w:hAnsi="Calibri" w:cs="Calibri"/>
                <w:b/>
                <w:lang w:val="ro-RO"/>
              </w:rPr>
              <w:t>2021</w:t>
            </w:r>
          </w:p>
        </w:tc>
        <w:tc>
          <w:tcPr>
            <w:tcW w:w="1324" w:type="dxa"/>
            <w:vAlign w:val="center"/>
          </w:tcPr>
          <w:p w:rsidR="004B3372" w:rsidRPr="001C3B31" w:rsidRDefault="004B3372" w:rsidP="00B50045">
            <w:pPr>
              <w:spacing w:after="60"/>
              <w:jc w:val="center"/>
              <w:rPr>
                <w:rFonts w:ascii="Calibri" w:hAnsi="Calibri" w:cs="Calibri"/>
                <w:b/>
                <w:lang w:val="ro-RO"/>
              </w:rPr>
            </w:pPr>
            <w:r w:rsidRPr="001C3B31">
              <w:rPr>
                <w:rFonts w:ascii="Calibri" w:hAnsi="Calibri" w:cs="Calibri"/>
                <w:b/>
                <w:lang w:val="ro-RO"/>
              </w:rPr>
              <w:t>2022</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hRule="exact" w:val="340"/>
        </w:trPr>
        <w:tc>
          <w:tcPr>
            <w:tcW w:w="1433" w:type="dxa"/>
          </w:tcPr>
          <w:p w:rsidR="004B3372" w:rsidRPr="001C3B31" w:rsidRDefault="004B3372" w:rsidP="00B50045">
            <w:pPr>
              <w:spacing w:after="60"/>
              <w:jc w:val="left"/>
              <w:rPr>
                <w:rFonts w:ascii="Calibri" w:hAnsi="Calibri" w:cs="Calibri"/>
                <w:color w:val="000000"/>
                <w:lang w:val="ro-RO"/>
              </w:rPr>
            </w:pPr>
          </w:p>
        </w:tc>
        <w:tc>
          <w:tcPr>
            <w:tcW w:w="1269" w:type="dxa"/>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actual</w:t>
            </w:r>
          </w:p>
        </w:tc>
        <w:tc>
          <w:tcPr>
            <w:tcW w:w="1324" w:type="dxa"/>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actual</w:t>
            </w:r>
          </w:p>
        </w:tc>
        <w:tc>
          <w:tcPr>
            <w:tcW w:w="1324" w:type="dxa"/>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actual</w:t>
            </w:r>
          </w:p>
        </w:tc>
        <w:tc>
          <w:tcPr>
            <w:tcW w:w="1324" w:type="dxa"/>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actual</w:t>
            </w:r>
          </w:p>
        </w:tc>
        <w:tc>
          <w:tcPr>
            <w:tcW w:w="1324" w:type="dxa"/>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previziune</w:t>
            </w:r>
          </w:p>
        </w:tc>
        <w:tc>
          <w:tcPr>
            <w:tcW w:w="1324" w:type="dxa"/>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previziune</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hRule="exact" w:val="340"/>
        </w:trPr>
        <w:tc>
          <w:tcPr>
            <w:tcW w:w="1433" w:type="dxa"/>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mii MDL</w:t>
            </w:r>
          </w:p>
        </w:tc>
        <w:tc>
          <w:tcPr>
            <w:tcW w:w="1269" w:type="dxa"/>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893 910</w:t>
            </w:r>
          </w:p>
        </w:tc>
        <w:tc>
          <w:tcPr>
            <w:tcW w:w="1324" w:type="dxa"/>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871 210</w:t>
            </w:r>
          </w:p>
        </w:tc>
        <w:tc>
          <w:tcPr>
            <w:tcW w:w="1324" w:type="dxa"/>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892 584</w:t>
            </w:r>
          </w:p>
        </w:tc>
        <w:tc>
          <w:tcPr>
            <w:tcW w:w="1324" w:type="dxa"/>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997 867</w:t>
            </w:r>
          </w:p>
        </w:tc>
        <w:tc>
          <w:tcPr>
            <w:tcW w:w="1324" w:type="dxa"/>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1 068 958</w:t>
            </w:r>
          </w:p>
        </w:tc>
        <w:tc>
          <w:tcPr>
            <w:tcW w:w="1324" w:type="dxa"/>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1 145 115</w:t>
            </w:r>
          </w:p>
        </w:tc>
      </w:tr>
    </w:tbl>
    <w:p w:rsidR="004B3372" w:rsidRPr="001C3B31" w:rsidRDefault="004B3372" w:rsidP="004B3372">
      <w:pPr>
        <w:pStyle w:val="Bottomcaption"/>
        <w:framePr w:wrap="around"/>
        <w:jc w:val="left"/>
        <w:rPr>
          <w:lang w:val="ro-RO"/>
        </w:rPr>
      </w:pPr>
      <w:r>
        <w:rPr>
          <w:lang w:val="ro-RO"/>
        </w:rPr>
        <w:t>Sursa: Legile bugetului de s</w:t>
      </w:r>
      <w:r w:rsidRPr="001C3B31">
        <w:rPr>
          <w:lang w:val="ro-RO"/>
        </w:rPr>
        <w:t>tat pentru anii 2016-2020.</w:t>
      </w:r>
    </w:p>
    <w:p w:rsidR="004B3372" w:rsidRPr="001C3B31" w:rsidRDefault="004B3372" w:rsidP="004B3372">
      <w:pPr>
        <w:rPr>
          <w:lang w:val="ro-RO"/>
        </w:rPr>
      </w:pPr>
      <w:r w:rsidRPr="001C3B31">
        <w:rPr>
          <w:lang w:val="ro-RO"/>
        </w:rPr>
        <w:t>În continuare, vom pune laolaltă toate beneficiile și costurile incrementale identificate anterior pentru scenariul implementării PPP-ului</w:t>
      </w:r>
      <w:r>
        <w:rPr>
          <w:lang w:val="ro-RO"/>
        </w:rPr>
        <w:t>,</w:t>
      </w:r>
      <w:r w:rsidRPr="001C3B31">
        <w:rPr>
          <w:lang w:val="ro-RO"/>
        </w:rPr>
        <w:t xml:space="preserve"> prin adoptarea noului Regulament și acordarea de subvenții pentru noile măsuri în conformitate cu acesta:</w:t>
      </w:r>
    </w:p>
    <w:p w:rsidR="004B3372" w:rsidRPr="001C3B31" w:rsidRDefault="004B3372" w:rsidP="004B3372">
      <w:pPr>
        <w:pStyle w:val="Caption"/>
        <w:framePr w:wrap="around"/>
        <w:rPr>
          <w:lang w:val="ro-RO"/>
        </w:rPr>
      </w:pPr>
      <w:r w:rsidRPr="001C3B31">
        <w:rPr>
          <w:lang w:val="ro-RO"/>
        </w:rPr>
        <w:t>TABELUL 11. Calcului beneficiului net al scenariului „politica implementată”</w:t>
      </w:r>
    </w:p>
    <w:tbl>
      <w:tblPr>
        <w:tblStyle w:val="Civittatable"/>
        <w:tblW w:w="4940" w:type="pct"/>
        <w:tblLook w:val="04A0" w:firstRow="1" w:lastRow="0" w:firstColumn="1" w:lastColumn="0" w:noHBand="0" w:noVBand="1"/>
      </w:tblPr>
      <w:tblGrid>
        <w:gridCol w:w="4275"/>
        <w:gridCol w:w="1727"/>
        <w:gridCol w:w="1727"/>
        <w:gridCol w:w="1727"/>
      </w:tblGrid>
      <w:tr w:rsidR="004B3372" w:rsidRPr="001C3B31" w:rsidTr="00B50045">
        <w:trPr>
          <w:cnfStyle w:val="100000000000" w:firstRow="1" w:lastRow="0" w:firstColumn="0" w:lastColumn="0" w:oddVBand="0" w:evenVBand="0" w:oddHBand="0" w:evenHBand="0" w:firstRowFirstColumn="0" w:firstRowLastColumn="0" w:lastRowFirstColumn="0" w:lastRowLastColumn="0"/>
          <w:trHeight w:val="540"/>
        </w:trPr>
        <w:tc>
          <w:tcPr>
            <w:tcW w:w="2261" w:type="pct"/>
            <w:vAlign w:val="center"/>
          </w:tcPr>
          <w:p w:rsidR="004B3372" w:rsidRPr="001C3B31" w:rsidRDefault="004B3372" w:rsidP="00B50045">
            <w:pPr>
              <w:spacing w:after="60"/>
              <w:jc w:val="left"/>
              <w:rPr>
                <w:rFonts w:eastAsia="Times New Roman" w:cstheme="minorHAnsi"/>
                <w:b/>
                <w:bCs/>
                <w:sz w:val="23"/>
                <w:szCs w:val="23"/>
                <w:lang w:val="ro-RO" w:eastAsia="lt-LT"/>
              </w:rPr>
            </w:pPr>
            <w:r w:rsidRPr="001C3B31">
              <w:rPr>
                <w:rFonts w:ascii="Calibri" w:hAnsi="Calibri" w:cs="Calibri"/>
                <w:b/>
                <w:lang w:val="ro-RO"/>
              </w:rPr>
              <w:lastRenderedPageBreak/>
              <w:t>ANUL</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lang w:val="ro-RO"/>
              </w:rPr>
              <w:t>2020</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lang w:val="ro-RO"/>
              </w:rPr>
              <w:t>2021</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lang w:val="ro-RO"/>
              </w:rPr>
              <w:t>2022</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Mărimea FNDAMR</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997 867</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1 068 958</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1 145 115</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eastAsia="Times New Roman" w:cstheme="minorHAnsi"/>
                <w:bCs/>
                <w:szCs w:val="20"/>
                <w:lang w:val="ro-RO" w:eastAsia="lt-LT"/>
              </w:rPr>
            </w:pPr>
            <w:r w:rsidRPr="001C3B31">
              <w:rPr>
                <w:rFonts w:ascii="Calibri" w:hAnsi="Calibri" w:cs="Calibri"/>
                <w:color w:val="000000"/>
                <w:lang w:val="ro-RO"/>
              </w:rPr>
              <w:t>Alocări pentru noua măsură (5%)</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49 893</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53 447</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57 255</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eastAsia="Times New Roman" w:cstheme="minorHAnsi"/>
                <w:b/>
                <w:szCs w:val="20"/>
                <w:lang w:val="ro-RO" w:eastAsia="lt-LT"/>
              </w:rPr>
            </w:pPr>
            <w:r w:rsidRPr="001C3B31">
              <w:rPr>
                <w:rFonts w:eastAsia="Times New Roman" w:cstheme="minorHAnsi"/>
                <w:b/>
                <w:szCs w:val="20"/>
                <w:lang w:val="ro-RO" w:eastAsia="lt-LT"/>
              </w:rPr>
              <w:t>Administrare GAL (număr de strategii finanțate)</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bCs/>
                <w:color w:val="000000"/>
                <w:szCs w:val="20"/>
                <w:lang w:val="ro-RO"/>
              </w:rPr>
              <w:t>17</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bCs/>
                <w:color w:val="000000"/>
                <w:szCs w:val="20"/>
                <w:lang w:val="ro-RO"/>
              </w:rPr>
              <w:t>18</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bCs/>
                <w:color w:val="000000"/>
                <w:szCs w:val="20"/>
                <w:lang w:val="ro-RO"/>
              </w:rPr>
              <w:t>19</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Alocări</w:t>
            </w:r>
          </w:p>
        </w:tc>
        <w:tc>
          <w:tcPr>
            <w:tcW w:w="913" w:type="pct"/>
            <w:vAlign w:val="center"/>
          </w:tcPr>
          <w:p w:rsidR="004B3372" w:rsidRPr="001C3B31" w:rsidRDefault="004B3372" w:rsidP="00B50045">
            <w:pPr>
              <w:spacing w:after="60"/>
              <w:jc w:val="left"/>
              <w:rPr>
                <w:rFonts w:ascii="Calibri" w:eastAsia="Times New Roman" w:hAnsi="Calibri" w:cs="Times New Roman"/>
                <w:color w:val="000000"/>
                <w:szCs w:val="20"/>
                <w:lang w:val="ro-RO"/>
              </w:rPr>
            </w:pPr>
            <w:r w:rsidRPr="001C3B31">
              <w:rPr>
                <w:rFonts w:ascii="Calibri" w:hAnsi="Calibri" w:cs="Calibri"/>
                <w:color w:val="000000"/>
                <w:szCs w:val="20"/>
                <w:lang w:val="ro-RO"/>
              </w:rPr>
              <w:t>7 484</w:t>
            </w:r>
          </w:p>
        </w:tc>
        <w:tc>
          <w:tcPr>
            <w:tcW w:w="913" w:type="pct"/>
            <w:vAlign w:val="center"/>
          </w:tcPr>
          <w:p w:rsidR="004B3372" w:rsidRPr="001C3B31" w:rsidRDefault="004B3372" w:rsidP="00B50045">
            <w:pPr>
              <w:spacing w:after="60"/>
              <w:jc w:val="left"/>
              <w:rPr>
                <w:rFonts w:ascii="Calibri" w:eastAsia="Times New Roman" w:hAnsi="Calibri" w:cs="Times New Roman"/>
                <w:color w:val="000000"/>
                <w:szCs w:val="20"/>
                <w:lang w:val="ro-RO"/>
              </w:rPr>
            </w:pPr>
            <w:r w:rsidRPr="001C3B31">
              <w:rPr>
                <w:rFonts w:ascii="Calibri" w:hAnsi="Calibri" w:cs="Calibri"/>
                <w:color w:val="000000"/>
                <w:szCs w:val="20"/>
                <w:lang w:val="ro-RO"/>
              </w:rPr>
              <w:t>8 017</w:t>
            </w:r>
          </w:p>
        </w:tc>
        <w:tc>
          <w:tcPr>
            <w:tcW w:w="913" w:type="pct"/>
            <w:vAlign w:val="center"/>
          </w:tcPr>
          <w:p w:rsidR="004B3372" w:rsidRPr="001C3B31" w:rsidRDefault="004B3372" w:rsidP="00B50045">
            <w:pPr>
              <w:spacing w:after="60"/>
              <w:jc w:val="left"/>
              <w:rPr>
                <w:rFonts w:ascii="Calibri" w:eastAsia="Times New Roman" w:hAnsi="Calibri" w:cs="Times New Roman"/>
                <w:color w:val="000000"/>
                <w:szCs w:val="20"/>
                <w:lang w:val="ro-RO"/>
              </w:rPr>
            </w:pPr>
            <w:r w:rsidRPr="001C3B31">
              <w:rPr>
                <w:rFonts w:ascii="Calibri" w:hAnsi="Calibri" w:cs="Calibri"/>
                <w:color w:val="000000"/>
                <w:szCs w:val="20"/>
                <w:lang w:val="ro-RO"/>
              </w:rPr>
              <w:t>8 588</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Raport beneficiu-cost</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1.9</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1.9</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1.9</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color w:val="000000"/>
                <w:lang w:val="ro-RO"/>
              </w:rPr>
              <w:t>Beneficii proiecte</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color w:val="000000"/>
                <w:szCs w:val="20"/>
                <w:lang w:val="ro-RO"/>
              </w:rPr>
              <w:t>14 220</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color w:val="000000"/>
                <w:szCs w:val="20"/>
                <w:lang w:val="ro-RO"/>
              </w:rPr>
              <w:t>15 232</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color w:val="000000"/>
                <w:szCs w:val="20"/>
                <w:lang w:val="ro-RO"/>
              </w:rPr>
              <w:t>16 318</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Costuri administrative solicitanți</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476</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504</w:t>
            </w:r>
          </w:p>
        </w:tc>
        <w:tc>
          <w:tcPr>
            <w:tcW w:w="913" w:type="pct"/>
            <w:vAlign w:val="center"/>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szCs w:val="20"/>
                <w:lang w:val="ro-RO"/>
              </w:rPr>
              <w:t>532</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Beneficiu net</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6 260</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6 711</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7 197</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b/>
                <w:bCs/>
                <w:color w:val="000000"/>
                <w:lang w:val="ro-RO"/>
              </w:rPr>
            </w:pPr>
            <w:r w:rsidRPr="001C3B31">
              <w:rPr>
                <w:rFonts w:eastAsia="Times New Roman" w:cstheme="minorHAnsi"/>
                <w:b/>
                <w:bCs/>
                <w:szCs w:val="20"/>
                <w:lang w:val="ro-RO" w:eastAsia="lt-LT"/>
              </w:rPr>
              <w:t>Diversificarea economiei rurale</w:t>
            </w:r>
            <w:r w:rsidRPr="001C3B31" w:rsidDel="00E64362">
              <w:rPr>
                <w:rFonts w:ascii="Calibri" w:hAnsi="Calibri" w:cs="Calibri"/>
                <w:b/>
                <w:bCs/>
                <w:color w:val="000000"/>
                <w:lang w:val="ro-RO"/>
              </w:rPr>
              <w:t xml:space="preserve"> </w:t>
            </w:r>
            <w:r w:rsidRPr="001C3B31">
              <w:rPr>
                <w:rFonts w:ascii="Calibri" w:hAnsi="Calibri" w:cs="Calibri"/>
                <w:b/>
                <w:bCs/>
                <w:color w:val="000000"/>
                <w:lang w:val="ro-RO"/>
              </w:rPr>
              <w:t>(număr de proiecte)</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b/>
                <w:bCs/>
                <w:color w:val="000000"/>
                <w:szCs w:val="20"/>
                <w:lang w:val="ro-RO"/>
              </w:rPr>
              <w:t>80</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b/>
                <w:bCs/>
                <w:color w:val="000000"/>
                <w:szCs w:val="20"/>
                <w:lang w:val="ro-RO"/>
              </w:rPr>
              <w:t>86</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b/>
                <w:bCs/>
                <w:color w:val="000000"/>
                <w:szCs w:val="20"/>
                <w:lang w:val="ro-RO"/>
              </w:rPr>
              <w:t>92</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Alocări</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24 947</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26 724</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28 628</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Raport beneficiu-cost</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1.24</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1.24</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1.24</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Beneficii proiecte</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30 934</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33 137</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35 498</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Costuri administrative solicitanți</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798</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855</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916</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Beneficiu net</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5 189</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5 559</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5 955</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0"/>
              <w:jc w:val="left"/>
              <w:rPr>
                <w:rFonts w:ascii="Calibri" w:hAnsi="Calibri" w:cs="Calibri"/>
                <w:b/>
                <w:bCs/>
                <w:color w:val="000000"/>
                <w:szCs w:val="20"/>
                <w:lang w:val="ro-RO"/>
              </w:rPr>
            </w:pPr>
            <w:r w:rsidRPr="001C3B31">
              <w:rPr>
                <w:rFonts w:ascii="Calibri" w:hAnsi="Calibri" w:cs="Calibri"/>
                <w:b/>
                <w:bCs/>
                <w:color w:val="000000"/>
                <w:szCs w:val="20"/>
                <w:lang w:val="ro-RO"/>
              </w:rPr>
              <w:t>Crearea, îmbunătățirea și extinderea serviciilor locale de bază pentru populația rurală (</w:t>
            </w:r>
            <w:r w:rsidRPr="001C3B31">
              <w:rPr>
                <w:rFonts w:ascii="Calibri" w:hAnsi="Calibri" w:cs="Calibri"/>
                <w:b/>
                <w:color w:val="000000"/>
                <w:lang w:val="ro-RO"/>
              </w:rPr>
              <w:t>număr de proiecte)</w:t>
            </w:r>
          </w:p>
        </w:tc>
        <w:tc>
          <w:tcPr>
            <w:tcW w:w="913" w:type="pct"/>
            <w:vAlign w:val="center"/>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szCs w:val="20"/>
                <w:lang w:val="ro-RO"/>
              </w:rPr>
              <w:t>40</w:t>
            </w:r>
          </w:p>
        </w:tc>
        <w:tc>
          <w:tcPr>
            <w:tcW w:w="913" w:type="pct"/>
            <w:vAlign w:val="center"/>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szCs w:val="20"/>
                <w:lang w:val="ro-RO"/>
              </w:rPr>
              <w:t>43</w:t>
            </w:r>
          </w:p>
        </w:tc>
        <w:tc>
          <w:tcPr>
            <w:tcW w:w="913" w:type="pct"/>
            <w:vAlign w:val="center"/>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szCs w:val="20"/>
                <w:lang w:val="ro-RO"/>
              </w:rPr>
              <w:t>46</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Alocări</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5 818</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6 232</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6 676</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Raport beneficiu-cost</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1.42</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1.42</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1.42</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Beneficii proiecte</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8 261</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8 849</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9 480</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Costuri administrative solicitanți</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133</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143</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153</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Beneficiu net</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2 310</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2 474</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2 651</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0"/>
              <w:jc w:val="left"/>
              <w:rPr>
                <w:rFonts w:ascii="Calibri" w:hAnsi="Calibri" w:cs="Calibri"/>
                <w:b/>
                <w:bCs/>
                <w:color w:val="000000"/>
                <w:szCs w:val="20"/>
                <w:lang w:val="ro-RO"/>
              </w:rPr>
            </w:pPr>
            <w:r w:rsidRPr="001C3B31">
              <w:rPr>
                <w:rFonts w:eastAsia="Times New Roman" w:cstheme="minorHAnsi"/>
                <w:b/>
                <w:bCs/>
                <w:szCs w:val="20"/>
                <w:lang w:val="ro-RO" w:eastAsia="lt-LT"/>
              </w:rPr>
              <w:t>Dezvoltarea potențialului cultural în mediul rural</w:t>
            </w:r>
            <w:r w:rsidRPr="001C3B31" w:rsidDel="00E64362">
              <w:rPr>
                <w:rFonts w:ascii="Calibri" w:hAnsi="Calibri" w:cs="Calibri"/>
                <w:b/>
                <w:bCs/>
                <w:color w:val="000000"/>
                <w:szCs w:val="20"/>
                <w:lang w:val="ro-RO"/>
              </w:rPr>
              <w:t xml:space="preserve"> </w:t>
            </w:r>
            <w:r w:rsidRPr="001C3B31">
              <w:rPr>
                <w:rFonts w:ascii="Calibri" w:hAnsi="Calibri" w:cs="Calibri"/>
                <w:b/>
                <w:bCs/>
                <w:color w:val="000000"/>
                <w:szCs w:val="20"/>
                <w:lang w:val="ro-RO"/>
              </w:rPr>
              <w:t>(</w:t>
            </w:r>
            <w:r w:rsidRPr="001C3B31">
              <w:rPr>
                <w:rFonts w:ascii="Calibri" w:hAnsi="Calibri" w:cs="Calibri"/>
                <w:b/>
                <w:bCs/>
                <w:color w:val="000000"/>
                <w:lang w:val="ro-RO"/>
              </w:rPr>
              <w:t>număr de proiecte)</w:t>
            </w:r>
          </w:p>
        </w:tc>
        <w:tc>
          <w:tcPr>
            <w:tcW w:w="913" w:type="pct"/>
            <w:vAlign w:val="center"/>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szCs w:val="20"/>
                <w:lang w:val="ro-RO"/>
              </w:rPr>
              <w:t>40</w:t>
            </w:r>
          </w:p>
        </w:tc>
        <w:tc>
          <w:tcPr>
            <w:tcW w:w="913" w:type="pct"/>
            <w:vAlign w:val="center"/>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szCs w:val="20"/>
                <w:lang w:val="ro-RO"/>
              </w:rPr>
              <w:t>43</w:t>
            </w:r>
          </w:p>
        </w:tc>
        <w:tc>
          <w:tcPr>
            <w:tcW w:w="913" w:type="pct"/>
            <w:vAlign w:val="center"/>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szCs w:val="20"/>
                <w:lang w:val="ro-RO"/>
              </w:rPr>
              <w:t>46</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Alocări</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5 818</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6 232</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6 676</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Raport beneficiu-cost</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1.25</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1.25</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1.25</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Beneficii proiecte</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7 272</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7 790</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8 345</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Costuri administrative solicitanți</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133</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143</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153</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Beneficiu net</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1 321</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1 415</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1 516</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0"/>
              <w:jc w:val="left"/>
              <w:rPr>
                <w:rFonts w:ascii="Calibri" w:hAnsi="Calibri" w:cs="Calibri"/>
                <w:b/>
                <w:bCs/>
                <w:color w:val="000000"/>
                <w:szCs w:val="20"/>
                <w:lang w:val="ro-RO"/>
              </w:rPr>
            </w:pPr>
            <w:r w:rsidRPr="001C3B31">
              <w:rPr>
                <w:rFonts w:eastAsia="Times New Roman" w:cstheme="minorHAnsi"/>
                <w:b/>
                <w:bCs/>
                <w:szCs w:val="20"/>
                <w:lang w:val="ro-RO" w:eastAsia="lt-LT"/>
              </w:rPr>
              <w:t>Dezvoltarea și promovarea serviciilor și activităților de turism rural şi a activităților în aer liber</w:t>
            </w:r>
            <w:r w:rsidRPr="001C3B31" w:rsidDel="00E64362">
              <w:rPr>
                <w:rFonts w:ascii="Calibri" w:hAnsi="Calibri" w:cs="Calibri"/>
                <w:b/>
                <w:bCs/>
                <w:color w:val="000000"/>
                <w:szCs w:val="20"/>
                <w:lang w:val="ro-RO"/>
              </w:rPr>
              <w:t xml:space="preserve"> </w:t>
            </w:r>
            <w:r w:rsidRPr="001C3B31">
              <w:rPr>
                <w:rFonts w:ascii="Calibri" w:hAnsi="Calibri" w:cs="Calibri"/>
                <w:b/>
                <w:bCs/>
                <w:color w:val="000000"/>
                <w:szCs w:val="20"/>
                <w:lang w:val="ro-RO"/>
              </w:rPr>
              <w:t>(</w:t>
            </w:r>
            <w:r w:rsidRPr="001C3B31">
              <w:rPr>
                <w:rFonts w:ascii="Calibri" w:hAnsi="Calibri" w:cs="Calibri"/>
                <w:b/>
                <w:bCs/>
                <w:color w:val="000000"/>
                <w:lang w:val="ro-RO"/>
              </w:rPr>
              <w:t>număr de proiecte)</w:t>
            </w:r>
          </w:p>
        </w:tc>
        <w:tc>
          <w:tcPr>
            <w:tcW w:w="913" w:type="pct"/>
            <w:vAlign w:val="center"/>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szCs w:val="20"/>
                <w:lang w:val="ro-RO"/>
              </w:rPr>
              <w:t>40</w:t>
            </w:r>
          </w:p>
        </w:tc>
        <w:tc>
          <w:tcPr>
            <w:tcW w:w="913" w:type="pct"/>
            <w:vAlign w:val="center"/>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szCs w:val="20"/>
                <w:lang w:val="ro-RO"/>
              </w:rPr>
              <w:t>43</w:t>
            </w:r>
          </w:p>
        </w:tc>
        <w:tc>
          <w:tcPr>
            <w:tcW w:w="913" w:type="pct"/>
            <w:vAlign w:val="center"/>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szCs w:val="20"/>
                <w:lang w:val="ro-RO"/>
              </w:rPr>
              <w:t>46</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Alocări</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730</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783</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839</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Raport beneficiu-cost</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0.92</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0.92</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0.92</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Beneficii proiecte</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671</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720</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772</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Costuri administrative solicitanți</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399</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428</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458</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Beneficiu net</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-457</w:t>
            </w:r>
          </w:p>
        </w:tc>
        <w:tc>
          <w:tcPr>
            <w:tcW w:w="913"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szCs w:val="20"/>
                <w:lang w:val="ro-RO"/>
              </w:rPr>
              <w:t>-491</w:t>
            </w:r>
          </w:p>
        </w:tc>
        <w:tc>
          <w:tcPr>
            <w:tcW w:w="913"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szCs w:val="20"/>
                <w:lang w:val="ro-RO"/>
              </w:rPr>
              <w:t>-525</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shd w:val="clear" w:color="auto" w:fill="EAF1DD" w:themeFill="accent3" w:themeFillTint="33"/>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lastRenderedPageBreak/>
              <w:t>Cheltuieli administrative AIPA</w:t>
            </w:r>
          </w:p>
        </w:tc>
        <w:tc>
          <w:tcPr>
            <w:tcW w:w="913" w:type="pct"/>
            <w:shd w:val="clear" w:color="auto" w:fill="EAF1DD" w:themeFill="accent3" w:themeFillTint="33"/>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0</w:t>
            </w:r>
            <w:r w:rsidRPr="001C3B31">
              <w:rPr>
                <w:rStyle w:val="FootnoteReference"/>
                <w:rFonts w:ascii="Calibri" w:hAnsi="Calibri" w:cs="Calibri"/>
                <w:color w:val="000000"/>
                <w:lang w:val="ro-RO"/>
              </w:rPr>
              <w:footnoteReference w:id="23"/>
            </w:r>
          </w:p>
        </w:tc>
        <w:tc>
          <w:tcPr>
            <w:tcW w:w="913" w:type="pct"/>
            <w:shd w:val="clear" w:color="auto" w:fill="EAF1DD" w:themeFill="accent3" w:themeFillTint="33"/>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0</w:t>
            </w:r>
          </w:p>
        </w:tc>
        <w:tc>
          <w:tcPr>
            <w:tcW w:w="913" w:type="pct"/>
            <w:shd w:val="clear" w:color="auto" w:fill="EAF1DD" w:themeFill="accent3" w:themeFillTint="33"/>
            <w:vAlign w:val="bottom"/>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color w:val="000000"/>
                <w:lang w:val="ro-RO"/>
              </w:rPr>
              <w:t>0</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shd w:val="clear" w:color="auto" w:fill="FDE9D9" w:themeFill="accent6" w:themeFillTint="33"/>
            <w:vAlign w:val="bottom"/>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b/>
                <w:color w:val="000000"/>
                <w:lang w:val="ro-RO"/>
              </w:rPr>
              <w:t>Total beneficiu net</w:t>
            </w:r>
          </w:p>
        </w:tc>
        <w:tc>
          <w:tcPr>
            <w:tcW w:w="913" w:type="pct"/>
            <w:shd w:val="clear" w:color="auto" w:fill="FDE9D9" w:themeFill="accent6" w:themeFillTint="33"/>
            <w:vAlign w:val="bottom"/>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lang w:val="ro-RO"/>
              </w:rPr>
              <w:t>14 623</w:t>
            </w:r>
          </w:p>
        </w:tc>
        <w:tc>
          <w:tcPr>
            <w:tcW w:w="913" w:type="pct"/>
            <w:shd w:val="clear" w:color="auto" w:fill="FDE9D9" w:themeFill="accent6" w:themeFillTint="33"/>
            <w:vAlign w:val="bottom"/>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lang w:val="ro-RO"/>
              </w:rPr>
              <w:t>15 669</w:t>
            </w:r>
          </w:p>
        </w:tc>
        <w:tc>
          <w:tcPr>
            <w:tcW w:w="913" w:type="pct"/>
            <w:shd w:val="clear" w:color="auto" w:fill="FDE9D9" w:themeFill="accent6" w:themeFillTint="33"/>
            <w:vAlign w:val="bottom"/>
          </w:tcPr>
          <w:p w:rsidR="004B3372" w:rsidRPr="001C3B31" w:rsidRDefault="004B3372" w:rsidP="00B50045">
            <w:pPr>
              <w:spacing w:after="60"/>
              <w:jc w:val="left"/>
              <w:rPr>
                <w:rFonts w:ascii="Calibri" w:hAnsi="Calibri" w:cs="Calibri"/>
                <w:b/>
                <w:bCs/>
                <w:color w:val="000000"/>
                <w:lang w:val="ro-RO"/>
              </w:rPr>
            </w:pPr>
            <w:r w:rsidRPr="001C3B31">
              <w:rPr>
                <w:rFonts w:ascii="Calibri" w:hAnsi="Calibri" w:cs="Calibri"/>
                <w:b/>
                <w:bCs/>
                <w:color w:val="000000"/>
                <w:lang w:val="ro-RO"/>
              </w:rPr>
              <w:t>16 794</w:t>
            </w:r>
          </w:p>
        </w:tc>
      </w:tr>
    </w:tbl>
    <w:p w:rsidR="004B3372" w:rsidRPr="001C3B31" w:rsidRDefault="004B3372" w:rsidP="004B3372">
      <w:pPr>
        <w:pStyle w:val="Bottomcaption"/>
        <w:framePr w:wrap="around"/>
        <w:jc w:val="left"/>
        <w:rPr>
          <w:lang w:val="ro-RO"/>
        </w:rPr>
      </w:pPr>
      <w:r w:rsidRPr="001C3B31">
        <w:rPr>
          <w:lang w:val="ro-RO"/>
        </w:rPr>
        <w:t>Toate valorile cu excepția raporturilor beneficiu-cost sunt exprimate în mii MDL</w:t>
      </w:r>
    </w:p>
    <w:p w:rsidR="004B3372" w:rsidRPr="001C3B31" w:rsidRDefault="004B3372" w:rsidP="004B3372">
      <w:pPr>
        <w:rPr>
          <w:lang w:val="ro-RO"/>
        </w:rPr>
      </w:pPr>
      <w:r w:rsidRPr="001C3B31">
        <w:rPr>
          <w:lang w:val="ro-RO"/>
        </w:rPr>
        <w:t xml:space="preserve">Astfel, ne putem aștepta ca aprobarea PPP cu privire la acordarea subvențiilor pentru implementarea proiectelor prin intermediul GAL-urilor din Fondul Național de Dezvoltare a Agriculturii și Mediului Rural, cu prevederile existente supuse evaluării ex-ante, să genereze </w:t>
      </w:r>
      <w:r w:rsidRPr="001C3B31">
        <w:rPr>
          <w:b/>
          <w:lang w:val="ro-RO"/>
        </w:rPr>
        <w:t>beneficii nete de 14.6 milioane MDL în anul 2020</w:t>
      </w:r>
      <w:r w:rsidRPr="001C3B31">
        <w:rPr>
          <w:lang w:val="ro-RO"/>
        </w:rPr>
        <w:t>, 15.6 milioane în 2020 și 16.7 milioane în 2021.</w:t>
      </w:r>
    </w:p>
    <w:p w:rsidR="004B3372" w:rsidRPr="001C3B31" w:rsidRDefault="004B3372" w:rsidP="004B3372">
      <w:pPr>
        <w:rPr>
          <w:lang w:val="ro-RO"/>
        </w:rPr>
      </w:pPr>
      <w:r w:rsidRPr="001C3B31">
        <w:rPr>
          <w:lang w:val="ro-RO"/>
        </w:rPr>
        <w:t>Pentru a putea veni</w:t>
      </w:r>
      <w:r>
        <w:rPr>
          <w:lang w:val="ro-RO"/>
        </w:rPr>
        <w:t>,</w:t>
      </w:r>
      <w:r w:rsidRPr="001C3B31">
        <w:rPr>
          <w:lang w:val="ro-RO"/>
        </w:rPr>
        <w:t xml:space="preserve"> însă</w:t>
      </w:r>
      <w:r>
        <w:rPr>
          <w:lang w:val="ro-RO"/>
        </w:rPr>
        <w:t>,</w:t>
      </w:r>
      <w:r w:rsidRPr="001C3B31">
        <w:rPr>
          <w:lang w:val="ro-RO"/>
        </w:rPr>
        <w:t xml:space="preserve"> cu o recomandare finală cu privire la rentabilitatea economică a propunerii de politică publică evaluate, aceasta trebuie comparată cu scenariul neadoptării modificărilor și menținerii situației la zi.</w:t>
      </w:r>
    </w:p>
    <w:p w:rsidR="004B3372" w:rsidRPr="00991458" w:rsidRDefault="004B3372" w:rsidP="004B3372">
      <w:pPr>
        <w:pStyle w:val="Heading2"/>
        <w:numPr>
          <w:ilvl w:val="1"/>
          <w:numId w:val="24"/>
        </w:numPr>
        <w:rPr>
          <w:color w:val="0070C0"/>
          <w:lang w:val="ro-RO"/>
        </w:rPr>
      </w:pPr>
      <w:bookmarkStart w:id="89" w:name="_Toc32515794"/>
      <w:bookmarkStart w:id="90" w:name="_Toc32964849"/>
      <w:r w:rsidRPr="00991458">
        <w:rPr>
          <w:color w:val="0070C0"/>
          <w:lang w:val="ro-RO"/>
        </w:rPr>
        <w:t>Scenariul „Status Quo”</w:t>
      </w:r>
      <w:bookmarkEnd w:id="89"/>
      <w:bookmarkEnd w:id="90"/>
    </w:p>
    <w:p w:rsidR="004B3372" w:rsidRPr="001C3B31" w:rsidRDefault="004B3372" w:rsidP="004B3372">
      <w:pPr>
        <w:rPr>
          <w:lang w:val="ro-RO"/>
        </w:rPr>
      </w:pPr>
      <w:r w:rsidRPr="001C3B31">
        <w:rPr>
          <w:lang w:val="ro-RO"/>
        </w:rPr>
        <w:t>Cel de-al doilea scenariu analizat în cadrul acestei analize este cel în care noul Regulament nu este adoptat. Astfel, FNDAMR în integralitate continuă să fie destinat măsurilor curente prevăzute de Regulamentul privind condițiile, ordinea şi procedura de acordare a mijloacelor Fondului Național de Dezvoltare a Agriculturii şi Mediului Rural</w:t>
      </w:r>
      <w:r>
        <w:rPr>
          <w:lang w:val="ro-RO"/>
        </w:rPr>
        <w:t>, adoptat prin Hotărâ</w:t>
      </w:r>
      <w:r w:rsidRPr="001C3B31">
        <w:rPr>
          <w:lang w:val="ro-RO"/>
        </w:rPr>
        <w:t>rea Guvernului nr.</w:t>
      </w:r>
      <w:r>
        <w:rPr>
          <w:lang w:val="ro-RO"/>
        </w:rPr>
        <w:t xml:space="preserve"> </w:t>
      </w:r>
      <w:r w:rsidRPr="001C3B31">
        <w:rPr>
          <w:lang w:val="ro-RO"/>
        </w:rPr>
        <w:t xml:space="preserve">455 din 21 iunie 2017, cu domeniile de acțiune descrise în secțiunea </w:t>
      </w:r>
      <w:r w:rsidRPr="001C3B31">
        <w:rPr>
          <w:lang w:val="ro-RO"/>
        </w:rPr>
        <w:fldChar w:fldCharType="begin"/>
      </w:r>
      <w:r w:rsidRPr="001C3B31">
        <w:rPr>
          <w:lang w:val="ro-RO"/>
        </w:rPr>
        <w:instrText xml:space="preserve"> REF _Ref5397664 \r \h </w:instrText>
      </w:r>
      <w:r w:rsidRPr="001C3B31">
        <w:rPr>
          <w:lang w:val="ro-RO"/>
        </w:rPr>
      </w:r>
      <w:r w:rsidRPr="001C3B31">
        <w:rPr>
          <w:lang w:val="ro-RO"/>
        </w:rPr>
        <w:fldChar w:fldCharType="separate"/>
      </w:r>
      <w:r w:rsidRPr="001C3B31">
        <w:rPr>
          <w:lang w:val="ro-RO"/>
        </w:rPr>
        <w:t>4.4.2</w:t>
      </w:r>
      <w:r w:rsidRPr="001C3B31">
        <w:rPr>
          <w:lang w:val="ro-RO"/>
        </w:rPr>
        <w:fldChar w:fldCharType="end"/>
      </w:r>
      <w:r w:rsidRPr="001C3B31">
        <w:rPr>
          <w:lang w:val="ro-RO"/>
        </w:rPr>
        <w:t>.</w:t>
      </w:r>
    </w:p>
    <w:p w:rsidR="004B3372" w:rsidRPr="001C3B31" w:rsidRDefault="004B3372" w:rsidP="004B3372">
      <w:pPr>
        <w:rPr>
          <w:lang w:val="ro-RO"/>
        </w:rPr>
      </w:pPr>
      <w:r w:rsidRPr="001C3B31">
        <w:rPr>
          <w:lang w:val="ro-RO"/>
        </w:rPr>
        <w:t>Dacă facem o analiză a măsurilor prevăzute în regulamentul actual (HG nr.</w:t>
      </w:r>
      <w:r>
        <w:rPr>
          <w:lang w:val="ro-RO"/>
        </w:rPr>
        <w:t xml:space="preserve"> </w:t>
      </w:r>
      <w:r w:rsidRPr="001C3B31">
        <w:rPr>
          <w:lang w:val="ro-RO"/>
        </w:rPr>
        <w:t xml:space="preserve">455 din 21 iunie 2017), atunci putem observă că beneficiarii acestora măsuri sunt </w:t>
      </w:r>
      <w:r w:rsidRPr="001C3B31">
        <w:rPr>
          <w:b/>
          <w:lang w:val="ro-RO"/>
        </w:rPr>
        <w:t>producătorii agricoli</w:t>
      </w:r>
      <w:r w:rsidRPr="001C3B31">
        <w:rPr>
          <w:lang w:val="ro-RO"/>
        </w:rPr>
        <w:t>. Din Raportul AIPA privind rezultatele subvenționării pentru anul 2019 observăm</w:t>
      </w:r>
      <w:r>
        <w:rPr>
          <w:lang w:val="ro-RO"/>
        </w:rPr>
        <w:t>,</w:t>
      </w:r>
      <w:r w:rsidRPr="001C3B31">
        <w:rPr>
          <w:lang w:val="ro-RO"/>
        </w:rPr>
        <w:t xml:space="preserve"> că circa 36</w:t>
      </w:r>
      <w:r>
        <w:rPr>
          <w:lang w:val="ro-RO"/>
        </w:rPr>
        <w:t xml:space="preserve"> </w:t>
      </w:r>
      <w:r w:rsidRPr="001C3B31">
        <w:rPr>
          <w:lang w:val="ro-RO"/>
        </w:rPr>
        <w:t>%</w:t>
      </w:r>
      <w:r w:rsidRPr="001C3B31">
        <w:rPr>
          <w:rStyle w:val="FootnoteReference"/>
          <w:lang w:val="ro-RO"/>
        </w:rPr>
        <w:footnoteReference w:id="24"/>
      </w:r>
      <w:r w:rsidRPr="001C3B31">
        <w:rPr>
          <w:lang w:val="ro-RO"/>
        </w:rPr>
        <w:t xml:space="preserve"> din fonduri au constituit achitarea restanțelor către fermieri pentru anul 2018 (342 milioane MDL), iar din cele 536.2 milioane MDL cheltuite pentru finanțarea producătorilor agricoli în anul 2019, 90.33% (484.3 milioane MDL) au fost alocate pentru măsura 1 –  Investiții în exploatațiile agricole pentru restructurare şi adaptare la standardele Uniunii Europene.</w:t>
      </w:r>
    </w:p>
    <w:p w:rsidR="004B3372" w:rsidRPr="00991458" w:rsidRDefault="004B3372" w:rsidP="004B3372">
      <w:pPr>
        <w:pStyle w:val="Heading3"/>
        <w:numPr>
          <w:ilvl w:val="2"/>
          <w:numId w:val="24"/>
        </w:numPr>
        <w:rPr>
          <w:color w:val="0070C0"/>
          <w:lang w:val="ro-RO"/>
        </w:rPr>
      </w:pPr>
      <w:bookmarkStart w:id="91" w:name="_Toc32515795"/>
      <w:bookmarkStart w:id="92" w:name="_Toc32964850"/>
      <w:r w:rsidRPr="00991458">
        <w:rPr>
          <w:color w:val="0070C0"/>
          <w:lang w:val="ro-RO"/>
        </w:rPr>
        <w:t>Raportul beneficiu-cost</w:t>
      </w:r>
      <w:bookmarkEnd w:id="91"/>
      <w:bookmarkEnd w:id="92"/>
    </w:p>
    <w:p w:rsidR="004B3372" w:rsidRPr="001C3B31" w:rsidRDefault="004B3372" w:rsidP="004B3372">
      <w:pPr>
        <w:rPr>
          <w:lang w:val="ro-RO"/>
        </w:rPr>
      </w:pPr>
      <w:r w:rsidRPr="001C3B31">
        <w:rPr>
          <w:lang w:val="ro-RO"/>
        </w:rPr>
        <w:t xml:space="preserve">Natura investițiilor subvenționate este foarte diversă </w:t>
      </w:r>
      <w:r w:rsidRPr="001C3B31">
        <w:rPr>
          <w:rFonts w:cstheme="minorHAnsi"/>
          <w:lang w:val="ro-RO"/>
        </w:rPr>
        <w:t>–</w:t>
      </w:r>
      <w:r w:rsidRPr="001C3B31">
        <w:rPr>
          <w:lang w:val="ro-RO"/>
        </w:rPr>
        <w:t xml:space="preserve"> producerea legumelor şi a fructelor, înființarea, modernizarea şi defrișarea plantațiilor multianuale, procurarea tehnicii şi utilajului agricol, utilarea şi renovarea tehnologică a fermelor zootehnice etc. O analiză a beneficiilor fiecărui tip de investiții în parte ar fi o însărcinare prea laborioasă, date fiind constrângerile de timp și resurse pentru desfășurarea acestei analize. De asemenea, existența datelor cu un nivel suficient de detalii nu este garantată.</w:t>
      </w:r>
    </w:p>
    <w:p w:rsidR="004B3372" w:rsidRPr="001C3B31" w:rsidRDefault="004B3372" w:rsidP="004B3372">
      <w:pPr>
        <w:rPr>
          <w:lang w:val="ro-RO"/>
        </w:rPr>
      </w:pPr>
      <w:r w:rsidRPr="001C3B31">
        <w:rPr>
          <w:lang w:val="ro-RO"/>
        </w:rPr>
        <w:t>Prin u</w:t>
      </w:r>
      <w:r>
        <w:rPr>
          <w:lang w:val="ro-RO"/>
        </w:rPr>
        <w:t xml:space="preserve">rmare, pentru a estima raportul </w:t>
      </w:r>
      <w:r w:rsidRPr="001C3B31">
        <w:rPr>
          <w:lang w:val="ro-RO"/>
        </w:rPr>
        <w:t>cost</w:t>
      </w:r>
      <w:r>
        <w:rPr>
          <w:lang w:val="ro-RO"/>
        </w:rPr>
        <w:t>-</w:t>
      </w:r>
      <w:r w:rsidRPr="001C3B31">
        <w:rPr>
          <w:lang w:val="ro-RO"/>
        </w:rPr>
        <w:t xml:space="preserve">beneficiu al subvențiilor pentru producătorii agricoli, vom utiliza o metodă similară celei din secțiunea </w:t>
      </w:r>
      <w:r w:rsidRPr="001C3B31">
        <w:rPr>
          <w:lang w:val="ro-RO"/>
        </w:rPr>
        <w:fldChar w:fldCharType="begin"/>
      </w:r>
      <w:r w:rsidRPr="001C3B31">
        <w:rPr>
          <w:lang w:val="ro-RO"/>
        </w:rPr>
        <w:instrText xml:space="preserve"> REF _Ref5399168 \r \h  \* MERGEFORMAT </w:instrText>
      </w:r>
      <w:r w:rsidRPr="001C3B31">
        <w:rPr>
          <w:lang w:val="ro-RO"/>
        </w:rPr>
      </w:r>
      <w:r w:rsidRPr="001C3B31">
        <w:rPr>
          <w:lang w:val="ro-RO"/>
        </w:rPr>
        <w:fldChar w:fldCharType="separate"/>
      </w:r>
      <w:r w:rsidRPr="001C3B31">
        <w:rPr>
          <w:b/>
          <w:bCs/>
          <w:lang w:val="ro-RO"/>
        </w:rPr>
        <w:t>Eroare! Fără sursă de referință.</w:t>
      </w:r>
      <w:r w:rsidRPr="001C3B31">
        <w:rPr>
          <w:lang w:val="ro-RO"/>
        </w:rPr>
        <w:fldChar w:fldCharType="end"/>
      </w:r>
      <w:r w:rsidRPr="001C3B31">
        <w:rPr>
          <w:lang w:val="ro-RO"/>
        </w:rPr>
        <w:t xml:space="preserve"> (</w:t>
      </w:r>
      <w:r w:rsidRPr="001C3B31">
        <w:rPr>
          <w:rFonts w:eastAsia="Times New Roman" w:cstheme="minorHAnsi"/>
          <w:szCs w:val="20"/>
          <w:lang w:val="ro-RO" w:eastAsia="lt-LT"/>
        </w:rPr>
        <w:t>Diversificarea econo</w:t>
      </w:r>
      <w:r>
        <w:rPr>
          <w:rFonts w:eastAsia="Times New Roman" w:cstheme="minorHAnsi"/>
          <w:szCs w:val="20"/>
          <w:lang w:val="ro-RO" w:eastAsia="lt-LT"/>
        </w:rPr>
        <w:t>miei rurale prin activități non</w:t>
      </w:r>
      <w:r w:rsidRPr="001C3B31">
        <w:rPr>
          <w:rFonts w:eastAsia="Times New Roman" w:cstheme="minorHAnsi"/>
          <w:szCs w:val="20"/>
          <w:lang w:val="ro-RO" w:eastAsia="lt-LT"/>
        </w:rPr>
        <w:t>agricole</w:t>
      </w:r>
      <w:r w:rsidRPr="001C3B31">
        <w:rPr>
          <w:lang w:val="ro-RO"/>
        </w:rPr>
        <w:t>). Ea se bazează pe datele despre activitatea întreprinderilor, oferite de Biroul Național de Statistică</w:t>
      </w:r>
      <w:r w:rsidRPr="001C3B31">
        <w:rPr>
          <w:rStyle w:val="FootnoteReference"/>
          <w:lang w:val="ro-RO"/>
        </w:rPr>
        <w:footnoteReference w:id="25"/>
      </w:r>
      <w:r w:rsidRPr="001C3B31">
        <w:rPr>
          <w:lang w:val="ro-RO"/>
        </w:rPr>
        <w:t xml:space="preserve">, însă de data aceasta vom analiza companiile din sectorul agricol. </w:t>
      </w:r>
    </w:p>
    <w:p w:rsidR="004B3372" w:rsidRPr="001C3B31" w:rsidRDefault="004B3372" w:rsidP="004B3372">
      <w:pPr>
        <w:pStyle w:val="Focus"/>
        <w:rPr>
          <w:lang w:val="ro-RO"/>
        </w:rPr>
      </w:pPr>
      <w:r w:rsidRPr="001C3B31">
        <w:rPr>
          <w:lang w:val="ro-RO"/>
        </w:rPr>
        <w:t>Valoarea estimată:</w:t>
      </w:r>
    </w:p>
    <w:p w:rsidR="004B3372" w:rsidRPr="001C3B31" w:rsidRDefault="004B3372" w:rsidP="004B3372">
      <w:pPr>
        <w:rPr>
          <w:lang w:val="ro-RO"/>
        </w:rPr>
      </w:pPr>
      <w:r w:rsidRPr="001C3B31">
        <w:rPr>
          <w:lang w:val="ro-RO"/>
        </w:rPr>
        <w:t xml:space="preserve">Un indicator care aproximează beneficiile din înființarea întreprinderii este </w:t>
      </w:r>
      <w:r w:rsidRPr="001C3B31">
        <w:rPr>
          <w:b/>
          <w:lang w:val="ro-RO"/>
        </w:rPr>
        <w:t>venitul din vânzări</w:t>
      </w:r>
      <w:r w:rsidRPr="001C3B31">
        <w:rPr>
          <w:lang w:val="ro-RO"/>
        </w:rPr>
        <w:t xml:space="preserve"> pe parcursul unui an fiscal de referință. Un indicator care aproximează costurile este suma diferitelor costuri operaționale: </w:t>
      </w:r>
      <w:r w:rsidRPr="001C3B31">
        <w:rPr>
          <w:b/>
          <w:lang w:val="ro-RO"/>
        </w:rPr>
        <w:t xml:space="preserve">costul vânzărilor, cheltuielile de distribuire, cheltuielile administrative și alte </w:t>
      </w:r>
      <w:r w:rsidRPr="001C3B31">
        <w:rPr>
          <w:b/>
          <w:lang w:val="ro-RO"/>
        </w:rPr>
        <w:lastRenderedPageBreak/>
        <w:t>cheltuieli din activitatea operațională</w:t>
      </w:r>
      <w:r w:rsidRPr="001C3B31">
        <w:rPr>
          <w:lang w:val="ro-RO"/>
        </w:rPr>
        <w:t>. Pornim de la premisa că, într-o economie de piață competitivă, prețul unui bun reflectă disponibilitatea de plată a consumatorilor pentru acesta.</w:t>
      </w:r>
    </w:p>
    <w:p w:rsidR="004B3372" w:rsidRPr="001C3B31" w:rsidRDefault="004B3372" w:rsidP="004B3372">
      <w:pPr>
        <w:rPr>
          <w:lang w:val="ro-RO"/>
        </w:rPr>
      </w:pPr>
      <w:r w:rsidRPr="001C3B31">
        <w:rPr>
          <w:lang w:val="ro-RO"/>
        </w:rPr>
        <w:t>Veniturile și cheltuielile din alte activități decât cea operațională nu sunt considerate relevante, deoarece acestea nu sunt eligibile pentru finanțare</w:t>
      </w:r>
      <w:r>
        <w:rPr>
          <w:lang w:val="ro-RO"/>
        </w:rPr>
        <w:t>,</w:t>
      </w:r>
      <w:r w:rsidRPr="001C3B31">
        <w:rPr>
          <w:lang w:val="ro-RO"/>
        </w:rPr>
        <w:t xml:space="preserve"> conform Regulamentului evaluat. Anul de referință pentru datele respective a fost anul 2017 – ultimul an pentru care existau date despre activitatea întreprinderilor din surse administrative la momentul efectuării acestei analize.</w:t>
      </w:r>
    </w:p>
    <w:p w:rsidR="004B3372" w:rsidRPr="001C3B31" w:rsidRDefault="004B3372" w:rsidP="004B3372">
      <w:pPr>
        <w:rPr>
          <w:lang w:val="ro-RO"/>
        </w:rPr>
      </w:pPr>
      <w:r w:rsidRPr="001C3B31">
        <w:rPr>
          <w:lang w:val="ro-RO"/>
        </w:rPr>
        <w:t>Pentru a corespunde cât mai bine cu grupul-țintă definit de Regulament, am limitat analiza la următoarele tipuri de întreprinderi:</w:t>
      </w:r>
    </w:p>
    <w:p w:rsidR="004B3372" w:rsidRPr="001C3B31" w:rsidRDefault="004B3372" w:rsidP="004B3372">
      <w:pPr>
        <w:pStyle w:val="Bullet"/>
        <w:rPr>
          <w:lang w:val="ro-RO"/>
        </w:rPr>
      </w:pPr>
      <w:r>
        <w:rPr>
          <w:lang w:val="ro-RO"/>
        </w:rPr>
        <w:t>Micro</w:t>
      </w:r>
      <w:r w:rsidRPr="001C3B31">
        <w:rPr>
          <w:lang w:val="ro-RO"/>
        </w:rPr>
        <w:t>întreprinderi și întreprinderi mici (cu un număr de angajați mai mic ca 50 și venituri totale din vânzări de până la 25 milioane lei sau active totale de până la 25 milioane lei)</w:t>
      </w:r>
      <w:r>
        <w:rPr>
          <w:lang w:val="ro-RO"/>
        </w:rPr>
        <w:t>;</w:t>
      </w:r>
    </w:p>
    <w:p w:rsidR="004B3372" w:rsidRPr="001C3B31" w:rsidRDefault="004B3372" w:rsidP="004B3372">
      <w:pPr>
        <w:pStyle w:val="Bullet"/>
        <w:rPr>
          <w:lang w:val="ro-RO"/>
        </w:rPr>
      </w:pPr>
      <w:r w:rsidRPr="001C3B31">
        <w:rPr>
          <w:lang w:val="ro-RO"/>
        </w:rPr>
        <w:t>În mediul rural</w:t>
      </w:r>
      <w:r>
        <w:rPr>
          <w:lang w:val="ro-RO"/>
        </w:rPr>
        <w:t>;</w:t>
      </w:r>
    </w:p>
    <w:p w:rsidR="004B3372" w:rsidRPr="001C3B31" w:rsidRDefault="004B3372" w:rsidP="004B3372">
      <w:pPr>
        <w:pStyle w:val="Bullet"/>
        <w:rPr>
          <w:lang w:val="ro-RO"/>
        </w:rPr>
      </w:pPr>
      <w:r w:rsidRPr="001C3B31">
        <w:rPr>
          <w:lang w:val="ro-RO"/>
        </w:rPr>
        <w:t xml:space="preserve">A căror activitate </w:t>
      </w:r>
      <w:r w:rsidRPr="001C3B31">
        <w:rPr>
          <w:b/>
          <w:i/>
          <w:lang w:val="ro-RO"/>
        </w:rPr>
        <w:t>face parte</w:t>
      </w:r>
      <w:r w:rsidRPr="001C3B31">
        <w:rPr>
          <w:lang w:val="ro-RO"/>
        </w:rPr>
        <w:t xml:space="preserve"> din secțiunea A din CAEM - agricultură, silvicultură şi pescuit</w:t>
      </w:r>
      <w:r>
        <w:rPr>
          <w:lang w:val="ro-RO"/>
        </w:rPr>
        <w:t>;</w:t>
      </w:r>
    </w:p>
    <w:p w:rsidR="004B3372" w:rsidRPr="001C3B31" w:rsidRDefault="004B3372" w:rsidP="004B3372">
      <w:pPr>
        <w:pStyle w:val="Bullet"/>
        <w:rPr>
          <w:lang w:val="ro-RO"/>
        </w:rPr>
      </w:pPr>
      <w:r w:rsidRPr="001C3B31">
        <w:rPr>
          <w:lang w:val="ro-RO"/>
        </w:rPr>
        <w:t>Care au realizat venituri din vânzări în anul 2017 (adică au desfășurat activitate economică)</w:t>
      </w:r>
      <w:r>
        <w:rPr>
          <w:lang w:val="ro-RO"/>
        </w:rPr>
        <w:t>;</w:t>
      </w:r>
    </w:p>
    <w:p w:rsidR="004B3372" w:rsidRPr="001C3B31" w:rsidRDefault="004B3372" w:rsidP="004B3372">
      <w:pPr>
        <w:pStyle w:val="Bullet"/>
        <w:rPr>
          <w:lang w:val="ro-RO"/>
        </w:rPr>
      </w:pPr>
      <w:r w:rsidRPr="001C3B31">
        <w:rPr>
          <w:lang w:val="ro-RO"/>
        </w:rPr>
        <w:t>În proprietate privată (individuală sau colectivă, excluzând întreprinderile de stat, mixte și cu capital străin)</w:t>
      </w:r>
    </w:p>
    <w:p w:rsidR="004B3372" w:rsidRPr="001C3B31" w:rsidRDefault="004B3372" w:rsidP="004B3372">
      <w:pPr>
        <w:rPr>
          <w:lang w:val="ro-RO"/>
        </w:rPr>
      </w:pPr>
      <w:r w:rsidRPr="001C3B31">
        <w:rPr>
          <w:lang w:val="ro-RO"/>
        </w:rPr>
        <w:t>Astfel, pentru fiecare întreprindere am calculat raportul dintre venit</w:t>
      </w:r>
      <w:r>
        <w:rPr>
          <w:lang w:val="ro-RO"/>
        </w:rPr>
        <w:t>urile și costurile operaționale, i</w:t>
      </w:r>
      <w:r w:rsidRPr="001C3B31">
        <w:rPr>
          <w:lang w:val="ro-RO"/>
        </w:rPr>
        <w:t xml:space="preserve">ar </w:t>
      </w:r>
      <w:r w:rsidRPr="001C3B31">
        <w:rPr>
          <w:b/>
          <w:lang w:val="ro-RO"/>
        </w:rPr>
        <w:t>raportul beneficiu-cost</w:t>
      </w:r>
      <w:r w:rsidRPr="001C3B31">
        <w:rPr>
          <w:lang w:val="ro-RO"/>
        </w:rPr>
        <w:t xml:space="preserve"> total al finanțării acestui domeniu de acțiune a fost estimat </w:t>
      </w:r>
      <w:r>
        <w:rPr>
          <w:lang w:val="ro-RO"/>
        </w:rPr>
        <w:t>drept</w:t>
      </w:r>
      <w:r w:rsidRPr="001C3B31">
        <w:rPr>
          <w:lang w:val="ro-RO"/>
        </w:rPr>
        <w:t xml:space="preserve"> media aritmetică a valorilor </w:t>
      </w:r>
      <w:r>
        <w:rPr>
          <w:lang w:val="ro-RO"/>
        </w:rPr>
        <w:t xml:space="preserve">pentru toate întreprinderile </w:t>
      </w:r>
      <w:r w:rsidRPr="001C3B31">
        <w:rPr>
          <w:lang w:val="ro-RO"/>
        </w:rPr>
        <w:t>ce satisfac criteriile de mai sus</w:t>
      </w:r>
      <w:r w:rsidRPr="001C3B31">
        <w:rPr>
          <w:rStyle w:val="FootnoteReference"/>
          <w:lang w:val="ro-RO"/>
        </w:rPr>
        <w:footnoteReference w:id="26"/>
      </w:r>
      <w:r w:rsidRPr="001C3B31">
        <w:rPr>
          <w:lang w:val="ro-RO"/>
        </w:rPr>
        <w:t xml:space="preserve">. Această valoare este de </w:t>
      </w:r>
      <w:r w:rsidRPr="001C3B31">
        <w:rPr>
          <w:b/>
          <w:lang w:val="ro-RO"/>
        </w:rPr>
        <w:t>1,28</w:t>
      </w:r>
      <w:r w:rsidRPr="001C3B31">
        <w:rPr>
          <w:lang w:val="ro-RO"/>
        </w:rPr>
        <w:t>.</w:t>
      </w:r>
    </w:p>
    <w:p w:rsidR="004B3372" w:rsidRPr="001C3B31" w:rsidRDefault="004B3372" w:rsidP="004B3372">
      <w:pPr>
        <w:rPr>
          <w:lang w:val="ro-RO"/>
        </w:rPr>
      </w:pPr>
      <w:r w:rsidRPr="001C3B31">
        <w:rPr>
          <w:lang w:val="ro-RO"/>
        </w:rPr>
        <w:t xml:space="preserve">Ea va fi aplicată pentru a estima beneficiile economice generate de fiecare leu cheltuit pentru subvenționarea producătorilor agricoli în scenariul „Status Quo”. Dat fiind faptul că raportul este mai mare decât 1, putem concluziona că acest tip de proiecte, analizat de sine stătător, este </w:t>
      </w:r>
      <w:r w:rsidRPr="001C3B31">
        <w:rPr>
          <w:b/>
          <w:lang w:val="ro-RO"/>
        </w:rPr>
        <w:t>benefic pentru societate</w:t>
      </w:r>
      <w:r w:rsidRPr="001C3B31">
        <w:rPr>
          <w:lang w:val="ro-RO"/>
        </w:rPr>
        <w:t>. Totuși, la finalul prezentului studiu vom efectua compararea scenariilor, pentru a identifica dacă dintre cele două scenarii, ambele benefice de sine stătător, unul este mai benefic decât celălalt.</w:t>
      </w:r>
    </w:p>
    <w:p w:rsidR="004B3372" w:rsidRPr="001C3B31" w:rsidRDefault="004B3372" w:rsidP="004B3372">
      <w:pPr>
        <w:pStyle w:val="Focus"/>
        <w:rPr>
          <w:lang w:val="ro-RO"/>
        </w:rPr>
      </w:pPr>
      <w:r w:rsidRPr="001C3B31">
        <w:rPr>
          <w:lang w:val="ro-RO"/>
        </w:rPr>
        <w:t>Natura beneficiilor și a costurilor:</w:t>
      </w:r>
    </w:p>
    <w:p w:rsidR="004B3372" w:rsidRPr="001C3B31" w:rsidRDefault="004B3372" w:rsidP="004B3372">
      <w:pPr>
        <w:pStyle w:val="Bullet"/>
        <w:numPr>
          <w:ilvl w:val="0"/>
          <w:numId w:val="0"/>
        </w:numPr>
        <w:rPr>
          <w:lang w:val="ro-RO"/>
        </w:rPr>
      </w:pPr>
      <w:r w:rsidRPr="001C3B31">
        <w:rPr>
          <w:lang w:val="ro-RO"/>
        </w:rPr>
        <w:t xml:space="preserve">Dat fiind faptul că estimările beneficiilor și ale costurilor pentru subpunctul respectiv provin din rapoartele financiare ale întreprinderilor, ele includ doar beneficiile și costurile financiare. </w:t>
      </w:r>
    </w:p>
    <w:p w:rsidR="004B3372" w:rsidRPr="00991458" w:rsidRDefault="004B3372" w:rsidP="004B3372">
      <w:pPr>
        <w:pStyle w:val="Heading3"/>
        <w:numPr>
          <w:ilvl w:val="2"/>
          <w:numId w:val="24"/>
        </w:numPr>
        <w:rPr>
          <w:color w:val="0070C0"/>
          <w:lang w:val="ro-RO"/>
        </w:rPr>
      </w:pPr>
      <w:bookmarkStart w:id="93" w:name="_Toc32515796"/>
      <w:bookmarkStart w:id="94" w:name="_Toc32964851"/>
      <w:r w:rsidRPr="00991458">
        <w:rPr>
          <w:color w:val="0070C0"/>
          <w:lang w:val="ro-RO"/>
        </w:rPr>
        <w:t>Cheltuielile administrative</w:t>
      </w:r>
      <w:bookmarkEnd w:id="93"/>
      <w:bookmarkEnd w:id="94"/>
    </w:p>
    <w:p w:rsidR="004B3372" w:rsidRPr="001C3B31" w:rsidRDefault="004B3372" w:rsidP="004B3372">
      <w:pPr>
        <w:rPr>
          <w:lang w:val="ro-RO"/>
        </w:rPr>
      </w:pPr>
      <w:r w:rsidRPr="001C3B31">
        <w:rPr>
          <w:lang w:val="ro-RO"/>
        </w:rPr>
        <w:t xml:space="preserve">Urmând principiul de analiză incrementală, scenariul „Status Quo” a fost luat drept scenariu de referință, în raport cu care au fost calculate cheltuielile administrative suplimentare în cadrul scenariului „politică implementată”. Respectiv, cheltuielile administrative relevante în scenariul „Status Quo” sunt </w:t>
      </w:r>
      <w:r w:rsidRPr="001C3B31">
        <w:rPr>
          <w:b/>
          <w:lang w:val="ro-RO"/>
        </w:rPr>
        <w:t>egale cu zero</w:t>
      </w:r>
      <w:r w:rsidRPr="001C3B31">
        <w:rPr>
          <w:lang w:val="ro-RO"/>
        </w:rPr>
        <w:t xml:space="preserve">. Personalul suplimentar nu va fi angajat de către AIPA, iar solicitanții nu vor trebui să suporte costuri suplimentare pentru elaborarea setului de acte pentru aplicare. </w:t>
      </w:r>
    </w:p>
    <w:p w:rsidR="004B3372" w:rsidRPr="00991458" w:rsidRDefault="004B3372" w:rsidP="004B3372">
      <w:pPr>
        <w:pStyle w:val="Heading3"/>
        <w:numPr>
          <w:ilvl w:val="2"/>
          <w:numId w:val="24"/>
        </w:numPr>
        <w:rPr>
          <w:color w:val="0070C0"/>
          <w:lang w:val="ro-RO"/>
        </w:rPr>
      </w:pPr>
      <w:bookmarkStart w:id="95" w:name="_Toc32515797"/>
      <w:bookmarkStart w:id="96" w:name="_Toc32964852"/>
      <w:r w:rsidRPr="00991458">
        <w:rPr>
          <w:color w:val="0070C0"/>
          <w:lang w:val="ro-RO"/>
        </w:rPr>
        <w:t>Beneficiul Net</w:t>
      </w:r>
      <w:bookmarkEnd w:id="95"/>
      <w:bookmarkEnd w:id="96"/>
    </w:p>
    <w:p w:rsidR="004B3372" w:rsidRPr="001C3B31" w:rsidRDefault="004B3372" w:rsidP="004B3372">
      <w:pPr>
        <w:rPr>
          <w:lang w:val="ro-RO"/>
        </w:rPr>
      </w:pPr>
      <w:r w:rsidRPr="001C3B31">
        <w:rPr>
          <w:lang w:val="ro-RO"/>
        </w:rPr>
        <w:t xml:space="preserve">Tot conform principului analizei incrementale, după cum am menționat anterior, sunt relevante doar cheltuielile care au o altă destinație decât în cadrul celuilalt scenariu </w:t>
      </w:r>
      <w:r w:rsidRPr="001C3B31">
        <w:rPr>
          <w:rFonts w:cstheme="minorHAnsi"/>
          <w:lang w:val="ro-RO"/>
        </w:rPr>
        <w:t>–</w:t>
      </w:r>
      <w:r w:rsidRPr="001C3B31">
        <w:rPr>
          <w:lang w:val="ro-RO"/>
        </w:rPr>
        <w:t xml:space="preserve"> adică cele 15</w:t>
      </w:r>
      <w:r>
        <w:rPr>
          <w:lang w:val="ro-RO"/>
        </w:rPr>
        <w:t xml:space="preserve"> </w:t>
      </w:r>
      <w:r w:rsidRPr="001C3B31">
        <w:rPr>
          <w:lang w:val="ro-RO"/>
        </w:rPr>
        <w:t>% din FNDAMR care sunt redirecționate către noile măsuri în scenariul „politică implementată”. Prin aplicarea raportului cost-beneficiu la mărimea fondurilor care își schimbă destinația, obținem beneficiul net incremental al scenariului „Status Quo”:</w:t>
      </w:r>
    </w:p>
    <w:p w:rsidR="004B3372" w:rsidRPr="001C3B31" w:rsidRDefault="004B3372" w:rsidP="004B3372">
      <w:pPr>
        <w:pStyle w:val="Caption"/>
        <w:framePr w:wrap="around"/>
        <w:rPr>
          <w:lang w:val="ro-RO"/>
        </w:rPr>
      </w:pPr>
      <w:r w:rsidRPr="001C3B31">
        <w:rPr>
          <w:lang w:val="ro-RO"/>
        </w:rPr>
        <w:t>TABELUL 12. Calcului beneficiului net al scenariului „Status Quo”</w:t>
      </w:r>
    </w:p>
    <w:tbl>
      <w:tblPr>
        <w:tblStyle w:val="Civittatable"/>
        <w:tblW w:w="4940" w:type="pct"/>
        <w:tblLook w:val="04A0" w:firstRow="1" w:lastRow="0" w:firstColumn="1" w:lastColumn="0" w:noHBand="0" w:noVBand="1"/>
      </w:tblPr>
      <w:tblGrid>
        <w:gridCol w:w="4275"/>
        <w:gridCol w:w="1727"/>
        <w:gridCol w:w="1727"/>
        <w:gridCol w:w="1727"/>
      </w:tblGrid>
      <w:tr w:rsidR="004B3372" w:rsidRPr="001C3B31" w:rsidTr="00B50045">
        <w:trPr>
          <w:cnfStyle w:val="100000000000" w:firstRow="1" w:lastRow="0" w:firstColumn="0" w:lastColumn="0" w:oddVBand="0" w:evenVBand="0" w:oddHBand="0" w:evenHBand="0" w:firstRowFirstColumn="0" w:firstRowLastColumn="0" w:lastRowFirstColumn="0" w:lastRowLastColumn="0"/>
          <w:trHeight w:val="540"/>
        </w:trPr>
        <w:tc>
          <w:tcPr>
            <w:tcW w:w="2261" w:type="pct"/>
            <w:vAlign w:val="center"/>
          </w:tcPr>
          <w:p w:rsidR="004B3372" w:rsidRPr="001C3B31" w:rsidRDefault="004B3372" w:rsidP="00B50045">
            <w:pPr>
              <w:spacing w:after="60"/>
              <w:jc w:val="left"/>
              <w:rPr>
                <w:rFonts w:eastAsia="Times New Roman" w:cstheme="minorHAnsi"/>
                <w:b/>
                <w:bCs/>
                <w:sz w:val="23"/>
                <w:szCs w:val="23"/>
                <w:lang w:val="ro-RO" w:eastAsia="lt-LT"/>
              </w:rPr>
            </w:pPr>
            <w:r w:rsidRPr="001C3B31">
              <w:rPr>
                <w:rFonts w:ascii="Calibri" w:hAnsi="Calibri" w:cs="Calibri"/>
                <w:b/>
                <w:lang w:val="ro-RO"/>
              </w:rPr>
              <w:t>Anul</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eastAsia="Times New Roman" w:cstheme="minorHAnsi"/>
                <w:b/>
                <w:szCs w:val="20"/>
                <w:lang w:val="ro-RO" w:eastAsia="lt-LT"/>
              </w:rPr>
              <w:t>2020</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lang w:val="ro-RO"/>
              </w:rPr>
              <w:t>2021</w:t>
            </w:r>
          </w:p>
        </w:tc>
        <w:tc>
          <w:tcPr>
            <w:tcW w:w="913" w:type="pct"/>
            <w:vAlign w:val="center"/>
          </w:tcPr>
          <w:p w:rsidR="004B3372" w:rsidRPr="001C3B31" w:rsidRDefault="004B3372" w:rsidP="00B50045">
            <w:pPr>
              <w:spacing w:after="60"/>
              <w:jc w:val="left"/>
              <w:rPr>
                <w:rFonts w:eastAsia="Times New Roman" w:cstheme="minorHAnsi"/>
                <w:b/>
                <w:szCs w:val="20"/>
                <w:lang w:val="ro-RO" w:eastAsia="lt-LT"/>
              </w:rPr>
            </w:pPr>
            <w:r w:rsidRPr="001C3B31">
              <w:rPr>
                <w:rFonts w:ascii="Calibri" w:hAnsi="Calibri" w:cs="Calibri"/>
                <w:b/>
                <w:lang w:val="ro-RO"/>
              </w:rPr>
              <w:t>2022</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lastRenderedPageBreak/>
              <w:t>Mărimea FNDAMR</w:t>
            </w:r>
          </w:p>
        </w:tc>
        <w:tc>
          <w:tcPr>
            <w:tcW w:w="913" w:type="pct"/>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997 867</w:t>
            </w:r>
          </w:p>
        </w:tc>
        <w:tc>
          <w:tcPr>
            <w:tcW w:w="913" w:type="pct"/>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1 068 958</w:t>
            </w:r>
          </w:p>
        </w:tc>
        <w:tc>
          <w:tcPr>
            <w:tcW w:w="913" w:type="pct"/>
            <w:vAlign w:val="bottom"/>
          </w:tcPr>
          <w:p w:rsidR="004B3372" w:rsidRPr="001C3B31" w:rsidRDefault="004B3372" w:rsidP="00B50045">
            <w:pPr>
              <w:spacing w:after="60"/>
              <w:jc w:val="left"/>
              <w:rPr>
                <w:rFonts w:eastAsia="Times New Roman" w:cstheme="minorHAnsi"/>
                <w:szCs w:val="20"/>
                <w:lang w:val="ro-RO" w:eastAsia="lt-LT"/>
              </w:rPr>
            </w:pPr>
            <w:r w:rsidRPr="001C3B31">
              <w:rPr>
                <w:rFonts w:ascii="Calibri" w:hAnsi="Calibri" w:cs="Calibri"/>
                <w:color w:val="000000"/>
                <w:lang w:val="ro-RO"/>
              </w:rPr>
              <w:t>1 145 115</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eastAsia="Times New Roman" w:cstheme="minorHAnsi"/>
                <w:bCs/>
                <w:szCs w:val="20"/>
                <w:lang w:val="ro-RO" w:eastAsia="lt-LT"/>
              </w:rPr>
            </w:pPr>
            <w:r w:rsidRPr="001C3B31">
              <w:rPr>
                <w:rFonts w:ascii="Calibri" w:hAnsi="Calibri" w:cs="Calibri"/>
                <w:color w:val="000000"/>
                <w:lang w:val="ro-RO"/>
              </w:rPr>
              <w:t>Alocări destinate subvențiilor în agricultură care își schimbă destinația în comparație cu celălalt scenariu (5</w:t>
            </w:r>
            <w:r>
              <w:rPr>
                <w:rFonts w:ascii="Calibri" w:hAnsi="Calibri" w:cs="Calibri"/>
                <w:color w:val="000000"/>
                <w:lang w:val="ro-RO"/>
              </w:rPr>
              <w:t xml:space="preserve"> </w:t>
            </w:r>
            <w:r w:rsidRPr="001C3B31">
              <w:rPr>
                <w:rFonts w:ascii="Calibri" w:hAnsi="Calibri" w:cs="Calibri"/>
                <w:color w:val="000000"/>
                <w:lang w:val="ro-RO"/>
              </w:rPr>
              <w:t>%)</w:t>
            </w:r>
          </w:p>
        </w:tc>
        <w:tc>
          <w:tcPr>
            <w:tcW w:w="913" w:type="pct"/>
            <w:vAlign w:val="center"/>
          </w:tcPr>
          <w:p w:rsidR="004B3372" w:rsidRPr="001C3B31" w:rsidRDefault="004B3372" w:rsidP="00B50045">
            <w:pPr>
              <w:spacing w:after="60"/>
              <w:jc w:val="left"/>
              <w:rPr>
                <w:rFonts w:eastAsia="Times New Roman" w:cstheme="minorHAnsi"/>
                <w:sz w:val="22"/>
                <w:lang w:val="ro-RO" w:eastAsia="lt-LT"/>
              </w:rPr>
            </w:pPr>
            <w:r w:rsidRPr="001C3B31">
              <w:rPr>
                <w:rFonts w:ascii="Calibri" w:hAnsi="Calibri" w:cs="Calibri"/>
                <w:color w:val="000000"/>
                <w:lang w:val="ro-RO"/>
              </w:rPr>
              <w:t>49 893</w:t>
            </w:r>
          </w:p>
        </w:tc>
        <w:tc>
          <w:tcPr>
            <w:tcW w:w="913" w:type="pct"/>
            <w:vAlign w:val="center"/>
          </w:tcPr>
          <w:p w:rsidR="004B3372" w:rsidRPr="001C3B31" w:rsidRDefault="004B3372" w:rsidP="00B50045">
            <w:pPr>
              <w:spacing w:after="60"/>
              <w:jc w:val="left"/>
              <w:rPr>
                <w:rFonts w:eastAsia="Times New Roman" w:cstheme="minorHAnsi"/>
                <w:sz w:val="22"/>
                <w:lang w:val="ro-RO" w:eastAsia="lt-LT"/>
              </w:rPr>
            </w:pPr>
            <w:r w:rsidRPr="001C3B31">
              <w:rPr>
                <w:rFonts w:ascii="Calibri" w:hAnsi="Calibri" w:cs="Calibri"/>
                <w:color w:val="000000"/>
                <w:lang w:val="ro-RO"/>
              </w:rPr>
              <w:t>53 447</w:t>
            </w:r>
          </w:p>
        </w:tc>
        <w:tc>
          <w:tcPr>
            <w:tcW w:w="913" w:type="pct"/>
            <w:vAlign w:val="center"/>
          </w:tcPr>
          <w:p w:rsidR="004B3372" w:rsidRPr="001C3B31" w:rsidRDefault="004B3372" w:rsidP="00B50045">
            <w:pPr>
              <w:spacing w:after="60"/>
              <w:jc w:val="left"/>
              <w:rPr>
                <w:rFonts w:eastAsia="Times New Roman" w:cstheme="minorHAnsi"/>
                <w:sz w:val="22"/>
                <w:lang w:val="ro-RO" w:eastAsia="lt-LT"/>
              </w:rPr>
            </w:pPr>
            <w:r w:rsidRPr="001C3B31">
              <w:rPr>
                <w:rFonts w:ascii="Calibri" w:hAnsi="Calibri" w:cs="Calibri"/>
                <w:color w:val="000000"/>
                <w:lang w:val="ro-RO"/>
              </w:rPr>
              <w:t>57 255</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Raportul beneficiu-cost</w:t>
            </w:r>
          </w:p>
        </w:tc>
        <w:tc>
          <w:tcPr>
            <w:tcW w:w="913"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1.28</w:t>
            </w:r>
          </w:p>
        </w:tc>
        <w:tc>
          <w:tcPr>
            <w:tcW w:w="913"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1.28</w:t>
            </w:r>
          </w:p>
        </w:tc>
        <w:tc>
          <w:tcPr>
            <w:tcW w:w="913"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1.28</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Beneficiile implementării proiectelor investiționale finanțate din subvenții</w:t>
            </w:r>
          </w:p>
        </w:tc>
        <w:tc>
          <w:tcPr>
            <w:tcW w:w="913"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63 863</w:t>
            </w:r>
          </w:p>
        </w:tc>
        <w:tc>
          <w:tcPr>
            <w:tcW w:w="913"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68 412</w:t>
            </w:r>
          </w:p>
        </w:tc>
        <w:tc>
          <w:tcPr>
            <w:tcW w:w="913" w:type="pct"/>
            <w:vAlign w:val="bottom"/>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73 286</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61" w:type="pct"/>
            <w:vAlign w:val="bottom"/>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b/>
                <w:color w:val="000000"/>
                <w:lang w:val="ro-RO"/>
              </w:rPr>
              <w:t>Beneficiul net</w:t>
            </w:r>
          </w:p>
        </w:tc>
        <w:tc>
          <w:tcPr>
            <w:tcW w:w="913" w:type="pct"/>
            <w:vAlign w:val="bottom"/>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b/>
                <w:color w:val="000000"/>
                <w:lang w:val="ro-RO"/>
              </w:rPr>
              <w:t>14 030</w:t>
            </w:r>
          </w:p>
        </w:tc>
        <w:tc>
          <w:tcPr>
            <w:tcW w:w="913" w:type="pct"/>
            <w:vAlign w:val="bottom"/>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b/>
                <w:color w:val="000000"/>
                <w:lang w:val="ro-RO"/>
              </w:rPr>
              <w:t>15 035</w:t>
            </w:r>
          </w:p>
        </w:tc>
        <w:tc>
          <w:tcPr>
            <w:tcW w:w="913" w:type="pct"/>
            <w:vAlign w:val="bottom"/>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b/>
                <w:color w:val="000000"/>
                <w:lang w:val="ro-RO"/>
              </w:rPr>
              <w:t>16 031</w:t>
            </w:r>
          </w:p>
        </w:tc>
      </w:tr>
    </w:tbl>
    <w:p w:rsidR="004B3372" w:rsidRPr="001C3B31" w:rsidRDefault="004B3372" w:rsidP="004B3372">
      <w:pPr>
        <w:spacing w:before="240"/>
        <w:rPr>
          <w:lang w:val="ro-RO"/>
        </w:rPr>
      </w:pPr>
      <w:r w:rsidRPr="001C3B31">
        <w:rPr>
          <w:lang w:val="ro-RO"/>
        </w:rPr>
        <w:t xml:space="preserve">Astfel, scenariul „Status Quo” este capabil să genereze </w:t>
      </w:r>
      <w:r w:rsidRPr="001C3B31">
        <w:rPr>
          <w:b/>
          <w:lang w:val="ro-RO"/>
        </w:rPr>
        <w:t>beneficii nete de 14 milioane MDL în anul 2020</w:t>
      </w:r>
      <w:r w:rsidRPr="001C3B31">
        <w:rPr>
          <w:lang w:val="ro-RO"/>
        </w:rPr>
        <w:t>, 15 milioane în 2021 și 16 milioane în 2021.</w:t>
      </w:r>
    </w:p>
    <w:p w:rsidR="004B3372" w:rsidRPr="00991458" w:rsidRDefault="004B3372" w:rsidP="004B3372">
      <w:pPr>
        <w:pStyle w:val="Heading2"/>
        <w:numPr>
          <w:ilvl w:val="1"/>
          <w:numId w:val="24"/>
        </w:numPr>
        <w:rPr>
          <w:color w:val="0070C0"/>
          <w:lang w:val="ro-RO"/>
        </w:rPr>
      </w:pPr>
      <w:bookmarkStart w:id="97" w:name="_Toc32515798"/>
      <w:bookmarkStart w:id="98" w:name="_Toc32964853"/>
      <w:r w:rsidRPr="00991458">
        <w:rPr>
          <w:color w:val="0070C0"/>
          <w:lang w:val="ro-RO"/>
        </w:rPr>
        <w:t>Compararea scenariilor. Concluzii și recomandări</w:t>
      </w:r>
      <w:bookmarkEnd w:id="97"/>
      <w:bookmarkEnd w:id="98"/>
    </w:p>
    <w:p w:rsidR="004B3372" w:rsidRPr="001C3B31" w:rsidRDefault="004B3372" w:rsidP="004B3372">
      <w:pPr>
        <w:rPr>
          <w:lang w:val="ro-RO"/>
        </w:rPr>
      </w:pPr>
      <w:r w:rsidRPr="001C3B31">
        <w:rPr>
          <w:lang w:val="ro-RO"/>
        </w:rPr>
        <w:t>Ambele scenarii – cel de redirecționare a 5</w:t>
      </w:r>
      <w:r>
        <w:rPr>
          <w:lang w:val="ro-RO"/>
        </w:rPr>
        <w:t xml:space="preserve"> </w:t>
      </w:r>
      <w:r w:rsidRPr="001C3B31">
        <w:rPr>
          <w:lang w:val="ro-RO"/>
        </w:rPr>
        <w:t>% din FNDAMR către noua măsură prin aprobarea noului regulament, pe de o parte; și cel de continuare a acordării celor 5</w:t>
      </w:r>
      <w:r>
        <w:rPr>
          <w:lang w:val="ro-RO"/>
        </w:rPr>
        <w:t xml:space="preserve"> </w:t>
      </w:r>
      <w:r w:rsidRPr="001C3B31">
        <w:rPr>
          <w:lang w:val="ro-RO"/>
        </w:rPr>
        <w:t>% pentru măsurile existente de subvenționare a producătorilor agricole – generează un beneficiu net pozitiv în comparație cu situația în care acești bani nu ar fi alocați deloc. Totuși, scenariul „politică implementată” generează beneficii considerabil mai mari. O detaliere poate fi găsită în tabelul de mai jos:</w:t>
      </w:r>
    </w:p>
    <w:p w:rsidR="004B3372" w:rsidRPr="001C3B31" w:rsidRDefault="004B3372" w:rsidP="004B3372">
      <w:pPr>
        <w:pStyle w:val="Caption"/>
        <w:framePr w:wrap="around"/>
        <w:rPr>
          <w:lang w:val="ro-RO"/>
        </w:rPr>
      </w:pPr>
      <w:r w:rsidRPr="001C3B31">
        <w:rPr>
          <w:lang w:val="ro-RO"/>
        </w:rPr>
        <w:t>TABELUL 13. Compararea scenariilor, mii MDL</w:t>
      </w:r>
    </w:p>
    <w:tbl>
      <w:tblPr>
        <w:tblStyle w:val="Civittatable"/>
        <w:tblW w:w="5000" w:type="pct"/>
        <w:tblInd w:w="-5" w:type="dxa"/>
        <w:tblLook w:val="04A0" w:firstRow="1" w:lastRow="0" w:firstColumn="1" w:lastColumn="0" w:noHBand="0" w:noVBand="1"/>
      </w:tblPr>
      <w:tblGrid>
        <w:gridCol w:w="4396"/>
        <w:gridCol w:w="1725"/>
        <w:gridCol w:w="1725"/>
        <w:gridCol w:w="1725"/>
      </w:tblGrid>
      <w:tr w:rsidR="004B3372" w:rsidRPr="001C3B31" w:rsidTr="00B50045">
        <w:trPr>
          <w:cnfStyle w:val="100000000000" w:firstRow="1" w:lastRow="0" w:firstColumn="0" w:lastColumn="0" w:oddVBand="0" w:evenVBand="0" w:oddHBand="0" w:evenHBand="0" w:firstRowFirstColumn="0" w:firstRowLastColumn="0" w:lastRowFirstColumn="0" w:lastRowLastColumn="0"/>
          <w:trHeight w:val="540"/>
        </w:trPr>
        <w:tc>
          <w:tcPr>
            <w:tcW w:w="2297" w:type="pct"/>
            <w:vAlign w:val="center"/>
          </w:tcPr>
          <w:p w:rsidR="004B3372" w:rsidRPr="001C3B31" w:rsidRDefault="004B3372" w:rsidP="00B50045">
            <w:pPr>
              <w:spacing w:after="60"/>
              <w:jc w:val="left"/>
              <w:rPr>
                <w:rFonts w:eastAsia="Times New Roman" w:cstheme="minorHAnsi"/>
                <w:b/>
                <w:bCs/>
                <w:sz w:val="23"/>
                <w:szCs w:val="23"/>
                <w:lang w:val="ro-RO" w:eastAsia="lt-LT"/>
              </w:rPr>
            </w:pPr>
            <w:r w:rsidRPr="001C3B31">
              <w:rPr>
                <w:rFonts w:ascii="Calibri" w:hAnsi="Calibri" w:cs="Calibri"/>
                <w:b/>
                <w:lang w:val="ro-RO"/>
              </w:rPr>
              <w:t>Anul</w:t>
            </w:r>
          </w:p>
        </w:tc>
        <w:tc>
          <w:tcPr>
            <w:tcW w:w="901" w:type="pct"/>
            <w:vAlign w:val="center"/>
          </w:tcPr>
          <w:p w:rsidR="004B3372" w:rsidRPr="001C3B31" w:rsidRDefault="004B3372" w:rsidP="00B50045">
            <w:pPr>
              <w:spacing w:after="60"/>
              <w:jc w:val="center"/>
              <w:rPr>
                <w:rFonts w:eastAsia="Times New Roman" w:cstheme="minorHAnsi"/>
                <w:b/>
                <w:szCs w:val="20"/>
                <w:lang w:val="ro-RO" w:eastAsia="lt-LT"/>
              </w:rPr>
            </w:pPr>
            <w:r w:rsidRPr="001C3B31">
              <w:rPr>
                <w:rFonts w:ascii="Calibri" w:hAnsi="Calibri" w:cs="Calibri"/>
                <w:b/>
                <w:lang w:val="ro-RO"/>
              </w:rPr>
              <w:t>2020</w:t>
            </w:r>
          </w:p>
        </w:tc>
        <w:tc>
          <w:tcPr>
            <w:tcW w:w="901" w:type="pct"/>
            <w:vAlign w:val="center"/>
          </w:tcPr>
          <w:p w:rsidR="004B3372" w:rsidRPr="001C3B31" w:rsidRDefault="004B3372" w:rsidP="00B50045">
            <w:pPr>
              <w:spacing w:after="60"/>
              <w:jc w:val="center"/>
              <w:rPr>
                <w:rFonts w:eastAsia="Times New Roman" w:cstheme="minorHAnsi"/>
                <w:b/>
                <w:szCs w:val="20"/>
                <w:lang w:val="ro-RO" w:eastAsia="lt-LT"/>
              </w:rPr>
            </w:pPr>
            <w:r w:rsidRPr="001C3B31">
              <w:rPr>
                <w:rFonts w:ascii="Calibri" w:hAnsi="Calibri" w:cs="Calibri"/>
                <w:b/>
                <w:lang w:val="ro-RO"/>
              </w:rPr>
              <w:t>2021</w:t>
            </w:r>
          </w:p>
        </w:tc>
        <w:tc>
          <w:tcPr>
            <w:tcW w:w="901" w:type="pct"/>
            <w:vAlign w:val="center"/>
          </w:tcPr>
          <w:p w:rsidR="004B3372" w:rsidRPr="001C3B31" w:rsidRDefault="004B3372" w:rsidP="00B50045">
            <w:pPr>
              <w:spacing w:after="60"/>
              <w:jc w:val="center"/>
              <w:rPr>
                <w:rFonts w:eastAsia="Times New Roman" w:cstheme="minorHAnsi"/>
                <w:b/>
                <w:szCs w:val="20"/>
                <w:lang w:val="ro-RO" w:eastAsia="lt-LT"/>
              </w:rPr>
            </w:pPr>
            <w:r w:rsidRPr="001C3B31">
              <w:rPr>
                <w:rFonts w:ascii="Calibri" w:hAnsi="Calibri" w:cs="Calibri"/>
                <w:b/>
                <w:lang w:val="ro-RO"/>
              </w:rPr>
              <w:t>2022</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97"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Beneficiul net total al scenariului „politică implementată”</w:t>
            </w:r>
          </w:p>
        </w:tc>
        <w:tc>
          <w:tcPr>
            <w:tcW w:w="901" w:type="pct"/>
            <w:vAlign w:val="center"/>
          </w:tcPr>
          <w:p w:rsidR="004B3372" w:rsidRPr="001C3B31" w:rsidRDefault="004B3372" w:rsidP="00B50045">
            <w:pPr>
              <w:spacing w:after="60"/>
              <w:jc w:val="center"/>
              <w:rPr>
                <w:rFonts w:ascii="Calibri" w:hAnsi="Calibri" w:cs="Calibri"/>
                <w:color w:val="000000"/>
                <w:szCs w:val="20"/>
                <w:lang w:val="ro-RO"/>
              </w:rPr>
            </w:pPr>
            <w:r w:rsidRPr="001C3B31">
              <w:rPr>
                <w:rFonts w:ascii="Calibri" w:hAnsi="Calibri" w:cs="Calibri"/>
                <w:color w:val="000000"/>
                <w:lang w:val="ro-RO"/>
              </w:rPr>
              <w:t>14 623</w:t>
            </w:r>
          </w:p>
        </w:tc>
        <w:tc>
          <w:tcPr>
            <w:tcW w:w="901" w:type="pct"/>
            <w:vAlign w:val="center"/>
          </w:tcPr>
          <w:p w:rsidR="004B3372" w:rsidRPr="001C3B31" w:rsidRDefault="004B3372" w:rsidP="00B50045">
            <w:pPr>
              <w:spacing w:after="60"/>
              <w:jc w:val="center"/>
              <w:rPr>
                <w:rFonts w:ascii="Calibri" w:hAnsi="Calibri" w:cs="Calibri"/>
                <w:color w:val="000000"/>
                <w:szCs w:val="20"/>
                <w:lang w:val="ro-RO"/>
              </w:rPr>
            </w:pPr>
            <w:r w:rsidRPr="001C3B31">
              <w:rPr>
                <w:rFonts w:ascii="Calibri" w:hAnsi="Calibri" w:cs="Calibri"/>
                <w:color w:val="000000"/>
                <w:lang w:val="ro-RO"/>
              </w:rPr>
              <w:t>15 669</w:t>
            </w:r>
          </w:p>
        </w:tc>
        <w:tc>
          <w:tcPr>
            <w:tcW w:w="901" w:type="pct"/>
            <w:vAlign w:val="center"/>
          </w:tcPr>
          <w:p w:rsidR="004B3372" w:rsidRPr="001C3B31" w:rsidRDefault="004B3372" w:rsidP="00B50045">
            <w:pPr>
              <w:spacing w:after="60"/>
              <w:jc w:val="center"/>
              <w:rPr>
                <w:rFonts w:ascii="Calibri" w:hAnsi="Calibri" w:cs="Calibri"/>
                <w:color w:val="000000"/>
                <w:szCs w:val="20"/>
                <w:lang w:val="ro-RO"/>
              </w:rPr>
            </w:pPr>
            <w:r w:rsidRPr="001C3B31">
              <w:rPr>
                <w:rFonts w:ascii="Calibri" w:hAnsi="Calibri" w:cs="Calibri"/>
                <w:color w:val="000000"/>
                <w:lang w:val="ro-RO"/>
              </w:rPr>
              <w:t>16 794</w:t>
            </w:r>
          </w:p>
        </w:tc>
      </w:tr>
      <w:tr w:rsidR="004B3372" w:rsidRPr="001C3B31" w:rsidTr="00B50045">
        <w:trPr>
          <w:cnfStyle w:val="000000010000" w:firstRow="0" w:lastRow="0" w:firstColumn="0" w:lastColumn="0" w:oddVBand="0" w:evenVBand="0" w:oddHBand="0" w:evenHBand="1" w:firstRowFirstColumn="0" w:firstRowLastColumn="0" w:lastRowFirstColumn="0" w:lastRowLastColumn="0"/>
          <w:trHeight w:val="340"/>
        </w:trPr>
        <w:tc>
          <w:tcPr>
            <w:tcW w:w="2297" w:type="pct"/>
            <w:vAlign w:val="center"/>
          </w:tcPr>
          <w:p w:rsidR="004B3372" w:rsidRPr="001C3B31" w:rsidRDefault="004B3372" w:rsidP="00B50045">
            <w:pPr>
              <w:spacing w:after="60"/>
              <w:jc w:val="left"/>
              <w:rPr>
                <w:rFonts w:ascii="Calibri" w:hAnsi="Calibri" w:cs="Calibri"/>
                <w:color w:val="000000"/>
                <w:lang w:val="ro-RO"/>
              </w:rPr>
            </w:pPr>
            <w:r w:rsidRPr="001C3B31">
              <w:rPr>
                <w:rFonts w:ascii="Calibri" w:hAnsi="Calibri" w:cs="Calibri"/>
                <w:color w:val="000000"/>
                <w:lang w:val="ro-RO"/>
              </w:rPr>
              <w:t>Beneficiul net al scenariului „Status Quo”</w:t>
            </w:r>
          </w:p>
        </w:tc>
        <w:tc>
          <w:tcPr>
            <w:tcW w:w="901" w:type="pct"/>
            <w:vAlign w:val="center"/>
          </w:tcPr>
          <w:p w:rsidR="004B3372" w:rsidRPr="001C3B31" w:rsidRDefault="004B3372" w:rsidP="00B50045">
            <w:pPr>
              <w:spacing w:after="60"/>
              <w:jc w:val="center"/>
              <w:rPr>
                <w:rFonts w:ascii="Calibri" w:hAnsi="Calibri" w:cs="Calibri"/>
                <w:color w:val="000000"/>
                <w:szCs w:val="20"/>
                <w:lang w:val="ro-RO"/>
              </w:rPr>
            </w:pPr>
            <w:r w:rsidRPr="001C3B31">
              <w:rPr>
                <w:rFonts w:ascii="Calibri" w:hAnsi="Calibri" w:cs="Calibri"/>
                <w:color w:val="000000"/>
                <w:szCs w:val="20"/>
                <w:lang w:val="ro-RO"/>
              </w:rPr>
              <w:t>14 030</w:t>
            </w:r>
          </w:p>
        </w:tc>
        <w:tc>
          <w:tcPr>
            <w:tcW w:w="901" w:type="pct"/>
            <w:vAlign w:val="center"/>
          </w:tcPr>
          <w:p w:rsidR="004B3372" w:rsidRPr="001C3B31" w:rsidRDefault="004B3372" w:rsidP="00B50045">
            <w:pPr>
              <w:spacing w:after="60"/>
              <w:jc w:val="center"/>
              <w:rPr>
                <w:rFonts w:ascii="Calibri" w:hAnsi="Calibri" w:cs="Calibri"/>
                <w:color w:val="000000"/>
                <w:szCs w:val="20"/>
                <w:lang w:val="ro-RO"/>
              </w:rPr>
            </w:pPr>
            <w:r w:rsidRPr="001C3B31">
              <w:rPr>
                <w:rFonts w:ascii="Calibri" w:hAnsi="Calibri" w:cs="Calibri"/>
                <w:color w:val="000000"/>
                <w:szCs w:val="20"/>
                <w:lang w:val="ro-RO"/>
              </w:rPr>
              <w:t>15 035</w:t>
            </w:r>
          </w:p>
        </w:tc>
        <w:tc>
          <w:tcPr>
            <w:tcW w:w="901" w:type="pct"/>
            <w:vAlign w:val="center"/>
          </w:tcPr>
          <w:p w:rsidR="004B3372" w:rsidRPr="001C3B31" w:rsidRDefault="004B3372" w:rsidP="00B50045">
            <w:pPr>
              <w:spacing w:after="60"/>
              <w:jc w:val="center"/>
              <w:rPr>
                <w:rFonts w:ascii="Calibri" w:hAnsi="Calibri" w:cs="Calibri"/>
                <w:color w:val="000000"/>
                <w:szCs w:val="20"/>
                <w:lang w:val="ro-RO"/>
              </w:rPr>
            </w:pPr>
            <w:r w:rsidRPr="001C3B31">
              <w:rPr>
                <w:rFonts w:ascii="Calibri" w:hAnsi="Calibri" w:cs="Calibri"/>
                <w:color w:val="000000"/>
                <w:szCs w:val="20"/>
                <w:lang w:val="ro-RO"/>
              </w:rPr>
              <w:t>16 031</w:t>
            </w:r>
          </w:p>
        </w:tc>
      </w:tr>
      <w:tr w:rsidR="004B3372" w:rsidRPr="001C3B31" w:rsidTr="00B50045">
        <w:trPr>
          <w:cnfStyle w:val="000000100000" w:firstRow="0" w:lastRow="0" w:firstColumn="0" w:lastColumn="0" w:oddVBand="0" w:evenVBand="0" w:oddHBand="1" w:evenHBand="0" w:firstRowFirstColumn="0" w:firstRowLastColumn="0" w:lastRowFirstColumn="0" w:lastRowLastColumn="0"/>
          <w:trHeight w:val="340"/>
        </w:trPr>
        <w:tc>
          <w:tcPr>
            <w:tcW w:w="2297" w:type="pct"/>
            <w:vAlign w:val="center"/>
          </w:tcPr>
          <w:p w:rsidR="004B3372" w:rsidRPr="001C3B31" w:rsidRDefault="004B3372" w:rsidP="00B50045">
            <w:pPr>
              <w:spacing w:after="60"/>
              <w:jc w:val="left"/>
              <w:rPr>
                <w:rFonts w:ascii="Calibri" w:hAnsi="Calibri" w:cs="Calibri"/>
                <w:b/>
                <w:color w:val="000000"/>
                <w:lang w:val="ro-RO"/>
              </w:rPr>
            </w:pPr>
            <w:r w:rsidRPr="001C3B31">
              <w:rPr>
                <w:rFonts w:ascii="Calibri" w:hAnsi="Calibri" w:cs="Calibri"/>
                <w:b/>
                <w:color w:val="000000"/>
                <w:lang w:val="ro-RO"/>
              </w:rPr>
              <w:t>Beneficiul net suplimentar în cazul adoptării politicii publice supuse evaluării ex-ante (scenariul „politică implementată”)</w:t>
            </w:r>
          </w:p>
        </w:tc>
        <w:tc>
          <w:tcPr>
            <w:tcW w:w="901" w:type="pct"/>
            <w:vAlign w:val="center"/>
          </w:tcPr>
          <w:p w:rsidR="004B3372" w:rsidRPr="001C3B31" w:rsidRDefault="004B3372" w:rsidP="00B50045">
            <w:pPr>
              <w:spacing w:after="60"/>
              <w:jc w:val="center"/>
              <w:rPr>
                <w:rFonts w:ascii="Calibri" w:hAnsi="Calibri" w:cs="Calibri"/>
                <w:b/>
                <w:bCs/>
                <w:color w:val="000000"/>
                <w:szCs w:val="20"/>
                <w:lang w:val="ro-RO"/>
              </w:rPr>
            </w:pPr>
            <w:r w:rsidRPr="001C3B31">
              <w:rPr>
                <w:rFonts w:ascii="Calibri" w:hAnsi="Calibri" w:cs="Calibri"/>
                <w:b/>
                <w:bCs/>
                <w:color w:val="000000"/>
                <w:szCs w:val="20"/>
                <w:lang w:val="ro-RO"/>
              </w:rPr>
              <w:t>593</w:t>
            </w:r>
          </w:p>
        </w:tc>
        <w:tc>
          <w:tcPr>
            <w:tcW w:w="901" w:type="pct"/>
            <w:vAlign w:val="center"/>
          </w:tcPr>
          <w:p w:rsidR="004B3372" w:rsidRPr="001C3B31" w:rsidRDefault="004B3372" w:rsidP="00B50045">
            <w:pPr>
              <w:spacing w:after="60"/>
              <w:jc w:val="center"/>
              <w:rPr>
                <w:rFonts w:ascii="Calibri" w:hAnsi="Calibri" w:cs="Calibri"/>
                <w:b/>
                <w:bCs/>
                <w:color w:val="000000"/>
                <w:szCs w:val="20"/>
                <w:lang w:val="ro-RO"/>
              </w:rPr>
            </w:pPr>
            <w:r w:rsidRPr="001C3B31">
              <w:rPr>
                <w:rFonts w:ascii="Calibri" w:hAnsi="Calibri" w:cs="Calibri"/>
                <w:b/>
                <w:bCs/>
                <w:color w:val="000000"/>
                <w:szCs w:val="20"/>
                <w:lang w:val="ro-RO"/>
              </w:rPr>
              <w:t>634</w:t>
            </w:r>
          </w:p>
        </w:tc>
        <w:tc>
          <w:tcPr>
            <w:tcW w:w="901" w:type="pct"/>
            <w:vAlign w:val="center"/>
          </w:tcPr>
          <w:p w:rsidR="004B3372" w:rsidRPr="001C3B31" w:rsidRDefault="004B3372" w:rsidP="00B50045">
            <w:pPr>
              <w:spacing w:after="60"/>
              <w:jc w:val="center"/>
              <w:rPr>
                <w:rFonts w:ascii="Calibri" w:hAnsi="Calibri" w:cs="Calibri"/>
                <w:b/>
                <w:bCs/>
                <w:color w:val="000000"/>
                <w:szCs w:val="20"/>
                <w:lang w:val="ro-RO"/>
              </w:rPr>
            </w:pPr>
            <w:r w:rsidRPr="001C3B31">
              <w:rPr>
                <w:rFonts w:ascii="Calibri" w:hAnsi="Calibri" w:cs="Calibri"/>
                <w:b/>
                <w:bCs/>
                <w:color w:val="000000"/>
                <w:szCs w:val="20"/>
                <w:lang w:val="ro-RO"/>
              </w:rPr>
              <w:t>763</w:t>
            </w:r>
          </w:p>
        </w:tc>
      </w:tr>
    </w:tbl>
    <w:p w:rsidR="004B3372" w:rsidRPr="001C3B31" w:rsidRDefault="004B3372" w:rsidP="004B3372">
      <w:pPr>
        <w:spacing w:before="240"/>
        <w:rPr>
          <w:lang w:val="ro-RO"/>
        </w:rPr>
      </w:pPr>
      <w:r w:rsidRPr="001C3B31">
        <w:rPr>
          <w:lang w:val="ro-RO"/>
        </w:rPr>
        <w:t xml:space="preserve">Astfel, în urma efectuării analizei cost-beneficiu, putem concluzionă că adoptarea noului Regulament va aduce </w:t>
      </w:r>
      <w:r w:rsidRPr="001C3B31">
        <w:rPr>
          <w:b/>
          <w:lang w:val="ro-RO"/>
        </w:rPr>
        <w:t>beneficii economice suplimentare între 0.5 și 0.7 milioane MDL anual</w:t>
      </w:r>
      <w:r w:rsidRPr="001C3B31">
        <w:rPr>
          <w:lang w:val="ro-RO"/>
        </w:rPr>
        <w:t xml:space="preserve">. Prin urmare, propunerea de politică publică este </w:t>
      </w:r>
      <w:r w:rsidRPr="001C3B31">
        <w:rPr>
          <w:b/>
          <w:lang w:val="ro-RO"/>
        </w:rPr>
        <w:t>recomandată spre aprobare</w:t>
      </w:r>
      <w:r w:rsidRPr="001C3B31">
        <w:rPr>
          <w:lang w:val="ro-RO"/>
        </w:rPr>
        <w:t>.</w:t>
      </w:r>
    </w:p>
    <w:p w:rsidR="004B3372" w:rsidRPr="001C3B31" w:rsidRDefault="004B3372" w:rsidP="004B3372">
      <w:pPr>
        <w:pBdr>
          <w:top w:val="single" w:sz="4" w:space="1" w:color="auto"/>
          <w:left w:val="single" w:sz="4" w:space="4" w:color="auto"/>
          <w:bottom w:val="single" w:sz="4" w:space="1" w:color="auto"/>
          <w:right w:val="single" w:sz="4" w:space="4" w:color="auto"/>
        </w:pBdr>
        <w:rPr>
          <w:lang w:val="ro-RO"/>
        </w:rPr>
      </w:pPr>
      <w:r w:rsidRPr="001C3B31">
        <w:rPr>
          <w:b/>
          <w:bCs/>
          <w:lang w:val="ro-RO"/>
        </w:rPr>
        <w:t xml:space="preserve">C14: </w:t>
      </w:r>
      <w:r w:rsidRPr="001C3B31">
        <w:rPr>
          <w:lang w:val="ro-RO"/>
        </w:rPr>
        <w:t xml:space="preserve">Majoritatea domeniilor de intervenție ale PPP-ului au un raport beneficiu-cost pozitiv (mai mare de 1), fapt care indică rentabilitatea economică a proiectelor implementate de către GAL-uri. </w:t>
      </w:r>
    </w:p>
    <w:p w:rsidR="004B3372" w:rsidRPr="001C3B31" w:rsidRDefault="004B3372" w:rsidP="004B3372">
      <w:pPr>
        <w:pBdr>
          <w:top w:val="single" w:sz="4" w:space="1" w:color="auto"/>
          <w:left w:val="single" w:sz="4" w:space="4" w:color="auto"/>
          <w:bottom w:val="single" w:sz="4" w:space="1" w:color="auto"/>
          <w:right w:val="single" w:sz="4" w:space="4" w:color="auto"/>
        </w:pBdr>
        <w:rPr>
          <w:lang w:val="ro-RO"/>
        </w:rPr>
      </w:pPr>
      <w:r w:rsidRPr="001C3B31">
        <w:rPr>
          <w:b/>
          <w:bCs/>
          <w:lang w:val="ro-RO"/>
        </w:rPr>
        <w:t xml:space="preserve">C15: </w:t>
      </w:r>
      <w:r w:rsidRPr="001C3B31">
        <w:rPr>
          <w:lang w:val="ro-RO"/>
        </w:rPr>
        <w:t xml:space="preserve">Costurile administrative ale beneficiarilor sunt relativ mici și în mare parte fezabile pentru beneficiarii-tip ai proiectelor implementate de GAL-uri. </w:t>
      </w:r>
    </w:p>
    <w:p w:rsidR="004B3372" w:rsidRPr="001C3B31" w:rsidRDefault="004B3372" w:rsidP="004B3372">
      <w:pPr>
        <w:spacing w:after="0" w:line="276" w:lineRule="auto"/>
        <w:rPr>
          <w:b/>
          <w:color w:val="000000" w:themeColor="text1"/>
          <w:lang w:val="ro-RO"/>
        </w:rPr>
      </w:pPr>
    </w:p>
    <w:p w:rsidR="00B50045" w:rsidRPr="004B3372" w:rsidRDefault="00B50045" w:rsidP="005B101D">
      <w:pPr>
        <w:rPr>
          <w:lang w:val="ro-RO"/>
        </w:rPr>
      </w:pPr>
    </w:p>
    <w:sectPr w:rsidR="00B50045" w:rsidRPr="004B3372">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585" w:rsidRDefault="00D25585" w:rsidP="004B3372">
      <w:pPr>
        <w:spacing w:after="0"/>
      </w:pPr>
      <w:r>
        <w:separator/>
      </w:r>
    </w:p>
  </w:endnote>
  <w:endnote w:type="continuationSeparator" w:id="0">
    <w:p w:rsidR="00D25585" w:rsidRDefault="00D25585" w:rsidP="004B33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venir Next Demi Bold">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Next Regular">
    <w:charset w:val="00"/>
    <w:family w:val="swiss"/>
    <w:pitch w:val="variable"/>
    <w:sig w:usb0="8000002F" w:usb1="5000204A"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24908123"/>
      <w:docPartObj>
        <w:docPartGallery w:val="Page Numbers (Bottom of Page)"/>
        <w:docPartUnique/>
      </w:docPartObj>
    </w:sdtPr>
    <w:sdtContent>
      <w:p w:rsidR="007F0A8B" w:rsidRDefault="007F0A8B" w:rsidP="00B500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F0A8B" w:rsidRDefault="007F0A8B" w:rsidP="00B500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5831627"/>
      <w:docPartObj>
        <w:docPartGallery w:val="Page Numbers (Bottom of Page)"/>
        <w:docPartUnique/>
      </w:docPartObj>
    </w:sdtPr>
    <w:sdtContent>
      <w:p w:rsidR="007F0A8B" w:rsidRDefault="007F0A8B" w:rsidP="00B500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36D4">
          <w:rPr>
            <w:rStyle w:val="PageNumber"/>
            <w:noProof/>
          </w:rPr>
          <w:t>7</w:t>
        </w:r>
        <w:r>
          <w:rPr>
            <w:rStyle w:val="PageNumber"/>
          </w:rPr>
          <w:fldChar w:fldCharType="end"/>
        </w:r>
      </w:p>
    </w:sdtContent>
  </w:sdt>
  <w:p w:rsidR="007F0A8B" w:rsidRDefault="007F0A8B" w:rsidP="00B500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585" w:rsidRDefault="00D25585" w:rsidP="004B3372">
      <w:pPr>
        <w:spacing w:after="0"/>
      </w:pPr>
      <w:r>
        <w:separator/>
      </w:r>
    </w:p>
  </w:footnote>
  <w:footnote w:type="continuationSeparator" w:id="0">
    <w:p w:rsidR="00D25585" w:rsidRDefault="00D25585" w:rsidP="004B3372">
      <w:pPr>
        <w:spacing w:after="0"/>
      </w:pPr>
      <w:r>
        <w:continuationSeparator/>
      </w:r>
    </w:p>
  </w:footnote>
  <w:footnote w:id="1">
    <w:p w:rsidR="007F0A8B" w:rsidRDefault="007F0A8B" w:rsidP="004B3372">
      <w:pPr>
        <w:pStyle w:val="FootnoteText"/>
        <w:jc w:val="left"/>
      </w:pPr>
      <w:r>
        <w:rPr>
          <w:rStyle w:val="FootnoteReference"/>
        </w:rPr>
        <w:footnoteRef/>
      </w:r>
      <w:r>
        <w:t xml:space="preserve"> Evalsed este o resursă care oferă îndrumări cu privire la evaluarea dezvoltării socioeconomice. Evalsed promovează schimbul de experiență şi bune practici, precum şi creşterea relevanței evaluării în luarea deciziilor </w:t>
      </w:r>
    </w:p>
    <w:p w:rsidR="007F0A8B" w:rsidRPr="00526E0C" w:rsidRDefault="007F0A8B" w:rsidP="004B3372">
      <w:pPr>
        <w:pStyle w:val="FootnoteText"/>
      </w:pPr>
      <w:hyperlink r:id="rId1" w:history="1">
        <w:r>
          <w:rPr>
            <w:rStyle w:val="Hyperlink"/>
          </w:rPr>
          <w:t>https://ec.europa.eu/regional_policy/en/information/publications/evaluations-guidance-documents/2013/evalsed-the-resource-for-the-evaluation-of-socio-economic-development-evaluation-guide</w:t>
        </w:r>
      </w:hyperlink>
    </w:p>
  </w:footnote>
  <w:footnote w:id="2">
    <w:p w:rsidR="007F0A8B" w:rsidRPr="00F940F8" w:rsidRDefault="007F0A8B" w:rsidP="004B3372">
      <w:pPr>
        <w:pStyle w:val="FootnoteText"/>
        <w:jc w:val="left"/>
      </w:pPr>
      <w:r>
        <w:rPr>
          <w:rStyle w:val="FootnoteReference"/>
        </w:rPr>
        <w:footnoteRef/>
      </w:r>
      <w:r>
        <w:t xml:space="preserve"> </w:t>
      </w:r>
      <w:hyperlink r:id="rId2" w:history="1">
        <w:r>
          <w:rPr>
            <w:rStyle w:val="Hyperlink"/>
          </w:rPr>
          <w:t>https://ec.europa.eu/info/law/law-making-process/planning-and-proposing-law/better-regulation-why-and-how_en</w:t>
        </w:r>
      </w:hyperlink>
      <w:r>
        <w:t xml:space="preserve"> </w:t>
      </w:r>
    </w:p>
  </w:footnote>
  <w:footnote w:id="3">
    <w:p w:rsidR="007F0A8B" w:rsidRPr="009038F0" w:rsidRDefault="007F0A8B" w:rsidP="004B3372">
      <w:pPr>
        <w:pStyle w:val="FootnoteText"/>
        <w:rPr>
          <w:sz w:val="16"/>
          <w:szCs w:val="16"/>
          <w:lang w:val="ro-RO"/>
        </w:rPr>
      </w:pPr>
      <w:r w:rsidRPr="009038F0">
        <w:rPr>
          <w:rStyle w:val="FootnoteReference"/>
          <w:sz w:val="16"/>
          <w:szCs w:val="16"/>
        </w:rPr>
        <w:footnoteRef/>
      </w:r>
      <w:r w:rsidRPr="009038F0">
        <w:rPr>
          <w:sz w:val="16"/>
          <w:szCs w:val="16"/>
        </w:rPr>
        <w:t xml:space="preserve"> </w:t>
      </w:r>
      <w:r w:rsidRPr="009038F0">
        <w:rPr>
          <w:sz w:val="16"/>
          <w:szCs w:val="16"/>
        </w:rPr>
        <w:t>https://enrd.ec.europa.eu/leader-clld_en</w:t>
      </w:r>
    </w:p>
  </w:footnote>
  <w:footnote w:id="4">
    <w:p w:rsidR="007F0A8B" w:rsidRPr="005D39F4" w:rsidRDefault="007F0A8B" w:rsidP="004B3372">
      <w:pPr>
        <w:pStyle w:val="FootnoteText"/>
        <w:rPr>
          <w:lang w:val="ro-RO"/>
        </w:rPr>
      </w:pPr>
      <w:r>
        <w:rPr>
          <w:rStyle w:val="FootnoteReference"/>
        </w:rPr>
        <w:footnoteRef/>
      </w:r>
      <w:r>
        <w:t xml:space="preserve"> </w:t>
      </w:r>
      <w:r>
        <w:t>Compendiul Statistic al Profilului Migrațional Extins al Republicii Moldova pentru anii 2014-2016,</w:t>
      </w:r>
      <w:r w:rsidRPr="007D470B">
        <w:t xml:space="preserve"> http://bma.gov.md/sites/default/files/media/cs_pme_2017.pdf</w:t>
      </w:r>
    </w:p>
  </w:footnote>
  <w:footnote w:id="5">
    <w:p w:rsidR="007F0A8B" w:rsidRPr="00C24478" w:rsidRDefault="007F0A8B" w:rsidP="004B3372">
      <w:pPr>
        <w:pStyle w:val="FootnoteText"/>
        <w:rPr>
          <w:lang w:val="ro-RO"/>
        </w:rPr>
      </w:pPr>
      <w:r>
        <w:rPr>
          <w:rStyle w:val="FootnoteReference"/>
        </w:rPr>
        <w:footnoteRef/>
      </w:r>
      <w:r>
        <w:t xml:space="preserve"> </w:t>
      </w:r>
      <w:r w:rsidRPr="00C24478">
        <w:t>https://www.worldbank.org/en/news/press-release/2019/04/08/record-high-remittances-sent-globally-in-2018</w:t>
      </w:r>
    </w:p>
  </w:footnote>
  <w:footnote w:id="6">
    <w:p w:rsidR="007F0A8B" w:rsidRPr="00602845" w:rsidRDefault="007F0A8B" w:rsidP="004B3372">
      <w:pPr>
        <w:pStyle w:val="FootnoteText"/>
        <w:jc w:val="left"/>
      </w:pPr>
      <w:r>
        <w:rPr>
          <w:rStyle w:val="FootnoteReference"/>
        </w:rPr>
        <w:footnoteRef/>
      </w:r>
      <w:r>
        <w:t xml:space="preserve"> </w:t>
      </w:r>
      <w:r w:rsidRPr="009038F0">
        <w:rPr>
          <w:lang w:val="ro-RO"/>
        </w:rPr>
        <w:t>Recomandarea 24, pag.11 http://madrm.gov.md/sites/default/files/Raport%20de%20evaluare%20pe%20termen%20mediu%20a%20Strategiei%20Na%C8%9Bionale%20de%20Dezvoltare%20Agricol%C4%83%20%C8%99i%20Rural%C4%83%20pentru%20anii%202014-2020.pdf</w:t>
      </w:r>
    </w:p>
  </w:footnote>
  <w:footnote w:id="7">
    <w:p w:rsidR="007F0A8B" w:rsidRPr="009038F0" w:rsidRDefault="007F0A8B" w:rsidP="004B3372">
      <w:pPr>
        <w:pStyle w:val="FootnoteText"/>
        <w:rPr>
          <w:sz w:val="16"/>
          <w:szCs w:val="16"/>
        </w:rPr>
      </w:pPr>
      <w:r w:rsidRPr="009038F0">
        <w:rPr>
          <w:rStyle w:val="FootnoteReference"/>
          <w:sz w:val="16"/>
          <w:szCs w:val="16"/>
        </w:rPr>
        <w:footnoteRef/>
      </w:r>
      <w:r w:rsidRPr="009038F0">
        <w:rPr>
          <w:sz w:val="16"/>
          <w:szCs w:val="16"/>
        </w:rPr>
        <w:t xml:space="preserve"> </w:t>
      </w:r>
      <w:r w:rsidRPr="00BB3F6A">
        <w:rPr>
          <w:sz w:val="16"/>
          <w:szCs w:val="16"/>
        </w:rPr>
        <w:t>NOTA informativă privind implementarea abordării LEADER în RM</w:t>
      </w:r>
      <w:r>
        <w:rPr>
          <w:sz w:val="16"/>
          <w:szCs w:val="16"/>
        </w:rPr>
        <w:t xml:space="preserve"> </w:t>
      </w:r>
      <w:r w:rsidRPr="00BB3F6A">
        <w:rPr>
          <w:sz w:val="16"/>
          <w:szCs w:val="16"/>
        </w:rPr>
        <w:t>17.06.2019</w:t>
      </w:r>
      <w:r>
        <w:rPr>
          <w:sz w:val="16"/>
          <w:szCs w:val="16"/>
        </w:rPr>
        <w:t>, Solidarity Fund PL in Moldova</w:t>
      </w:r>
    </w:p>
  </w:footnote>
  <w:footnote w:id="8">
    <w:p w:rsidR="007F0A8B" w:rsidRPr="00150A45" w:rsidRDefault="007F0A8B" w:rsidP="004B3372">
      <w:pPr>
        <w:pStyle w:val="FootnoteText"/>
        <w:rPr>
          <w:rFonts w:ascii="Cambria" w:hAnsi="Cambria"/>
          <w:sz w:val="16"/>
          <w:szCs w:val="16"/>
        </w:rPr>
      </w:pPr>
      <w:r w:rsidRPr="009038F0">
        <w:rPr>
          <w:rStyle w:val="FootnoteReference"/>
          <w:sz w:val="16"/>
          <w:szCs w:val="16"/>
        </w:rPr>
        <w:footnoteRef/>
      </w:r>
      <w:r w:rsidRPr="009038F0">
        <w:rPr>
          <w:sz w:val="16"/>
          <w:szCs w:val="16"/>
        </w:rPr>
        <w:t xml:space="preserve"> </w:t>
      </w:r>
      <w:r w:rsidRPr="009038F0">
        <w:rPr>
          <w:sz w:val="16"/>
          <w:szCs w:val="16"/>
        </w:rPr>
        <w:t>https://enrd.ec.europa.eu/?id=B973735A-9614-ABDF-4A4E-2800119E5476</w:t>
      </w:r>
    </w:p>
  </w:footnote>
  <w:footnote w:id="9">
    <w:p w:rsidR="007F0A8B" w:rsidRPr="009038F0" w:rsidRDefault="007F0A8B" w:rsidP="004B3372">
      <w:pPr>
        <w:pStyle w:val="FootnoteText"/>
        <w:rPr>
          <w:sz w:val="16"/>
          <w:szCs w:val="16"/>
        </w:rPr>
      </w:pPr>
      <w:r w:rsidRPr="009038F0">
        <w:rPr>
          <w:rStyle w:val="FootnoteReference"/>
          <w:sz w:val="16"/>
          <w:szCs w:val="16"/>
        </w:rPr>
        <w:footnoteRef/>
      </w:r>
      <w:r w:rsidRPr="009038F0">
        <w:rPr>
          <w:sz w:val="16"/>
          <w:szCs w:val="16"/>
        </w:rPr>
        <w:t xml:space="preserve"> </w:t>
      </w:r>
      <w:r w:rsidRPr="009038F0">
        <w:rPr>
          <w:sz w:val="16"/>
          <w:szCs w:val="16"/>
        </w:rPr>
        <w:t>https://www.leadermoldova.eu/ro/index.html</w:t>
      </w:r>
    </w:p>
  </w:footnote>
  <w:footnote w:id="10">
    <w:p w:rsidR="007F0A8B" w:rsidRPr="009038F0" w:rsidRDefault="007F0A8B" w:rsidP="004B3372">
      <w:pPr>
        <w:pStyle w:val="FootnoteText"/>
        <w:rPr>
          <w:sz w:val="16"/>
          <w:szCs w:val="16"/>
        </w:rPr>
      </w:pPr>
      <w:r w:rsidRPr="009038F0">
        <w:rPr>
          <w:rStyle w:val="FootnoteReference"/>
          <w:sz w:val="16"/>
          <w:szCs w:val="16"/>
        </w:rPr>
        <w:footnoteRef/>
      </w:r>
      <w:r w:rsidRPr="009038F0">
        <w:rPr>
          <w:sz w:val="16"/>
          <w:szCs w:val="16"/>
        </w:rPr>
        <w:t xml:space="preserve"> </w:t>
      </w:r>
      <w:r w:rsidRPr="009038F0">
        <w:rPr>
          <w:sz w:val="16"/>
          <w:szCs w:val="16"/>
        </w:rPr>
        <w:t>https://www.leadermoldova.eu/ro/metodologia-si-ghidul.html</w:t>
      </w:r>
    </w:p>
  </w:footnote>
  <w:footnote w:id="11">
    <w:p w:rsidR="007F0A8B" w:rsidRPr="009038F0" w:rsidRDefault="007F0A8B" w:rsidP="004B3372">
      <w:pPr>
        <w:pStyle w:val="FootnoteText"/>
        <w:rPr>
          <w:sz w:val="16"/>
          <w:szCs w:val="16"/>
        </w:rPr>
      </w:pPr>
      <w:r w:rsidRPr="009038F0">
        <w:rPr>
          <w:rStyle w:val="FootnoteReference"/>
          <w:sz w:val="16"/>
          <w:szCs w:val="16"/>
        </w:rPr>
        <w:footnoteRef/>
      </w:r>
      <w:r w:rsidRPr="009038F0">
        <w:rPr>
          <w:sz w:val="16"/>
          <w:szCs w:val="16"/>
        </w:rPr>
        <w:t xml:space="preserve"> </w:t>
      </w:r>
      <w:r w:rsidRPr="009038F0">
        <w:rPr>
          <w:sz w:val="16"/>
          <w:szCs w:val="16"/>
        </w:rPr>
        <w:t>https://www.leadermoldova.eu/ro/assets/3-x-romanian-implementation-guideline.pdf</w:t>
      </w:r>
    </w:p>
  </w:footnote>
  <w:footnote w:id="12">
    <w:p w:rsidR="007F0A8B" w:rsidRPr="00C74FE2" w:rsidRDefault="007F0A8B" w:rsidP="004B3372">
      <w:pPr>
        <w:pStyle w:val="FootnoteText"/>
        <w:rPr>
          <w:sz w:val="16"/>
          <w:szCs w:val="16"/>
          <w:lang w:val="ro-RO"/>
        </w:rPr>
      </w:pPr>
      <w:r w:rsidRPr="00C74FE2">
        <w:rPr>
          <w:rStyle w:val="FootnoteReference"/>
          <w:sz w:val="16"/>
          <w:szCs w:val="16"/>
        </w:rPr>
        <w:footnoteRef/>
      </w:r>
      <w:r w:rsidRPr="00C74FE2">
        <w:rPr>
          <w:sz w:val="16"/>
          <w:szCs w:val="16"/>
        </w:rPr>
        <w:t xml:space="preserve"> </w:t>
      </w:r>
      <w:r w:rsidRPr="00C74FE2">
        <w:rPr>
          <w:sz w:val="16"/>
          <w:szCs w:val="16"/>
          <w:lang w:val="ro-RO"/>
        </w:rPr>
        <w:t>Fondul de Granturi Mici</w:t>
      </w:r>
    </w:p>
  </w:footnote>
  <w:footnote w:id="13">
    <w:p w:rsidR="007F0A8B" w:rsidRPr="00B64A2B" w:rsidRDefault="007F0A8B" w:rsidP="004B3372">
      <w:pPr>
        <w:pStyle w:val="FootnoteText"/>
        <w:rPr>
          <w:sz w:val="16"/>
          <w:szCs w:val="16"/>
          <w:lang w:val="ro-RO"/>
        </w:rPr>
      </w:pPr>
      <w:r w:rsidRPr="00B64A2B">
        <w:rPr>
          <w:rStyle w:val="FootnoteReference"/>
          <w:sz w:val="16"/>
          <w:szCs w:val="16"/>
        </w:rPr>
        <w:footnoteRef/>
      </w:r>
      <w:r w:rsidRPr="00B64A2B">
        <w:rPr>
          <w:sz w:val="16"/>
          <w:szCs w:val="16"/>
        </w:rPr>
        <w:t xml:space="preserve"> </w:t>
      </w:r>
      <w:r w:rsidRPr="00B64A2B">
        <w:rPr>
          <w:sz w:val="16"/>
          <w:szCs w:val="16"/>
          <w:lang w:val="ro-RO"/>
        </w:rPr>
        <w:t>Anexa 1, Rezultatele Chestionarelor</w:t>
      </w:r>
    </w:p>
  </w:footnote>
  <w:footnote w:id="14">
    <w:p w:rsidR="007F0A8B" w:rsidRPr="00B64A2B" w:rsidRDefault="007F0A8B" w:rsidP="004B3372">
      <w:pPr>
        <w:pStyle w:val="FootnoteText"/>
        <w:rPr>
          <w:lang w:val="pl-PL"/>
        </w:rPr>
      </w:pPr>
      <w:r w:rsidRPr="00B64A2B">
        <w:rPr>
          <w:rStyle w:val="FootnoteReference"/>
        </w:rPr>
        <w:footnoteRef/>
      </w:r>
      <w:r w:rsidRPr="00B64A2B">
        <w:t xml:space="preserve"> </w:t>
      </w:r>
      <w:r w:rsidRPr="00B64A2B">
        <w:rPr>
          <w:sz w:val="16"/>
          <w:szCs w:val="16"/>
          <w:lang w:val="ro-RO"/>
        </w:rPr>
        <w:t>Anexa 1, Matricea interviurilor</w:t>
      </w:r>
    </w:p>
  </w:footnote>
  <w:footnote w:id="15">
    <w:p w:rsidR="007F0A8B" w:rsidRPr="000852EE" w:rsidRDefault="007F0A8B" w:rsidP="004B3372">
      <w:pPr>
        <w:pStyle w:val="FootnoteText"/>
        <w:rPr>
          <w:lang w:val="ro-RO"/>
        </w:rPr>
      </w:pPr>
      <w:r>
        <w:rPr>
          <w:rStyle w:val="FootnoteReference"/>
        </w:rPr>
        <w:footnoteRef/>
      </w:r>
      <w:r>
        <w:t xml:space="preserve"> </w:t>
      </w:r>
      <w:r>
        <w:rPr>
          <w:lang w:val="ro-RO"/>
        </w:rPr>
        <w:t xml:space="preserve">Art. 11(3) </w:t>
      </w:r>
      <w:r w:rsidRPr="000852EE">
        <w:rPr>
          <w:lang w:val="ro-RO"/>
        </w:rPr>
        <w:t>http://lex.justice.md/index.php?action=view&amp;view=doc&amp;id=325424</w:t>
      </w:r>
    </w:p>
  </w:footnote>
  <w:footnote w:id="16">
    <w:p w:rsidR="007F0A8B" w:rsidRPr="004E77C1" w:rsidRDefault="007F0A8B" w:rsidP="004B3372">
      <w:pPr>
        <w:pStyle w:val="FootnoteText"/>
        <w:rPr>
          <w:lang w:val="ro-RO"/>
        </w:rPr>
      </w:pPr>
      <w:r>
        <w:rPr>
          <w:rStyle w:val="FootnoteReference"/>
        </w:rPr>
        <w:footnoteRef/>
      </w:r>
      <w:r>
        <w:t xml:space="preserve"> </w:t>
      </w:r>
      <w:r>
        <w:rPr>
          <w:lang w:val="ro-RO"/>
        </w:rPr>
        <w:t>S-a calculat de la valoarea de  45 mil MDL sau 5 % din suma de 900 mln MDL a FNDAMR</w:t>
      </w:r>
    </w:p>
  </w:footnote>
  <w:footnote w:id="17">
    <w:p w:rsidR="007F0A8B" w:rsidRPr="00C74FE2" w:rsidRDefault="007F0A8B" w:rsidP="004B3372">
      <w:pPr>
        <w:pStyle w:val="FootnoteText"/>
        <w:rPr>
          <w:sz w:val="16"/>
          <w:szCs w:val="16"/>
          <w:lang w:val="ro-RO"/>
        </w:rPr>
      </w:pPr>
      <w:r w:rsidRPr="00C74FE2">
        <w:rPr>
          <w:rStyle w:val="FootnoteReference"/>
          <w:sz w:val="16"/>
          <w:szCs w:val="16"/>
        </w:rPr>
        <w:footnoteRef/>
      </w:r>
      <w:r w:rsidRPr="00C74FE2">
        <w:rPr>
          <w:sz w:val="16"/>
          <w:szCs w:val="16"/>
        </w:rPr>
        <w:t xml:space="preserve"> </w:t>
      </w:r>
      <w:r w:rsidRPr="00C74FE2">
        <w:rPr>
          <w:sz w:val="16"/>
          <w:szCs w:val="16"/>
        </w:rPr>
        <w:t>https://www.legis.md/cautare/getResults?doc_id=118590&amp;lang=ro</w:t>
      </w:r>
    </w:p>
  </w:footnote>
  <w:footnote w:id="18">
    <w:p w:rsidR="007F0A8B" w:rsidRPr="009038F0" w:rsidRDefault="007F0A8B" w:rsidP="004B3372">
      <w:pPr>
        <w:pStyle w:val="FootnoteText"/>
        <w:rPr>
          <w:sz w:val="16"/>
          <w:szCs w:val="16"/>
          <w:lang w:val="ro-RO"/>
        </w:rPr>
      </w:pPr>
      <w:r w:rsidRPr="009038F0">
        <w:rPr>
          <w:rStyle w:val="FootnoteReference"/>
          <w:sz w:val="16"/>
          <w:szCs w:val="16"/>
        </w:rPr>
        <w:footnoteRef/>
      </w:r>
      <w:r>
        <w:rPr>
          <w:sz w:val="16"/>
          <w:szCs w:val="16"/>
        </w:rPr>
        <w:t xml:space="preserve"> </w:t>
      </w:r>
      <w:hyperlink r:id="rId3" w:history="1">
        <w:r w:rsidRPr="00752A2F">
          <w:rPr>
            <w:rStyle w:val="Hyperlink"/>
            <w:sz w:val="16"/>
            <w:szCs w:val="16"/>
          </w:rPr>
          <w:t>https://statistica.gov.md/category.php?l=ro&amp;idc=452</w:t>
        </w:r>
      </w:hyperlink>
      <w:r>
        <w:rPr>
          <w:sz w:val="16"/>
          <w:szCs w:val="16"/>
        </w:rPr>
        <w:t xml:space="preserve">, </w:t>
      </w:r>
      <w:r w:rsidRPr="009038F0">
        <w:rPr>
          <w:sz w:val="16"/>
          <w:szCs w:val="16"/>
        </w:rPr>
        <w:t xml:space="preserve"> </w:t>
      </w:r>
      <w:r w:rsidRPr="009038F0">
        <w:rPr>
          <w:sz w:val="16"/>
          <w:szCs w:val="16"/>
          <w:lang w:val="ro-RO"/>
        </w:rPr>
        <w:t>În lipsa datelor privind salariul mediu pe economie în mediu rur</w:t>
      </w:r>
      <w:r>
        <w:rPr>
          <w:sz w:val="16"/>
          <w:szCs w:val="16"/>
          <w:lang w:val="ro-RO"/>
        </w:rPr>
        <w:t>al, drept reper</w:t>
      </w:r>
      <w:r w:rsidRPr="009038F0">
        <w:rPr>
          <w:sz w:val="16"/>
          <w:szCs w:val="16"/>
          <w:lang w:val="ro-RO"/>
        </w:rPr>
        <w:t xml:space="preserve"> a fost luat cel mai mic salariu mediu pe economie în profil teritorial care s-a înregistrat în Dondușeni</w:t>
      </w:r>
      <w:r>
        <w:rPr>
          <w:sz w:val="16"/>
          <w:szCs w:val="16"/>
          <w:lang w:val="ro-RO"/>
        </w:rPr>
        <w:t xml:space="preserve">. </w:t>
      </w:r>
    </w:p>
  </w:footnote>
  <w:footnote w:id="19">
    <w:p w:rsidR="007F0A8B" w:rsidRPr="000F47CA" w:rsidRDefault="007F0A8B" w:rsidP="004B3372">
      <w:pPr>
        <w:pStyle w:val="FootnoteText"/>
      </w:pPr>
      <w:r>
        <w:rPr>
          <w:rStyle w:val="FootnoteReference"/>
        </w:rPr>
        <w:footnoteRef/>
      </w:r>
      <w:r>
        <w:t xml:space="preserve"> </w:t>
      </w:r>
      <w:r w:rsidRPr="000F47CA">
        <w:t>https://statbank.statistica.md/pxweb/pxweb/ro/30%20Statistica%20sociala/30%20Statistica%20sociala__03%20FM__SAL010__serii%20lunare/SAL014910reg.px/table/tableViewLayout1/?rxid=4eec3dd5-755a-4e4e-92de-3dc2d391f3a9</w:t>
      </w:r>
    </w:p>
  </w:footnote>
  <w:footnote w:id="20">
    <w:p w:rsidR="007F0A8B" w:rsidRPr="00B64A2B" w:rsidRDefault="007F0A8B" w:rsidP="004B3372">
      <w:pPr>
        <w:pStyle w:val="FootnoteText"/>
        <w:jc w:val="left"/>
        <w:rPr>
          <w:sz w:val="16"/>
          <w:szCs w:val="16"/>
          <w:lang w:val="ro-RO"/>
        </w:rPr>
      </w:pPr>
      <w:r w:rsidRPr="00B64A2B">
        <w:rPr>
          <w:rStyle w:val="FootnoteReference"/>
          <w:sz w:val="16"/>
          <w:szCs w:val="16"/>
        </w:rPr>
        <w:footnoteRef/>
      </w:r>
      <w:r w:rsidRPr="00B64A2B">
        <w:rPr>
          <w:sz w:val="16"/>
          <w:szCs w:val="16"/>
        </w:rPr>
        <w:t>http://www.sighisoara.org.ro/portal/mures/sighisoara/portal.nsf/AllByUNID/2515AF058F45004DC22582950031B71F/$FILE/DALI_Parc%20Sighisoara-%20partea%20scrisa%20.pdf</w:t>
      </w:r>
      <w:r w:rsidRPr="00B64A2B" w:rsidDel="00AB46FB">
        <w:rPr>
          <w:sz w:val="16"/>
          <w:szCs w:val="16"/>
        </w:rPr>
        <w:t xml:space="preserve"> </w:t>
      </w:r>
      <w:r>
        <w:rPr>
          <w:sz w:val="16"/>
          <w:szCs w:val="16"/>
        </w:rPr>
        <w:t xml:space="preserve"> (Septembrie 2017)</w:t>
      </w:r>
    </w:p>
  </w:footnote>
  <w:footnote w:id="21">
    <w:p w:rsidR="007F0A8B" w:rsidRPr="00C74FE2" w:rsidRDefault="007F0A8B" w:rsidP="004B3372">
      <w:pPr>
        <w:pStyle w:val="FootnoteText"/>
        <w:rPr>
          <w:sz w:val="16"/>
          <w:szCs w:val="16"/>
          <w:lang w:val="ro-RO"/>
        </w:rPr>
      </w:pPr>
      <w:r>
        <w:rPr>
          <w:rStyle w:val="FootnoteReference"/>
        </w:rPr>
        <w:footnoteRef/>
      </w:r>
      <w:r>
        <w:t xml:space="preserve"> </w:t>
      </w:r>
      <w:r w:rsidRPr="00C74FE2">
        <w:rPr>
          <w:sz w:val="16"/>
          <w:szCs w:val="16"/>
        </w:rPr>
        <w:t>https://www.primariabistrita.ro/TemplateWeb/2018/Hotarari.nsf/Hotarari/C653385D1E84BF9CC2258236002DFDA5?OpenDocument</w:t>
      </w:r>
    </w:p>
  </w:footnote>
  <w:footnote w:id="22">
    <w:p w:rsidR="007F0A8B" w:rsidRPr="005C202A" w:rsidRDefault="007F0A8B" w:rsidP="004B3372">
      <w:pPr>
        <w:pStyle w:val="FootnoteText"/>
        <w:rPr>
          <w:lang w:val="ro-RO"/>
        </w:rPr>
      </w:pPr>
      <w:r w:rsidRPr="00C74FE2">
        <w:rPr>
          <w:rStyle w:val="FootnoteReference"/>
          <w:sz w:val="16"/>
          <w:szCs w:val="16"/>
        </w:rPr>
        <w:footnoteRef/>
      </w:r>
      <w:hyperlink r:id="rId4" w:history="1">
        <w:r w:rsidRPr="001665A7">
          <w:rPr>
            <w:rStyle w:val="Hyperlink"/>
          </w:rPr>
          <w:t>https://www.cjmaramures.ro/Document_Files/Strategie/00000088/ed2ad_Plan_turism_Maramures_2007_2013.pdf</w:t>
        </w:r>
      </w:hyperlink>
    </w:p>
  </w:footnote>
  <w:footnote w:id="23">
    <w:p w:rsidR="007F0A8B" w:rsidRPr="00BF1AC1" w:rsidRDefault="007F0A8B" w:rsidP="004B3372">
      <w:pPr>
        <w:pStyle w:val="FootnoteText"/>
        <w:rPr>
          <w:lang w:val="ro-RO"/>
        </w:rPr>
      </w:pPr>
      <w:r w:rsidRPr="00C74FE2">
        <w:rPr>
          <w:rStyle w:val="FootnoteReference"/>
          <w:sz w:val="16"/>
          <w:szCs w:val="16"/>
          <w:lang w:val="ro-RO"/>
        </w:rPr>
        <w:footnoteRef/>
      </w:r>
      <w:r w:rsidRPr="00C74FE2">
        <w:rPr>
          <w:sz w:val="16"/>
          <w:szCs w:val="16"/>
          <w:lang w:val="ro-RO"/>
        </w:rPr>
        <w:t xml:space="preserve"> </w:t>
      </w:r>
      <w:r w:rsidRPr="00C74FE2">
        <w:rPr>
          <w:sz w:val="16"/>
          <w:szCs w:val="16"/>
          <w:lang w:val="ro-RO"/>
        </w:rPr>
        <w:t xml:space="preserve">Valoarea cheltuielilor </w:t>
      </w:r>
      <w:r>
        <w:rPr>
          <w:sz w:val="16"/>
          <w:szCs w:val="16"/>
          <w:lang w:val="ro-RO"/>
        </w:rPr>
        <w:t>AIPA este indicată 0, întrucât A</w:t>
      </w:r>
      <w:r w:rsidRPr="00C74FE2">
        <w:rPr>
          <w:sz w:val="16"/>
          <w:szCs w:val="16"/>
          <w:lang w:val="ro-RO"/>
        </w:rPr>
        <w:t>genția</w:t>
      </w:r>
      <w:r>
        <w:rPr>
          <w:sz w:val="16"/>
          <w:szCs w:val="16"/>
          <w:lang w:val="ro-RO"/>
        </w:rPr>
        <w:t>, pentru implementarea m</w:t>
      </w:r>
      <w:r w:rsidRPr="00C74FE2">
        <w:rPr>
          <w:sz w:val="16"/>
          <w:szCs w:val="16"/>
          <w:lang w:val="ro-RO"/>
        </w:rPr>
        <w:t>ăsurilor noi de subvenționare</w:t>
      </w:r>
      <w:r>
        <w:rPr>
          <w:sz w:val="16"/>
          <w:szCs w:val="16"/>
          <w:lang w:val="ro-RO"/>
        </w:rPr>
        <w:t>,</w:t>
      </w:r>
      <w:r w:rsidRPr="00C74FE2">
        <w:rPr>
          <w:sz w:val="16"/>
          <w:szCs w:val="16"/>
          <w:lang w:val="ro-RO"/>
        </w:rPr>
        <w:t xml:space="preserve"> aprobate prin </w:t>
      </w:r>
      <w:r>
        <w:rPr>
          <w:sz w:val="16"/>
          <w:szCs w:val="16"/>
          <w:lang w:val="ro-RO"/>
        </w:rPr>
        <w:t xml:space="preserve">HG nr. </w:t>
      </w:r>
      <w:r w:rsidRPr="00C74FE2">
        <w:rPr>
          <w:sz w:val="16"/>
          <w:szCs w:val="16"/>
          <w:lang w:val="ro-RO"/>
        </w:rPr>
        <w:t>476/2019</w:t>
      </w:r>
      <w:r>
        <w:rPr>
          <w:sz w:val="16"/>
          <w:szCs w:val="16"/>
          <w:lang w:val="ro-RO"/>
        </w:rPr>
        <w:t>,</w:t>
      </w:r>
      <w:r w:rsidRPr="00C74FE2">
        <w:rPr>
          <w:sz w:val="16"/>
          <w:szCs w:val="16"/>
          <w:lang w:val="ro-RO"/>
        </w:rPr>
        <w:t xml:space="preserve"> urmează să-și mărească personalul care va fi responsabil de proiectele de dezvoltare rurală</w:t>
      </w:r>
      <w:r>
        <w:rPr>
          <w:sz w:val="16"/>
          <w:szCs w:val="16"/>
          <w:lang w:val="ro-RO"/>
        </w:rPr>
        <w:t>.</w:t>
      </w:r>
    </w:p>
  </w:footnote>
  <w:footnote w:id="24">
    <w:p w:rsidR="007F0A8B" w:rsidRPr="00C74FE2" w:rsidRDefault="007F0A8B" w:rsidP="004B3372">
      <w:pPr>
        <w:pStyle w:val="FootnoteText"/>
        <w:rPr>
          <w:sz w:val="16"/>
          <w:szCs w:val="16"/>
          <w:lang w:val="ro-RO"/>
        </w:rPr>
      </w:pPr>
      <w:r w:rsidRPr="00C74FE2">
        <w:rPr>
          <w:rStyle w:val="FootnoteReference"/>
          <w:sz w:val="16"/>
          <w:szCs w:val="16"/>
        </w:rPr>
        <w:footnoteRef/>
      </w:r>
      <w:r w:rsidRPr="00C74FE2">
        <w:rPr>
          <w:sz w:val="16"/>
          <w:szCs w:val="16"/>
        </w:rPr>
        <w:t xml:space="preserve"> </w:t>
      </w:r>
      <w:r w:rsidRPr="00C74FE2">
        <w:rPr>
          <w:sz w:val="16"/>
          <w:szCs w:val="16"/>
        </w:rPr>
        <w:t>http://www.aipa.gov.md/sites/default/files/Raport_gestionare_FNDAMR_2019_preliminar.pdf</w:t>
      </w:r>
    </w:p>
  </w:footnote>
  <w:footnote w:id="25">
    <w:p w:rsidR="007F0A8B" w:rsidRPr="001B6A06" w:rsidRDefault="007F0A8B" w:rsidP="004B3372">
      <w:pPr>
        <w:pStyle w:val="FootnoteText"/>
      </w:pPr>
      <w:r>
        <w:rPr>
          <w:rStyle w:val="FootnoteReference"/>
        </w:rPr>
        <w:footnoteRef/>
      </w:r>
      <w:r>
        <w:t xml:space="preserve"> </w:t>
      </w:r>
      <w:hyperlink r:id="rId5" w:history="1">
        <w:r w:rsidRPr="001B6A06">
          <w:rPr>
            <w:rStyle w:val="Hyperlink"/>
          </w:rPr>
          <w:t>http://statbank.statistica.md/pxweb/pxweb/ro/40%20Statistica%20economica/?rxid=b2ff27d7-0b96-43c9-934b-42e1a2a9a774</w:t>
        </w:r>
      </w:hyperlink>
    </w:p>
  </w:footnote>
  <w:footnote w:id="26">
    <w:p w:rsidR="007F0A8B" w:rsidRPr="00687129" w:rsidRDefault="007F0A8B" w:rsidP="004B3372">
      <w:pPr>
        <w:pStyle w:val="FootnoteText"/>
      </w:pPr>
      <w:r>
        <w:rPr>
          <w:rStyle w:val="FootnoteReference"/>
        </w:rPr>
        <w:footnoteRef/>
      </w:r>
      <w:r>
        <w:t xml:space="preserve"> </w:t>
      </w:r>
      <w:r>
        <w:rPr>
          <w:lang w:val="ro-RO"/>
        </w:rPr>
        <w:t>Excluzând valorile implauzibil de mari sau negative, care sunt o imposibilitate din punct de vedere teoretic și, probabil, denotă o eroare în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8B" w:rsidRDefault="007F0A8B">
    <w:pPr>
      <w:pStyle w:val="Header"/>
    </w:pPr>
    <w:r>
      <w:rPr>
        <w:noProof/>
        <w:lang w:val="ru-RU" w:eastAsia="ru-RU"/>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85105" cy="3170555"/>
              <wp:effectExtent l="0" t="1162050" r="0" b="6584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85105" cy="3170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A8B" w:rsidRDefault="007F0A8B" w:rsidP="00A45392">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6.15pt;height:249.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" o:allowincell="f" filled="f" stroked="f">
              <v:stroke joinstyle="round"/>
              <o:lock v:ext="edit" shapetype="t"/>
              <v:textbox style="mso-fit-shape-to-text:t">
                <w:txbxContent>
                  <w:p w:rsidR="007F0A8B" w:rsidRDefault="007F0A8B" w:rsidP="00A45392">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33C7"/>
    <w:multiLevelType w:val="hybridMultilevel"/>
    <w:tmpl w:val="4BF8BB92"/>
    <w:lvl w:ilvl="0" w:tplc="ECA04368">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17AE2"/>
    <w:multiLevelType w:val="hybridMultilevel"/>
    <w:tmpl w:val="03E26FEC"/>
    <w:lvl w:ilvl="0" w:tplc="6D0E18F2">
      <w:start w:val="1"/>
      <w:numFmt w:val="bullet"/>
      <w:lvlText w:val=""/>
      <w:lvlJc w:val="left"/>
      <w:pPr>
        <w:ind w:left="720" w:hanging="360"/>
      </w:pPr>
      <w:rPr>
        <w:rFonts w:ascii="Symbol" w:hAnsi="Symbol" w:hint="default"/>
        <w:color w:val="948A54" w:themeColor="background2"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00D63"/>
    <w:multiLevelType w:val="hybridMultilevel"/>
    <w:tmpl w:val="1CB235CC"/>
    <w:lvl w:ilvl="0" w:tplc="18EC8C6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656EA"/>
    <w:multiLevelType w:val="hybridMultilevel"/>
    <w:tmpl w:val="23AA7956"/>
    <w:lvl w:ilvl="0" w:tplc="CE60E098">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DA34A4"/>
    <w:multiLevelType w:val="hybridMultilevel"/>
    <w:tmpl w:val="F5AED0FC"/>
    <w:lvl w:ilvl="0" w:tplc="F266C346">
      <w:start w:val="1"/>
      <w:numFmt w:val="decimal"/>
      <w:lvlText w:val="%1."/>
      <w:lvlJc w:val="left"/>
      <w:pPr>
        <w:ind w:left="720" w:hanging="360"/>
      </w:pPr>
      <w:rPr>
        <w:rFonts w:asciiTheme="minorHAnsi" w:eastAsia="Times New Roman" w:hAnsiTheme="minorHAnsi" w:cstheme="minorHAnsi"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2426A"/>
    <w:multiLevelType w:val="hybridMultilevel"/>
    <w:tmpl w:val="1EB21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52903"/>
    <w:multiLevelType w:val="multilevel"/>
    <w:tmpl w:val="FD787E1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nsid w:val="3C5D7105"/>
    <w:multiLevelType w:val="hybridMultilevel"/>
    <w:tmpl w:val="F058EF36"/>
    <w:lvl w:ilvl="0" w:tplc="6D0E18F2">
      <w:start w:val="1"/>
      <w:numFmt w:val="bullet"/>
      <w:lvlText w:val=""/>
      <w:lvlJc w:val="left"/>
      <w:pPr>
        <w:ind w:left="720" w:hanging="360"/>
      </w:pPr>
      <w:rPr>
        <w:rFonts w:ascii="Symbol" w:hAnsi="Symbol" w:hint="default"/>
        <w:color w:val="948A54" w:themeColor="background2"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76FD2"/>
    <w:multiLevelType w:val="hybridMultilevel"/>
    <w:tmpl w:val="4068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F37358"/>
    <w:multiLevelType w:val="hybridMultilevel"/>
    <w:tmpl w:val="88D84B10"/>
    <w:lvl w:ilvl="0" w:tplc="6D0E18F2">
      <w:start w:val="1"/>
      <w:numFmt w:val="bullet"/>
      <w:lvlText w:val=""/>
      <w:lvlJc w:val="left"/>
      <w:pPr>
        <w:ind w:left="720" w:hanging="360"/>
      </w:pPr>
      <w:rPr>
        <w:rFonts w:ascii="Symbol" w:hAnsi="Symbol" w:hint="default"/>
        <w:color w:val="948A54" w:themeColor="background2"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B77A9A"/>
    <w:multiLevelType w:val="hybridMultilevel"/>
    <w:tmpl w:val="707A52EE"/>
    <w:lvl w:ilvl="0" w:tplc="CE60E09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090092"/>
    <w:multiLevelType w:val="hybridMultilevel"/>
    <w:tmpl w:val="F0848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3678CD"/>
    <w:multiLevelType w:val="multilevel"/>
    <w:tmpl w:val="3D10EC0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337397A"/>
    <w:multiLevelType w:val="hybridMultilevel"/>
    <w:tmpl w:val="74DEF29C"/>
    <w:lvl w:ilvl="0" w:tplc="6D0E18F2">
      <w:start w:val="1"/>
      <w:numFmt w:val="bullet"/>
      <w:lvlText w:val=""/>
      <w:lvlJc w:val="left"/>
      <w:pPr>
        <w:ind w:left="720" w:hanging="360"/>
      </w:pPr>
      <w:rPr>
        <w:rFonts w:ascii="Symbol" w:hAnsi="Symbol" w:hint="default"/>
        <w:color w:val="948A54" w:themeColor="background2"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5F7570"/>
    <w:multiLevelType w:val="hybridMultilevel"/>
    <w:tmpl w:val="EEBE9E08"/>
    <w:lvl w:ilvl="0" w:tplc="52F026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C1B09"/>
    <w:multiLevelType w:val="multilevel"/>
    <w:tmpl w:val="FD787E10"/>
    <w:numStyleLink w:val="Headings"/>
  </w:abstractNum>
  <w:abstractNum w:abstractNumId="16">
    <w:nsid w:val="5775750F"/>
    <w:multiLevelType w:val="hybridMultilevel"/>
    <w:tmpl w:val="146AA564"/>
    <w:lvl w:ilvl="0" w:tplc="6D0E18F2">
      <w:start w:val="1"/>
      <w:numFmt w:val="bullet"/>
      <w:lvlText w:val=""/>
      <w:lvlJc w:val="left"/>
      <w:pPr>
        <w:ind w:left="720" w:hanging="360"/>
      </w:pPr>
      <w:rPr>
        <w:rFonts w:ascii="Symbol" w:hAnsi="Symbol" w:hint="default"/>
        <w:color w:val="948A54" w:themeColor="background2"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F6DC3"/>
    <w:multiLevelType w:val="hybridMultilevel"/>
    <w:tmpl w:val="3CDE60C2"/>
    <w:lvl w:ilvl="0" w:tplc="6D0E18F2">
      <w:start w:val="1"/>
      <w:numFmt w:val="bullet"/>
      <w:lvlText w:val=""/>
      <w:lvlJc w:val="left"/>
      <w:pPr>
        <w:ind w:left="720" w:hanging="360"/>
      </w:pPr>
      <w:rPr>
        <w:rFonts w:ascii="Symbol" w:hAnsi="Symbol" w:hint="default"/>
        <w:color w:val="948A54" w:themeColor="background2"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335127"/>
    <w:multiLevelType w:val="multilevel"/>
    <w:tmpl w:val="C3B0CCC2"/>
    <w:styleLink w:val="Style1"/>
    <w:lvl w:ilvl="0">
      <w:start w:val="1"/>
      <w:numFmt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BAC115B"/>
    <w:multiLevelType w:val="hybridMultilevel"/>
    <w:tmpl w:val="E48C7654"/>
    <w:lvl w:ilvl="0" w:tplc="07B88352">
      <w:start w:val="1"/>
      <w:numFmt w:val="lowerRoman"/>
      <w:pStyle w:val="ToR-NumberedText2"/>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54D56"/>
    <w:multiLevelType w:val="hybridMultilevel"/>
    <w:tmpl w:val="5336A98E"/>
    <w:lvl w:ilvl="0" w:tplc="CE60E098">
      <w:start w:val="1"/>
      <w:numFmt w:val="lowerLetter"/>
      <w:lvlText w:val="%1)"/>
      <w:lvlJc w:val="left"/>
      <w:pPr>
        <w:ind w:left="1058" w:hanging="360"/>
      </w:pPr>
      <w:rPr>
        <w:rFonts w:hint="default"/>
        <w:color w:val="000000" w:themeColor="text1"/>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1">
    <w:nsid w:val="65A95276"/>
    <w:multiLevelType w:val="hybridMultilevel"/>
    <w:tmpl w:val="8318CA66"/>
    <w:lvl w:ilvl="0" w:tplc="6D0E18F2">
      <w:start w:val="1"/>
      <w:numFmt w:val="bullet"/>
      <w:lvlText w:val=""/>
      <w:lvlJc w:val="left"/>
      <w:pPr>
        <w:ind w:left="720" w:hanging="360"/>
      </w:pPr>
      <w:rPr>
        <w:rFonts w:ascii="Symbol" w:hAnsi="Symbol" w:hint="default"/>
        <w:color w:val="948A54" w:themeColor="background2"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D15786"/>
    <w:multiLevelType w:val="multilevel"/>
    <w:tmpl w:val="BB961E52"/>
    <w:lvl w:ilvl="0">
      <w:start w:val="1"/>
      <w:numFmt w:val="bullet"/>
      <w:pStyle w:val="Bullet"/>
      <w:lvlText w:val=""/>
      <w:lvlJc w:val="left"/>
      <w:pPr>
        <w:ind w:left="720" w:hanging="360"/>
      </w:pPr>
      <w:rPr>
        <w:rFonts w:ascii="Symbol" w:hAnsi="Symbol" w:hint="default"/>
        <w:color w:val="000000" w:themeColor="text1"/>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68D0CE3"/>
    <w:multiLevelType w:val="multilevel"/>
    <w:tmpl w:val="1120573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6DF271F"/>
    <w:multiLevelType w:val="hybridMultilevel"/>
    <w:tmpl w:val="09E4BFE4"/>
    <w:lvl w:ilvl="0" w:tplc="6D0E18F2">
      <w:start w:val="1"/>
      <w:numFmt w:val="bullet"/>
      <w:lvlText w:val=""/>
      <w:lvlJc w:val="left"/>
      <w:pPr>
        <w:ind w:left="720" w:hanging="360"/>
      </w:pPr>
      <w:rPr>
        <w:rFonts w:ascii="Symbol" w:hAnsi="Symbol" w:hint="default"/>
        <w:color w:val="948A54" w:themeColor="background2"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3157E2"/>
    <w:multiLevelType w:val="hybridMultilevel"/>
    <w:tmpl w:val="6304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6F3359"/>
    <w:multiLevelType w:val="hybridMultilevel"/>
    <w:tmpl w:val="427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62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abstractNumId w:val="22"/>
  </w:num>
  <w:num w:numId="4">
    <w:abstractNumId w:val="18"/>
  </w:num>
  <w:num w:numId="5">
    <w:abstractNumId w:val="5"/>
  </w:num>
  <w:num w:numId="6">
    <w:abstractNumId w:val="19"/>
  </w:num>
  <w:num w:numId="7">
    <w:abstractNumId w:val="11"/>
  </w:num>
  <w:num w:numId="8">
    <w:abstractNumId w:val="0"/>
  </w:num>
  <w:num w:numId="9">
    <w:abstractNumId w:val="14"/>
  </w:num>
  <w:num w:numId="10">
    <w:abstractNumId w:val="10"/>
  </w:num>
  <w:num w:numId="11">
    <w:abstractNumId w:val="20"/>
  </w:num>
  <w:num w:numId="12">
    <w:abstractNumId w:val="3"/>
  </w:num>
  <w:num w:numId="13">
    <w:abstractNumId w:val="8"/>
  </w:num>
  <w:num w:numId="14">
    <w:abstractNumId w:val="25"/>
  </w:num>
  <w:num w:numId="15">
    <w:abstractNumId w:val="24"/>
  </w:num>
  <w:num w:numId="16">
    <w:abstractNumId w:val="13"/>
  </w:num>
  <w:num w:numId="17">
    <w:abstractNumId w:val="16"/>
  </w:num>
  <w:num w:numId="18">
    <w:abstractNumId w:val="7"/>
  </w:num>
  <w:num w:numId="19">
    <w:abstractNumId w:val="26"/>
  </w:num>
  <w:num w:numId="20">
    <w:abstractNumId w:val="4"/>
  </w:num>
  <w:num w:numId="21">
    <w:abstractNumId w:val="23"/>
  </w:num>
  <w:num w:numId="22">
    <w:abstractNumId w:val="12"/>
  </w:num>
  <w:num w:numId="23">
    <w:abstractNumId w:val="2"/>
  </w:num>
  <w:num w:numId="24">
    <w:abstractNumId w:val="15"/>
  </w:num>
  <w:num w:numId="25">
    <w:abstractNumId w:val="9"/>
  </w:num>
  <w:num w:numId="26">
    <w:abstractNumId w:val="21"/>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1D"/>
    <w:rsid w:val="001B36D4"/>
    <w:rsid w:val="00261010"/>
    <w:rsid w:val="002C5771"/>
    <w:rsid w:val="004B3372"/>
    <w:rsid w:val="00551205"/>
    <w:rsid w:val="005B101D"/>
    <w:rsid w:val="005C2E12"/>
    <w:rsid w:val="00614DB4"/>
    <w:rsid w:val="0063592F"/>
    <w:rsid w:val="006F679A"/>
    <w:rsid w:val="007F0A8B"/>
    <w:rsid w:val="00825902"/>
    <w:rsid w:val="00991458"/>
    <w:rsid w:val="00A45392"/>
    <w:rsid w:val="00A53BA7"/>
    <w:rsid w:val="00B50045"/>
    <w:rsid w:val="00D25585"/>
    <w:rsid w:val="00E45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semiHidden="0" w:uiPriority="10" w:unhideWhenUsed="0" w:qFormat="1"/>
    <w:lsdException w:name="Default Paragraph Font" w:uiPriority="1"/>
    <w:lsdException w:name="Subtitle" w:semiHidden="0" w:unhideWhenUsed="0" w:qFormat="1"/>
    <w:lsdException w:name="Body Text 3" w:uiPriority="0"/>
    <w:lsdException w:name="Strong" w:semiHidden="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5B101D"/>
    <w:pPr>
      <w:spacing w:after="120" w:line="240" w:lineRule="auto"/>
      <w:jc w:val="both"/>
    </w:pPr>
    <w:rPr>
      <w:rFonts w:eastAsia="SimSun" w:cs="Cambria"/>
      <w:lang w:val="lt-LT"/>
    </w:rPr>
  </w:style>
  <w:style w:type="paragraph" w:styleId="Heading1">
    <w:name w:val="heading 1"/>
    <w:next w:val="Normal"/>
    <w:link w:val="Heading1Char"/>
    <w:uiPriority w:val="99"/>
    <w:qFormat/>
    <w:rsid w:val="005B101D"/>
    <w:pPr>
      <w:keepNext/>
      <w:numPr>
        <w:numId w:val="2"/>
      </w:numPr>
      <w:spacing w:after="600" w:line="240" w:lineRule="auto"/>
      <w:outlineLvl w:val="0"/>
    </w:pPr>
    <w:rPr>
      <w:rFonts w:eastAsia="SimSun" w:cs="Cambria"/>
      <w:b/>
      <w:caps/>
      <w:color w:val="1F497D" w:themeColor="text2"/>
      <w:sz w:val="40"/>
      <w:szCs w:val="40"/>
      <w:lang w:val="lt-LT"/>
    </w:rPr>
  </w:style>
  <w:style w:type="paragraph" w:styleId="Heading2">
    <w:name w:val="heading 2"/>
    <w:basedOn w:val="Heading1"/>
    <w:next w:val="Normal"/>
    <w:link w:val="Heading2Char"/>
    <w:uiPriority w:val="99"/>
    <w:qFormat/>
    <w:rsid w:val="005B101D"/>
    <w:pPr>
      <w:numPr>
        <w:ilvl w:val="1"/>
      </w:numPr>
      <w:spacing w:before="360" w:after="240"/>
      <w:ind w:left="357"/>
      <w:outlineLvl w:val="1"/>
    </w:pPr>
    <w:rPr>
      <w:b w:val="0"/>
      <w:bCs/>
      <w:color w:val="EEECE1" w:themeColor="background2"/>
      <w:sz w:val="32"/>
      <w:szCs w:val="32"/>
    </w:rPr>
  </w:style>
  <w:style w:type="paragraph" w:styleId="Heading3">
    <w:name w:val="heading 3"/>
    <w:basedOn w:val="Heading2"/>
    <w:next w:val="Normal"/>
    <w:link w:val="Heading3Char"/>
    <w:uiPriority w:val="99"/>
    <w:qFormat/>
    <w:rsid w:val="005B101D"/>
    <w:pPr>
      <w:numPr>
        <w:ilvl w:val="2"/>
      </w:numPr>
      <w:spacing w:before="180" w:after="180"/>
      <w:outlineLvl w:val="2"/>
    </w:pPr>
    <w:rPr>
      <w:bCs w:val="0"/>
      <w:sz w:val="24"/>
    </w:rPr>
  </w:style>
  <w:style w:type="paragraph" w:styleId="Heading4">
    <w:name w:val="heading 4"/>
    <w:basedOn w:val="ListParagraph"/>
    <w:next w:val="Normal"/>
    <w:link w:val="Heading4Char"/>
    <w:unhideWhenUsed/>
    <w:rsid w:val="004B3372"/>
    <w:pPr>
      <w:keepNext/>
      <w:keepLines/>
      <w:spacing w:before="40" w:after="0"/>
      <w:outlineLvl w:val="3"/>
    </w:pPr>
    <w:rPr>
      <w:rFonts w:eastAsiaTheme="majorEastAsia" w:cstheme="majorBidi"/>
      <w:iCs/>
      <w:sz w:val="24"/>
      <w:szCs w:val="24"/>
    </w:rPr>
  </w:style>
  <w:style w:type="paragraph" w:styleId="Heading5">
    <w:name w:val="heading 5"/>
    <w:basedOn w:val="Normal"/>
    <w:next w:val="Normal"/>
    <w:link w:val="Heading5Char"/>
    <w:semiHidden/>
    <w:unhideWhenUsed/>
    <w:rsid w:val="004B33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101D"/>
    <w:rPr>
      <w:rFonts w:eastAsia="SimSun" w:cs="Cambria"/>
      <w:b/>
      <w:caps/>
      <w:color w:val="1F497D" w:themeColor="text2"/>
      <w:sz w:val="40"/>
      <w:szCs w:val="40"/>
      <w:lang w:val="lt-LT"/>
    </w:rPr>
  </w:style>
  <w:style w:type="character" w:customStyle="1" w:styleId="Heading2Char">
    <w:name w:val="Heading 2 Char"/>
    <w:basedOn w:val="DefaultParagraphFont"/>
    <w:link w:val="Heading2"/>
    <w:uiPriority w:val="99"/>
    <w:rsid w:val="005B101D"/>
    <w:rPr>
      <w:rFonts w:eastAsia="SimSun" w:cs="Cambria"/>
      <w:bCs/>
      <w:caps/>
      <w:color w:val="EEECE1" w:themeColor="background2"/>
      <w:sz w:val="32"/>
      <w:szCs w:val="32"/>
      <w:lang w:val="lt-LT"/>
    </w:rPr>
  </w:style>
  <w:style w:type="character" w:customStyle="1" w:styleId="Heading3Char">
    <w:name w:val="Heading 3 Char"/>
    <w:basedOn w:val="DefaultParagraphFont"/>
    <w:link w:val="Heading3"/>
    <w:uiPriority w:val="99"/>
    <w:rsid w:val="005B101D"/>
    <w:rPr>
      <w:rFonts w:eastAsia="SimSun" w:cs="Cambria"/>
      <w:caps/>
      <w:color w:val="EEECE1" w:themeColor="background2"/>
      <w:sz w:val="24"/>
      <w:szCs w:val="32"/>
      <w:lang w:val="lt-LT"/>
    </w:rPr>
  </w:style>
  <w:style w:type="numbering" w:customStyle="1" w:styleId="Headings">
    <w:name w:val="Headings"/>
    <w:uiPriority w:val="99"/>
    <w:rsid w:val="005B101D"/>
    <w:pPr>
      <w:numPr>
        <w:numId w:val="1"/>
      </w:numPr>
    </w:pPr>
  </w:style>
  <w:style w:type="character" w:styleId="Hyperlink">
    <w:name w:val="Hyperlink"/>
    <w:basedOn w:val="DefaultParagraphFont"/>
    <w:uiPriority w:val="99"/>
    <w:rsid w:val="004B3372"/>
    <w:rPr>
      <w:color w:val="0000FF"/>
      <w:u w:val="single"/>
    </w:rPr>
  </w:style>
  <w:style w:type="paragraph" w:styleId="TOC1">
    <w:name w:val="toc 1"/>
    <w:basedOn w:val="Normal"/>
    <w:next w:val="Normal"/>
    <w:autoRedefine/>
    <w:uiPriority w:val="39"/>
    <w:rsid w:val="004B3372"/>
    <w:pPr>
      <w:tabs>
        <w:tab w:val="left" w:pos="440"/>
        <w:tab w:val="right" w:leader="dot" w:pos="9435"/>
      </w:tabs>
      <w:spacing w:before="120" w:after="0"/>
      <w:jc w:val="left"/>
    </w:pPr>
    <w:rPr>
      <w:rFonts w:cstheme="minorHAnsi"/>
      <w:b/>
      <w:iCs/>
      <w:noProof/>
      <w:sz w:val="24"/>
      <w:szCs w:val="24"/>
      <w:lang w:val="ro-RO"/>
    </w:rPr>
  </w:style>
  <w:style w:type="paragraph" w:styleId="TOC2">
    <w:name w:val="toc 2"/>
    <w:basedOn w:val="Normal"/>
    <w:next w:val="Normal"/>
    <w:autoRedefine/>
    <w:uiPriority w:val="39"/>
    <w:rsid w:val="004B3372"/>
    <w:pPr>
      <w:spacing w:before="120" w:after="0"/>
      <w:ind w:left="220"/>
      <w:jc w:val="left"/>
    </w:pPr>
    <w:rPr>
      <w:rFonts w:cstheme="minorHAnsi"/>
      <w:b/>
    </w:rPr>
  </w:style>
  <w:style w:type="paragraph" w:styleId="TOCHeading">
    <w:name w:val="TOC Heading"/>
    <w:aliases w:val="Table of Contents"/>
    <w:basedOn w:val="Heading1"/>
    <w:next w:val="Normal"/>
    <w:uiPriority w:val="39"/>
    <w:qFormat/>
    <w:rsid w:val="004B3372"/>
    <w:pPr>
      <w:keepLines/>
      <w:numPr>
        <w:numId w:val="0"/>
      </w:numPr>
      <w:outlineLvl w:val="9"/>
    </w:pPr>
    <w:rPr>
      <w:szCs w:val="28"/>
    </w:rPr>
  </w:style>
  <w:style w:type="paragraph" w:styleId="BalloonText">
    <w:name w:val="Balloon Text"/>
    <w:basedOn w:val="Normal"/>
    <w:link w:val="BalloonTextChar"/>
    <w:uiPriority w:val="99"/>
    <w:semiHidden/>
    <w:unhideWhenUsed/>
    <w:rsid w:val="004B3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372"/>
    <w:rPr>
      <w:rFonts w:ascii="Tahoma" w:eastAsia="SimSun" w:hAnsi="Tahoma" w:cs="Tahoma"/>
      <w:sz w:val="16"/>
      <w:szCs w:val="16"/>
      <w:lang w:val="lt-LT"/>
    </w:rPr>
  </w:style>
  <w:style w:type="character" w:customStyle="1" w:styleId="Heading4Char">
    <w:name w:val="Heading 4 Char"/>
    <w:basedOn w:val="DefaultParagraphFont"/>
    <w:link w:val="Heading4"/>
    <w:rsid w:val="004B3372"/>
    <w:rPr>
      <w:rFonts w:eastAsiaTheme="majorEastAsia" w:cstheme="majorBidi"/>
      <w:iCs/>
      <w:color w:val="134753"/>
      <w:sz w:val="24"/>
      <w:szCs w:val="24"/>
      <w:lang w:val="lt-LT"/>
    </w:rPr>
  </w:style>
  <w:style w:type="character" w:customStyle="1" w:styleId="Heading5Char">
    <w:name w:val="Heading 5 Char"/>
    <w:basedOn w:val="DefaultParagraphFont"/>
    <w:link w:val="Heading5"/>
    <w:semiHidden/>
    <w:rsid w:val="004B3372"/>
    <w:rPr>
      <w:rFonts w:asciiTheme="majorHAnsi" w:eastAsiaTheme="majorEastAsia" w:hAnsiTheme="majorHAnsi" w:cstheme="majorBidi"/>
      <w:color w:val="365F91" w:themeColor="accent1" w:themeShade="BF"/>
      <w:lang w:val="lt-LT"/>
    </w:rPr>
  </w:style>
  <w:style w:type="paragraph" w:styleId="ListParagraph">
    <w:name w:val="List Paragraph"/>
    <w:aliases w:val="ERP-List Paragraph,List Paragraph11,Bullet EY,List Paragraph1,Normal bullet 2"/>
    <w:basedOn w:val="Normal"/>
    <w:link w:val="ListParagraphChar"/>
    <w:uiPriority w:val="34"/>
    <w:qFormat/>
    <w:rsid w:val="004B3372"/>
    <w:pPr>
      <w:ind w:left="720"/>
    </w:pPr>
    <w:rPr>
      <w:color w:val="134753"/>
    </w:rPr>
  </w:style>
  <w:style w:type="character" w:customStyle="1" w:styleId="ListParagraphChar">
    <w:name w:val="List Paragraph Char"/>
    <w:aliases w:val="ERP-List Paragraph Char,List Paragraph11 Char,Bullet EY Char,List Paragraph1 Char,Normal bullet 2 Char"/>
    <w:basedOn w:val="DefaultParagraphFont"/>
    <w:link w:val="ListParagraph"/>
    <w:uiPriority w:val="34"/>
    <w:locked/>
    <w:rsid w:val="004B3372"/>
    <w:rPr>
      <w:rFonts w:eastAsia="SimSun" w:cs="Cambria"/>
      <w:color w:val="134753"/>
      <w:lang w:val="lt-LT"/>
    </w:rPr>
  </w:style>
  <w:style w:type="paragraph" w:styleId="Header">
    <w:name w:val="header"/>
    <w:basedOn w:val="Normal"/>
    <w:link w:val="HeaderChar"/>
    <w:uiPriority w:val="99"/>
    <w:rsid w:val="004B3372"/>
    <w:pPr>
      <w:tabs>
        <w:tab w:val="center" w:pos="4680"/>
        <w:tab w:val="right" w:pos="9360"/>
      </w:tabs>
      <w:spacing w:after="0"/>
    </w:pPr>
  </w:style>
  <w:style w:type="character" w:customStyle="1" w:styleId="HeaderChar">
    <w:name w:val="Header Char"/>
    <w:basedOn w:val="DefaultParagraphFont"/>
    <w:link w:val="Header"/>
    <w:uiPriority w:val="99"/>
    <w:rsid w:val="004B3372"/>
    <w:rPr>
      <w:rFonts w:eastAsia="SimSun" w:cs="Cambria"/>
      <w:lang w:val="lt-LT"/>
    </w:rPr>
  </w:style>
  <w:style w:type="paragraph" w:styleId="Footer">
    <w:name w:val="footer"/>
    <w:basedOn w:val="Normal"/>
    <w:link w:val="FooterChar"/>
    <w:uiPriority w:val="99"/>
    <w:rsid w:val="004B3372"/>
    <w:pPr>
      <w:tabs>
        <w:tab w:val="center" w:pos="4680"/>
        <w:tab w:val="right" w:pos="9360"/>
      </w:tabs>
      <w:spacing w:after="0"/>
    </w:pPr>
  </w:style>
  <w:style w:type="character" w:customStyle="1" w:styleId="FooterChar">
    <w:name w:val="Footer Char"/>
    <w:basedOn w:val="DefaultParagraphFont"/>
    <w:link w:val="Footer"/>
    <w:uiPriority w:val="99"/>
    <w:rsid w:val="004B3372"/>
    <w:rPr>
      <w:rFonts w:eastAsia="SimSun" w:cs="Cambria"/>
      <w:lang w:val="lt-LT"/>
    </w:rPr>
  </w:style>
  <w:style w:type="paragraph" w:styleId="FootnoteText">
    <w:name w:val="footnote text"/>
    <w:basedOn w:val="Normal"/>
    <w:link w:val="FootnoteTextChar"/>
    <w:uiPriority w:val="99"/>
    <w:rsid w:val="004B3372"/>
    <w:pPr>
      <w:spacing w:after="0"/>
    </w:pPr>
    <w:rPr>
      <w:sz w:val="20"/>
      <w:szCs w:val="20"/>
    </w:rPr>
  </w:style>
  <w:style w:type="character" w:customStyle="1" w:styleId="FootnoteTextChar">
    <w:name w:val="Footnote Text Char"/>
    <w:basedOn w:val="DefaultParagraphFont"/>
    <w:link w:val="FootnoteText"/>
    <w:uiPriority w:val="99"/>
    <w:rsid w:val="004B3372"/>
    <w:rPr>
      <w:rFonts w:eastAsia="SimSun" w:cs="Cambria"/>
      <w:sz w:val="20"/>
      <w:szCs w:val="20"/>
      <w:lang w:val="lt-LT"/>
    </w:rPr>
  </w:style>
  <w:style w:type="character" w:styleId="FootnoteReference">
    <w:name w:val="footnote reference"/>
    <w:basedOn w:val="DefaultParagraphFont"/>
    <w:uiPriority w:val="99"/>
    <w:rsid w:val="004B3372"/>
    <w:rPr>
      <w:vertAlign w:val="superscript"/>
    </w:rPr>
  </w:style>
  <w:style w:type="character" w:customStyle="1" w:styleId="apple-style-span">
    <w:name w:val="apple-style-span"/>
    <w:basedOn w:val="DefaultParagraphFont"/>
    <w:uiPriority w:val="99"/>
    <w:rsid w:val="004B3372"/>
  </w:style>
  <w:style w:type="paragraph" w:styleId="Caption">
    <w:name w:val="caption"/>
    <w:aliases w:val="Top caption"/>
    <w:basedOn w:val="Normal"/>
    <w:next w:val="Normal"/>
    <w:uiPriority w:val="99"/>
    <w:qFormat/>
    <w:rsid w:val="004B3372"/>
    <w:pPr>
      <w:keepNext/>
      <w:framePr w:w="9356" w:wrap="around" w:vAnchor="text" w:hAnchor="text" w:y="1"/>
      <w:spacing w:before="240"/>
      <w:jc w:val="left"/>
    </w:pPr>
    <w:rPr>
      <w:b/>
      <w:caps/>
      <w:color w:val="1F497D" w:themeColor="text2"/>
      <w:sz w:val="20"/>
      <w:szCs w:val="20"/>
    </w:rPr>
  </w:style>
  <w:style w:type="character" w:styleId="CommentReference">
    <w:name w:val="annotation reference"/>
    <w:basedOn w:val="DefaultParagraphFont"/>
    <w:uiPriority w:val="99"/>
    <w:semiHidden/>
    <w:rsid w:val="004B3372"/>
    <w:rPr>
      <w:sz w:val="16"/>
      <w:szCs w:val="16"/>
    </w:rPr>
  </w:style>
  <w:style w:type="paragraph" w:styleId="CommentText">
    <w:name w:val="annotation text"/>
    <w:basedOn w:val="Normal"/>
    <w:link w:val="CommentTextChar"/>
    <w:uiPriority w:val="99"/>
    <w:semiHidden/>
    <w:rsid w:val="004B3372"/>
    <w:rPr>
      <w:sz w:val="20"/>
      <w:szCs w:val="20"/>
    </w:rPr>
  </w:style>
  <w:style w:type="character" w:customStyle="1" w:styleId="CommentTextChar">
    <w:name w:val="Comment Text Char"/>
    <w:basedOn w:val="DefaultParagraphFont"/>
    <w:link w:val="CommentText"/>
    <w:uiPriority w:val="99"/>
    <w:semiHidden/>
    <w:rsid w:val="004B3372"/>
    <w:rPr>
      <w:rFonts w:eastAsia="SimSun" w:cs="Cambria"/>
      <w:sz w:val="20"/>
      <w:szCs w:val="20"/>
      <w:lang w:val="lt-LT"/>
    </w:rPr>
  </w:style>
  <w:style w:type="paragraph" w:styleId="CommentSubject">
    <w:name w:val="annotation subject"/>
    <w:basedOn w:val="CommentText"/>
    <w:next w:val="CommentText"/>
    <w:link w:val="CommentSubjectChar"/>
    <w:uiPriority w:val="99"/>
    <w:semiHidden/>
    <w:rsid w:val="004B3372"/>
    <w:rPr>
      <w:b/>
    </w:rPr>
  </w:style>
  <w:style w:type="character" w:customStyle="1" w:styleId="CommentSubjectChar">
    <w:name w:val="Comment Subject Char"/>
    <w:basedOn w:val="CommentTextChar"/>
    <w:link w:val="CommentSubject"/>
    <w:uiPriority w:val="99"/>
    <w:semiHidden/>
    <w:rsid w:val="004B3372"/>
    <w:rPr>
      <w:rFonts w:eastAsia="SimSun" w:cs="Cambria"/>
      <w:b/>
      <w:sz w:val="20"/>
      <w:szCs w:val="20"/>
      <w:lang w:val="lt-LT"/>
    </w:rPr>
  </w:style>
  <w:style w:type="paragraph" w:customStyle="1" w:styleId="MediumGrid21">
    <w:name w:val="Medium Grid 21"/>
    <w:link w:val="MediumGrid2Char"/>
    <w:uiPriority w:val="99"/>
    <w:rsid w:val="004B3372"/>
    <w:pPr>
      <w:spacing w:after="0" w:line="240" w:lineRule="auto"/>
    </w:pPr>
    <w:rPr>
      <w:rFonts w:eastAsia="MS Mincho" w:cs="Calibri"/>
      <w:lang w:val="lt-LT" w:eastAsia="en-GB"/>
    </w:rPr>
  </w:style>
  <w:style w:type="character" w:customStyle="1" w:styleId="MediumGrid2Char">
    <w:name w:val="Medium Grid 2 Char"/>
    <w:link w:val="MediumGrid21"/>
    <w:uiPriority w:val="99"/>
    <w:locked/>
    <w:rsid w:val="004B3372"/>
    <w:rPr>
      <w:rFonts w:eastAsia="MS Mincho" w:cs="Calibri"/>
      <w:lang w:val="lt-LT" w:eastAsia="en-GB"/>
    </w:rPr>
  </w:style>
  <w:style w:type="paragraph" w:styleId="TOC3">
    <w:name w:val="toc 3"/>
    <w:basedOn w:val="Normal"/>
    <w:next w:val="Normal"/>
    <w:link w:val="TOC3Char1"/>
    <w:autoRedefine/>
    <w:uiPriority w:val="39"/>
    <w:rsid w:val="004B3372"/>
    <w:pPr>
      <w:spacing w:after="0"/>
      <w:ind w:left="440"/>
      <w:jc w:val="left"/>
    </w:pPr>
    <w:rPr>
      <w:rFonts w:cstheme="minorHAnsi"/>
      <w:sz w:val="20"/>
      <w:szCs w:val="20"/>
    </w:rPr>
  </w:style>
  <w:style w:type="character" w:customStyle="1" w:styleId="TOC3Char1">
    <w:name w:val="TOC 3 Char1"/>
    <w:basedOn w:val="DefaultParagraphFont"/>
    <w:link w:val="TOC3"/>
    <w:uiPriority w:val="39"/>
    <w:locked/>
    <w:rsid w:val="004B3372"/>
    <w:rPr>
      <w:rFonts w:eastAsia="SimSun" w:cstheme="minorHAnsi"/>
      <w:sz w:val="20"/>
      <w:szCs w:val="20"/>
      <w:lang w:val="lt-LT"/>
    </w:rPr>
  </w:style>
  <w:style w:type="table" w:styleId="TableGrid">
    <w:name w:val="Table Grid"/>
    <w:basedOn w:val="TableNormal"/>
    <w:uiPriority w:val="39"/>
    <w:rsid w:val="004B3372"/>
    <w:pPr>
      <w:spacing w:after="0" w:line="240" w:lineRule="auto"/>
    </w:pPr>
    <w:rPr>
      <w:rFonts w:ascii="Avenir Next Demi Bold" w:eastAsia="SimSun" w:hAnsi="Avenir Next Demi Bold" w:cs="Calibri"/>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MediumGrid21"/>
    <w:next w:val="Normal"/>
    <w:link w:val="TitleChar"/>
    <w:uiPriority w:val="10"/>
    <w:qFormat/>
    <w:rsid w:val="004B3372"/>
    <w:pPr>
      <w:ind w:right="558"/>
    </w:pPr>
    <w:rPr>
      <w:rFonts w:eastAsia="MS Gothic" w:cs="Cambria"/>
      <w:color w:val="FFFFFF" w:themeColor="background1"/>
      <w:sz w:val="40"/>
      <w:szCs w:val="56"/>
    </w:rPr>
  </w:style>
  <w:style w:type="character" w:customStyle="1" w:styleId="TitleChar">
    <w:name w:val="Title Char"/>
    <w:basedOn w:val="DefaultParagraphFont"/>
    <w:link w:val="Title"/>
    <w:uiPriority w:val="10"/>
    <w:rsid w:val="004B3372"/>
    <w:rPr>
      <w:rFonts w:eastAsia="MS Gothic" w:cs="Cambria"/>
      <w:color w:val="FFFFFF" w:themeColor="background1"/>
      <w:sz w:val="40"/>
      <w:szCs w:val="56"/>
      <w:lang w:val="lt-LT" w:eastAsia="en-GB"/>
    </w:rPr>
  </w:style>
  <w:style w:type="paragraph" w:styleId="Subtitle">
    <w:name w:val="Subtitle"/>
    <w:basedOn w:val="Normal"/>
    <w:next w:val="Normal"/>
    <w:link w:val="SubtitleChar"/>
    <w:uiPriority w:val="99"/>
    <w:rsid w:val="004B3372"/>
    <w:pPr>
      <w:ind w:right="556"/>
      <w:jc w:val="center"/>
    </w:pPr>
    <w:rPr>
      <w:color w:val="FFFFFF" w:themeColor="background1"/>
      <w:sz w:val="36"/>
      <w:szCs w:val="36"/>
    </w:rPr>
  </w:style>
  <w:style w:type="character" w:customStyle="1" w:styleId="SubtitleChar">
    <w:name w:val="Subtitle Char"/>
    <w:basedOn w:val="DefaultParagraphFont"/>
    <w:link w:val="Subtitle"/>
    <w:uiPriority w:val="99"/>
    <w:rsid w:val="004B3372"/>
    <w:rPr>
      <w:rFonts w:eastAsia="SimSun" w:cs="Cambria"/>
      <w:color w:val="FFFFFF" w:themeColor="background1"/>
      <w:sz w:val="36"/>
      <w:szCs w:val="36"/>
      <w:lang w:val="lt-LT"/>
    </w:rPr>
  </w:style>
  <w:style w:type="character" w:styleId="Emphasis">
    <w:name w:val="Emphasis"/>
    <w:aliases w:val="Keywords"/>
    <w:basedOn w:val="DefaultParagraphFont"/>
    <w:uiPriority w:val="20"/>
    <w:qFormat/>
    <w:rsid w:val="004B3372"/>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rsid w:val="004B3372"/>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rsid w:val="004B3372"/>
    <w:rPr>
      <w:rFonts w:eastAsia="SimSun" w:cs="Cambria"/>
      <w:iCs/>
      <w:color w:val="FFFFFF" w:themeColor="background1"/>
      <w:lang w:val="lt-LT"/>
    </w:rPr>
  </w:style>
  <w:style w:type="table" w:customStyle="1" w:styleId="TableGridLight1">
    <w:name w:val="Table Grid Light1"/>
    <w:basedOn w:val="TableNormal"/>
    <w:uiPriority w:val="40"/>
    <w:rsid w:val="004B3372"/>
    <w:pPr>
      <w:spacing w:after="0" w:line="240" w:lineRule="auto"/>
    </w:pPr>
    <w:rPr>
      <w:rFonts w:eastAsia="SimSun" w:cs="Cambria"/>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4B3372"/>
  </w:style>
  <w:style w:type="paragraph" w:customStyle="1" w:styleId="bodytext">
    <w:name w:val="bodytext"/>
    <w:basedOn w:val="Normal"/>
    <w:uiPriority w:val="99"/>
    <w:rsid w:val="004B3372"/>
    <w:pPr>
      <w:spacing w:before="100" w:beforeAutospacing="1" w:after="100" w:afterAutospacing="1"/>
      <w:jc w:val="left"/>
    </w:pPr>
    <w:rPr>
      <w:rFonts w:ascii="Times New Roman" w:hAnsi="Times New Roman" w:cs="Times New Roman"/>
      <w:sz w:val="24"/>
      <w:szCs w:val="24"/>
      <w:lang w:eastAsia="lt-LT"/>
    </w:rPr>
  </w:style>
  <w:style w:type="paragraph" w:styleId="NormalWeb">
    <w:name w:val="Normal (Web)"/>
    <w:basedOn w:val="Normal"/>
    <w:uiPriority w:val="99"/>
    <w:rsid w:val="004B3372"/>
    <w:pPr>
      <w:spacing w:before="100" w:beforeAutospacing="1" w:after="100" w:afterAutospacing="1"/>
      <w:jc w:val="left"/>
    </w:pPr>
    <w:rPr>
      <w:rFonts w:ascii="Times New Roman" w:hAnsi="Times New Roman" w:cs="Times New Roman"/>
      <w:sz w:val="24"/>
      <w:szCs w:val="24"/>
      <w:lang w:val="et-EE" w:eastAsia="et-EE"/>
    </w:rPr>
  </w:style>
  <w:style w:type="character" w:styleId="Strong">
    <w:name w:val="Strong"/>
    <w:basedOn w:val="DefaultParagraphFont"/>
    <w:uiPriority w:val="99"/>
    <w:rsid w:val="004B3372"/>
    <w:rPr>
      <w:b/>
      <w:bCs w:val="0"/>
      <w:color w:val="134753"/>
    </w:rPr>
  </w:style>
  <w:style w:type="table" w:customStyle="1" w:styleId="Civittatable">
    <w:name w:val="Civitta table"/>
    <w:basedOn w:val="TableNormal"/>
    <w:uiPriority w:val="99"/>
    <w:rsid w:val="004B3372"/>
    <w:pPr>
      <w:spacing w:before="60" w:after="60" w:line="240" w:lineRule="auto"/>
    </w:pPr>
    <w:rPr>
      <w:rFonts w:eastAsia="SimSun"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DefaultParagraphFont"/>
    <w:uiPriority w:val="99"/>
    <w:rsid w:val="004B3372"/>
    <w:rPr>
      <w:rFonts w:ascii="Cambria" w:hAnsi="Cambria" w:cs="Cambria"/>
      <w:lang w:eastAsia="ja-JP"/>
    </w:rPr>
  </w:style>
  <w:style w:type="paragraph" w:styleId="TOC4">
    <w:name w:val="toc 4"/>
    <w:basedOn w:val="Normal"/>
    <w:next w:val="Normal"/>
    <w:autoRedefine/>
    <w:uiPriority w:val="99"/>
    <w:semiHidden/>
    <w:rsid w:val="004B3372"/>
    <w:pPr>
      <w:spacing w:after="0"/>
      <w:ind w:left="660"/>
      <w:jc w:val="left"/>
    </w:pPr>
    <w:rPr>
      <w:rFonts w:cstheme="minorHAnsi"/>
      <w:sz w:val="20"/>
      <w:szCs w:val="20"/>
    </w:rPr>
  </w:style>
  <w:style w:type="paragraph" w:styleId="TOC5">
    <w:name w:val="toc 5"/>
    <w:basedOn w:val="Normal"/>
    <w:next w:val="Normal"/>
    <w:autoRedefine/>
    <w:uiPriority w:val="99"/>
    <w:semiHidden/>
    <w:rsid w:val="004B3372"/>
    <w:pPr>
      <w:spacing w:after="0"/>
      <w:ind w:left="880"/>
      <w:jc w:val="left"/>
    </w:pPr>
    <w:rPr>
      <w:rFonts w:cstheme="minorHAnsi"/>
      <w:sz w:val="20"/>
      <w:szCs w:val="20"/>
    </w:rPr>
  </w:style>
  <w:style w:type="paragraph" w:styleId="TOC6">
    <w:name w:val="toc 6"/>
    <w:basedOn w:val="Normal"/>
    <w:next w:val="Normal"/>
    <w:autoRedefine/>
    <w:uiPriority w:val="99"/>
    <w:semiHidden/>
    <w:rsid w:val="004B3372"/>
    <w:pPr>
      <w:spacing w:after="0"/>
      <w:ind w:left="1100"/>
      <w:jc w:val="left"/>
    </w:pPr>
    <w:rPr>
      <w:rFonts w:cstheme="minorHAnsi"/>
      <w:sz w:val="20"/>
      <w:szCs w:val="20"/>
    </w:rPr>
  </w:style>
  <w:style w:type="paragraph" w:styleId="TOC7">
    <w:name w:val="toc 7"/>
    <w:basedOn w:val="Normal"/>
    <w:next w:val="Normal"/>
    <w:autoRedefine/>
    <w:uiPriority w:val="99"/>
    <w:semiHidden/>
    <w:rsid w:val="004B3372"/>
    <w:pPr>
      <w:spacing w:after="0"/>
      <w:ind w:left="1320"/>
      <w:jc w:val="left"/>
    </w:pPr>
    <w:rPr>
      <w:rFonts w:cstheme="minorHAnsi"/>
      <w:sz w:val="20"/>
      <w:szCs w:val="20"/>
    </w:rPr>
  </w:style>
  <w:style w:type="paragraph" w:styleId="TOC8">
    <w:name w:val="toc 8"/>
    <w:basedOn w:val="Normal"/>
    <w:next w:val="Normal"/>
    <w:autoRedefine/>
    <w:uiPriority w:val="99"/>
    <w:semiHidden/>
    <w:rsid w:val="004B3372"/>
    <w:pPr>
      <w:spacing w:after="0"/>
      <w:ind w:left="1540"/>
      <w:jc w:val="left"/>
    </w:pPr>
    <w:rPr>
      <w:rFonts w:cstheme="minorHAnsi"/>
      <w:sz w:val="20"/>
      <w:szCs w:val="20"/>
    </w:rPr>
  </w:style>
  <w:style w:type="paragraph" w:styleId="TOC9">
    <w:name w:val="toc 9"/>
    <w:basedOn w:val="Normal"/>
    <w:next w:val="Normal"/>
    <w:autoRedefine/>
    <w:uiPriority w:val="99"/>
    <w:semiHidden/>
    <w:rsid w:val="004B3372"/>
    <w:pPr>
      <w:spacing w:after="0"/>
      <w:ind w:left="1760"/>
      <w:jc w:val="left"/>
    </w:pPr>
    <w:rPr>
      <w:rFonts w:cstheme="minorHAnsi"/>
      <w:sz w:val="20"/>
      <w:szCs w:val="20"/>
    </w:rPr>
  </w:style>
  <w:style w:type="paragraph" w:styleId="TableofFigures">
    <w:name w:val="table of figures"/>
    <w:basedOn w:val="Normal"/>
    <w:next w:val="Normal"/>
    <w:uiPriority w:val="99"/>
    <w:rsid w:val="004B3372"/>
  </w:style>
  <w:style w:type="character" w:customStyle="1" w:styleId="apple-converted-space">
    <w:name w:val="apple-converted-space"/>
    <w:basedOn w:val="DefaultParagraphFont"/>
    <w:rsid w:val="004B3372"/>
  </w:style>
  <w:style w:type="paragraph" w:customStyle="1" w:styleId="Default">
    <w:name w:val="Default"/>
    <w:uiPriority w:val="99"/>
    <w:rsid w:val="004B3372"/>
    <w:pPr>
      <w:autoSpaceDE w:val="0"/>
      <w:autoSpaceDN w:val="0"/>
      <w:adjustRightInd w:val="0"/>
      <w:spacing w:after="0" w:line="240" w:lineRule="auto"/>
    </w:pPr>
    <w:rPr>
      <w:rFonts w:eastAsia="SimSun" w:cs="Calibri"/>
      <w:color w:val="000000"/>
      <w:sz w:val="24"/>
      <w:szCs w:val="24"/>
      <w:lang w:val="lt-LT" w:eastAsia="zh-CN"/>
    </w:rPr>
  </w:style>
  <w:style w:type="character" w:styleId="PlaceholderText">
    <w:name w:val="Placeholder Text"/>
    <w:basedOn w:val="DefaultParagraphFont"/>
    <w:uiPriority w:val="99"/>
    <w:semiHidden/>
    <w:rsid w:val="004B3372"/>
    <w:rPr>
      <w:color w:val="808080"/>
    </w:rPr>
  </w:style>
  <w:style w:type="paragraph" w:customStyle="1" w:styleId="Bullet">
    <w:name w:val="Bullet"/>
    <w:basedOn w:val="ListParagraph"/>
    <w:link w:val="BulletChar"/>
    <w:qFormat/>
    <w:rsid w:val="004B3372"/>
    <w:pPr>
      <w:numPr>
        <w:numId w:val="3"/>
      </w:numPr>
      <w:spacing w:after="60"/>
    </w:pPr>
    <w:rPr>
      <w:rFonts w:eastAsia="MS Gothic"/>
      <w:color w:val="000000" w:themeColor="text1"/>
      <w:lang w:eastAsia="en-GB"/>
    </w:rPr>
  </w:style>
  <w:style w:type="character" w:customStyle="1" w:styleId="BulletChar">
    <w:name w:val="Bullet Char"/>
    <w:basedOn w:val="ListParagraphChar"/>
    <w:link w:val="Bullet"/>
    <w:rsid w:val="004B3372"/>
    <w:rPr>
      <w:rFonts w:eastAsia="MS Gothic" w:cs="Cambria"/>
      <w:color w:val="000000" w:themeColor="text1"/>
      <w:lang w:val="lt-LT" w:eastAsia="en-GB"/>
    </w:rPr>
  </w:style>
  <w:style w:type="paragraph" w:customStyle="1" w:styleId="Bottomcaption">
    <w:name w:val="Bottom caption"/>
    <w:basedOn w:val="Caption"/>
    <w:link w:val="BottomcaptionChar"/>
    <w:qFormat/>
    <w:rsid w:val="004B3372"/>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4B3372"/>
    <w:rPr>
      <w:rFonts w:eastAsia="SimSun" w:cs="Cambria"/>
      <w:color w:val="808080" w:themeColor="background1" w:themeShade="80"/>
      <w:sz w:val="20"/>
      <w:szCs w:val="20"/>
      <w:lang w:val="lt-LT"/>
    </w:rPr>
  </w:style>
  <w:style w:type="character" w:styleId="SubtleEmphasis">
    <w:name w:val="Subtle Emphasis"/>
    <w:basedOn w:val="DefaultParagraphFont"/>
    <w:uiPriority w:val="19"/>
    <w:rsid w:val="004B3372"/>
    <w:rPr>
      <w:i/>
      <w:iCs/>
    </w:rPr>
  </w:style>
  <w:style w:type="character" w:styleId="BookTitle">
    <w:name w:val="Book Title"/>
    <w:basedOn w:val="DefaultParagraphFont"/>
    <w:uiPriority w:val="33"/>
    <w:rsid w:val="004B3372"/>
    <w:rPr>
      <w:rFonts w:ascii="Avenir Next Regular" w:hAnsi="Avenir Next Regular"/>
      <w:b/>
      <w:bCs w:val="0"/>
      <w:i/>
      <w:iCs/>
      <w:color w:val="134753"/>
      <w:spacing w:val="5"/>
    </w:rPr>
  </w:style>
  <w:style w:type="table" w:styleId="TableTheme">
    <w:name w:val="Table Theme"/>
    <w:basedOn w:val="TableNormal"/>
    <w:uiPriority w:val="99"/>
    <w:semiHidden/>
    <w:unhideWhenUsed/>
    <w:rsid w:val="004B3372"/>
    <w:pPr>
      <w:spacing w:before="120" w:after="120" w:line="240" w:lineRule="auto"/>
      <w:jc w:val="both"/>
    </w:pPr>
    <w:rPr>
      <w:rFonts w:eastAsia="SimSun" w:cs="Cambri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4B3372"/>
    <w:pPr>
      <w:autoSpaceDE w:val="0"/>
      <w:autoSpaceDN w:val="0"/>
      <w:adjustRightInd w:val="0"/>
      <w:spacing w:after="0" w:line="288" w:lineRule="auto"/>
      <w:jc w:val="left"/>
      <w:textAlignment w:val="center"/>
    </w:pPr>
    <w:rPr>
      <w:rFonts w:ascii="Minion Pro" w:eastAsiaTheme="minorHAnsi" w:hAnsi="Minion Pro" w:cs="Minion Pro"/>
      <w:color w:val="000000"/>
      <w:sz w:val="24"/>
      <w:szCs w:val="24"/>
      <w:lang w:val="en-GB"/>
    </w:rPr>
  </w:style>
  <w:style w:type="table" w:customStyle="1" w:styleId="GridTable1Light1">
    <w:name w:val="Grid Table 1 Light1"/>
    <w:basedOn w:val="TableNormal"/>
    <w:uiPriority w:val="46"/>
    <w:rsid w:val="004B3372"/>
    <w:pPr>
      <w:spacing w:after="0" w:line="240" w:lineRule="auto"/>
    </w:pPr>
    <w:rPr>
      <w:rFonts w:eastAsia="SimSun" w:cs="Cambria"/>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B33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B3372"/>
    <w:rPr>
      <w:rFonts w:eastAsia="SimSun" w:cs="Cambria"/>
      <w:color w:val="000000" w:themeColor="text1"/>
      <w:lang w:val="lt-LT"/>
    </w:rPr>
  </w:style>
  <w:style w:type="paragraph" w:customStyle="1" w:styleId="Focus">
    <w:name w:val="Focus"/>
    <w:basedOn w:val="Normal"/>
    <w:link w:val="FocusChar"/>
    <w:qFormat/>
    <w:rsid w:val="004B3372"/>
    <w:pPr>
      <w:keepNext/>
    </w:pPr>
    <w:rPr>
      <w:b/>
      <w:caps/>
      <w:color w:val="1F497D" w:themeColor="text2"/>
    </w:rPr>
  </w:style>
  <w:style w:type="character" w:customStyle="1" w:styleId="FocusChar">
    <w:name w:val="Focus Char"/>
    <w:basedOn w:val="DefaultParagraphFont"/>
    <w:link w:val="Focus"/>
    <w:rsid w:val="004B3372"/>
    <w:rPr>
      <w:rFonts w:eastAsia="SimSun" w:cs="Cambria"/>
      <w:b/>
      <w:caps/>
      <w:color w:val="1F497D" w:themeColor="text2"/>
      <w:lang w:val="lt-LT"/>
    </w:rPr>
  </w:style>
  <w:style w:type="paragraph" w:customStyle="1" w:styleId="Body">
    <w:name w:val="Body"/>
    <w:rsid w:val="004B3372"/>
    <w:pPr>
      <w:pBdr>
        <w:top w:val="nil"/>
        <w:left w:val="nil"/>
        <w:bottom w:val="nil"/>
        <w:right w:val="nil"/>
        <w:between w:val="nil"/>
        <w:bar w:val="nil"/>
      </w:pBdr>
      <w:spacing w:after="160" w:line="259" w:lineRule="auto"/>
    </w:pPr>
    <w:rPr>
      <w:rFonts w:eastAsia="Arial Unicode MS" w:cs="Arial Unicode MS"/>
      <w:color w:val="000000"/>
      <w:u w:color="000000"/>
      <w:bdr w:val="nil"/>
      <w:lang w:val="en-US" w:eastAsia="lv-LV"/>
    </w:rPr>
  </w:style>
  <w:style w:type="numbering" w:customStyle="1" w:styleId="Style1">
    <w:name w:val="Style1"/>
    <w:uiPriority w:val="99"/>
    <w:rsid w:val="004B3372"/>
    <w:pPr>
      <w:numPr>
        <w:numId w:val="4"/>
      </w:numPr>
    </w:pPr>
  </w:style>
  <w:style w:type="paragraph" w:customStyle="1" w:styleId="title0">
    <w:name w:val="title_"/>
    <w:basedOn w:val="Normal"/>
    <w:next w:val="Normal"/>
    <w:rsid w:val="004B3372"/>
    <w:pPr>
      <w:spacing w:after="200" w:line="720" w:lineRule="atLeast"/>
    </w:pPr>
    <w:rPr>
      <w:rFonts w:eastAsiaTheme="minorEastAsia" w:cstheme="minorBidi"/>
      <w:color w:val="A0A5A5"/>
      <w:sz w:val="44"/>
      <w:szCs w:val="20"/>
      <w:lang w:val="en-US" w:eastAsia="nl-NL" w:bidi="en-US"/>
    </w:rPr>
  </w:style>
  <w:style w:type="paragraph" w:customStyle="1" w:styleId="Title1">
    <w:name w:val="Title1"/>
    <w:basedOn w:val="title0"/>
    <w:rsid w:val="004B3372"/>
    <w:rPr>
      <w:b/>
      <w:bCs/>
      <w:color w:val="003C64"/>
      <w:sz w:val="52"/>
    </w:rPr>
  </w:style>
  <w:style w:type="character" w:customStyle="1" w:styleId="hps">
    <w:name w:val="hps"/>
    <w:rsid w:val="004B3372"/>
    <w:rPr>
      <w:rFonts w:ascii="Times New Roman" w:hAnsi="Times New Roman" w:cs="Times New Roman" w:hint="default"/>
    </w:rPr>
  </w:style>
  <w:style w:type="paragraph" w:customStyle="1" w:styleId="ToR-NumberedText2">
    <w:name w:val="ToR - Numbered Text 2"/>
    <w:basedOn w:val="Normal"/>
    <w:rsid w:val="004B3372"/>
    <w:pPr>
      <w:numPr>
        <w:numId w:val="6"/>
      </w:numPr>
      <w:tabs>
        <w:tab w:val="left" w:pos="426"/>
      </w:tabs>
      <w:spacing w:before="60" w:after="60"/>
    </w:pPr>
    <w:rPr>
      <w:rFonts w:ascii="Arial" w:eastAsia="Times New Roman" w:hAnsi="Arial" w:cs="Arial"/>
      <w:sz w:val="20"/>
      <w:szCs w:val="24"/>
      <w:lang w:val="en-GB" w:eastAsia="en-GB"/>
    </w:rPr>
  </w:style>
  <w:style w:type="paragraph" w:customStyle="1" w:styleId="NSRF-BulletedText2">
    <w:name w:val="NSRF - Bulleted Text 2"/>
    <w:basedOn w:val="Normal"/>
    <w:autoRedefine/>
    <w:rsid w:val="004B3372"/>
    <w:rPr>
      <w:rFonts w:eastAsia="Times New Roman" w:cstheme="minorHAnsi"/>
      <w:lang w:val="en-GB" w:eastAsia="en-GB"/>
    </w:rPr>
  </w:style>
  <w:style w:type="paragraph" w:styleId="BodyText3">
    <w:name w:val="Body Text 3"/>
    <w:basedOn w:val="Normal"/>
    <w:link w:val="BodyText3Char"/>
    <w:rsid w:val="004B3372"/>
    <w:pPr>
      <w:jc w:val="left"/>
    </w:pPr>
    <w:rPr>
      <w:rFonts w:ascii="Times New Roman" w:eastAsia="Calibri" w:hAnsi="Times New Roman" w:cs="Times New Roman"/>
      <w:sz w:val="16"/>
      <w:szCs w:val="16"/>
      <w:lang w:val="en-US"/>
    </w:rPr>
  </w:style>
  <w:style w:type="character" w:customStyle="1" w:styleId="BodyText3Char">
    <w:name w:val="Body Text 3 Char"/>
    <w:basedOn w:val="DefaultParagraphFont"/>
    <w:link w:val="BodyText3"/>
    <w:rsid w:val="004B3372"/>
    <w:rPr>
      <w:rFonts w:ascii="Times New Roman" w:eastAsia="Calibri" w:hAnsi="Times New Roman" w:cs="Times New Roman"/>
      <w:sz w:val="16"/>
      <w:szCs w:val="16"/>
      <w:lang w:val="en-US"/>
    </w:rPr>
  </w:style>
  <w:style w:type="paragraph" w:customStyle="1" w:styleId="8">
    <w:name w:val="Знак Знак8 Знак Знак Знак Знак Знак Знак Знак Знак"/>
    <w:basedOn w:val="Normal"/>
    <w:rsid w:val="004B3372"/>
    <w:pPr>
      <w:spacing w:after="160" w:line="240" w:lineRule="exact"/>
      <w:jc w:val="left"/>
    </w:pPr>
    <w:rPr>
      <w:rFonts w:ascii="Arial" w:eastAsia="Batang" w:hAnsi="Arial" w:cs="Arial"/>
      <w:sz w:val="20"/>
      <w:szCs w:val="20"/>
      <w:lang w:val="en-US"/>
    </w:rPr>
  </w:style>
  <w:style w:type="character" w:styleId="FollowedHyperlink">
    <w:name w:val="FollowedHyperlink"/>
    <w:basedOn w:val="DefaultParagraphFont"/>
    <w:uiPriority w:val="99"/>
    <w:semiHidden/>
    <w:unhideWhenUsed/>
    <w:rsid w:val="004B3372"/>
    <w:rPr>
      <w:color w:val="800080" w:themeColor="followedHyperlink"/>
      <w:u w:val="single"/>
    </w:rPr>
  </w:style>
  <w:style w:type="paragraph" w:styleId="DocumentMap">
    <w:name w:val="Document Map"/>
    <w:basedOn w:val="Normal"/>
    <w:link w:val="DocumentMapChar"/>
    <w:uiPriority w:val="99"/>
    <w:semiHidden/>
    <w:unhideWhenUsed/>
    <w:rsid w:val="004B337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B3372"/>
    <w:rPr>
      <w:rFonts w:ascii="Tahoma" w:eastAsia="SimSun" w:hAnsi="Tahoma" w:cs="Tahoma"/>
      <w:sz w:val="16"/>
      <w:szCs w:val="16"/>
      <w:lang w:val="lt-LT"/>
    </w:rPr>
  </w:style>
  <w:style w:type="table" w:styleId="LightList-Accent2">
    <w:name w:val="Light List Accent 2"/>
    <w:basedOn w:val="TableNormal"/>
    <w:uiPriority w:val="61"/>
    <w:rsid w:val="004B3372"/>
    <w:pPr>
      <w:spacing w:after="0" w:line="240" w:lineRule="auto"/>
    </w:pPr>
    <w:rPr>
      <w:rFonts w:eastAsia="SimSun" w:cs="Cambria"/>
      <w:lang w:val="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TMLPreformatted">
    <w:name w:val="HTML Preformatted"/>
    <w:basedOn w:val="Normal"/>
    <w:link w:val="HTMLPreformattedChar"/>
    <w:uiPriority w:val="99"/>
    <w:semiHidden/>
    <w:unhideWhenUsed/>
    <w:rsid w:val="004B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4B3372"/>
    <w:rPr>
      <w:rFonts w:ascii="Courier New" w:eastAsia="Times New Roman" w:hAnsi="Courier New" w:cs="Courier New"/>
      <w:sz w:val="20"/>
      <w:szCs w:val="20"/>
      <w:lang w:eastAsia="ru-RU"/>
    </w:rPr>
  </w:style>
  <w:style w:type="character" w:styleId="PageNumber">
    <w:name w:val="page number"/>
    <w:basedOn w:val="DefaultParagraphFont"/>
    <w:uiPriority w:val="99"/>
    <w:semiHidden/>
    <w:unhideWhenUsed/>
    <w:rsid w:val="004B3372"/>
  </w:style>
  <w:style w:type="paragraph" w:customStyle="1" w:styleId="Text2">
    <w:name w:val="Text 2"/>
    <w:basedOn w:val="Normal"/>
    <w:rsid w:val="004B3372"/>
    <w:pPr>
      <w:tabs>
        <w:tab w:val="left" w:pos="2160"/>
      </w:tabs>
      <w:spacing w:after="240"/>
      <w:ind w:left="1077"/>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4B3372"/>
    <w:rPr>
      <w:color w:val="605E5C"/>
      <w:shd w:val="clear" w:color="auto" w:fill="E1DFDD"/>
    </w:rPr>
  </w:style>
  <w:style w:type="table" w:customStyle="1" w:styleId="TabelgrilLuminos1">
    <w:name w:val="Tabel grilă Luminos1"/>
    <w:basedOn w:val="TableNormal"/>
    <w:uiPriority w:val="40"/>
    <w:rsid w:val="004B3372"/>
    <w:pPr>
      <w:spacing w:after="0" w:line="240" w:lineRule="auto"/>
    </w:pPr>
    <w:rPr>
      <w:rFonts w:eastAsia="SimSun" w:cs="Cambria"/>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ril1Luminos1">
    <w:name w:val="Tabel grilă 1 Luminos1"/>
    <w:basedOn w:val="TableNormal"/>
    <w:uiPriority w:val="46"/>
    <w:rsid w:val="004B3372"/>
    <w:pPr>
      <w:spacing w:after="0" w:line="240" w:lineRule="auto"/>
    </w:pPr>
    <w:rPr>
      <w:rFonts w:eastAsia="SimSun" w:cs="Cambria"/>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B3372"/>
    <w:pPr>
      <w:spacing w:after="0" w:line="240" w:lineRule="auto"/>
    </w:pPr>
    <w:rPr>
      <w:rFonts w:eastAsia="SimSun" w:cs="Cambria"/>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semiHidden="0" w:uiPriority="10" w:unhideWhenUsed="0" w:qFormat="1"/>
    <w:lsdException w:name="Default Paragraph Font" w:uiPriority="1"/>
    <w:lsdException w:name="Subtitle" w:semiHidden="0" w:unhideWhenUsed="0" w:qFormat="1"/>
    <w:lsdException w:name="Body Text 3" w:uiPriority="0"/>
    <w:lsdException w:name="Strong" w:semiHidden="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5B101D"/>
    <w:pPr>
      <w:spacing w:after="120" w:line="240" w:lineRule="auto"/>
      <w:jc w:val="both"/>
    </w:pPr>
    <w:rPr>
      <w:rFonts w:eastAsia="SimSun" w:cs="Cambria"/>
      <w:lang w:val="lt-LT"/>
    </w:rPr>
  </w:style>
  <w:style w:type="paragraph" w:styleId="Heading1">
    <w:name w:val="heading 1"/>
    <w:next w:val="Normal"/>
    <w:link w:val="Heading1Char"/>
    <w:uiPriority w:val="99"/>
    <w:qFormat/>
    <w:rsid w:val="005B101D"/>
    <w:pPr>
      <w:keepNext/>
      <w:numPr>
        <w:numId w:val="2"/>
      </w:numPr>
      <w:spacing w:after="600" w:line="240" w:lineRule="auto"/>
      <w:outlineLvl w:val="0"/>
    </w:pPr>
    <w:rPr>
      <w:rFonts w:eastAsia="SimSun" w:cs="Cambria"/>
      <w:b/>
      <w:caps/>
      <w:color w:val="1F497D" w:themeColor="text2"/>
      <w:sz w:val="40"/>
      <w:szCs w:val="40"/>
      <w:lang w:val="lt-LT"/>
    </w:rPr>
  </w:style>
  <w:style w:type="paragraph" w:styleId="Heading2">
    <w:name w:val="heading 2"/>
    <w:basedOn w:val="Heading1"/>
    <w:next w:val="Normal"/>
    <w:link w:val="Heading2Char"/>
    <w:uiPriority w:val="99"/>
    <w:qFormat/>
    <w:rsid w:val="005B101D"/>
    <w:pPr>
      <w:numPr>
        <w:ilvl w:val="1"/>
      </w:numPr>
      <w:spacing w:before="360" w:after="240"/>
      <w:ind w:left="357"/>
      <w:outlineLvl w:val="1"/>
    </w:pPr>
    <w:rPr>
      <w:b w:val="0"/>
      <w:bCs/>
      <w:color w:val="EEECE1" w:themeColor="background2"/>
      <w:sz w:val="32"/>
      <w:szCs w:val="32"/>
    </w:rPr>
  </w:style>
  <w:style w:type="paragraph" w:styleId="Heading3">
    <w:name w:val="heading 3"/>
    <w:basedOn w:val="Heading2"/>
    <w:next w:val="Normal"/>
    <w:link w:val="Heading3Char"/>
    <w:uiPriority w:val="99"/>
    <w:qFormat/>
    <w:rsid w:val="005B101D"/>
    <w:pPr>
      <w:numPr>
        <w:ilvl w:val="2"/>
      </w:numPr>
      <w:spacing w:before="180" w:after="180"/>
      <w:outlineLvl w:val="2"/>
    </w:pPr>
    <w:rPr>
      <w:bCs w:val="0"/>
      <w:sz w:val="24"/>
    </w:rPr>
  </w:style>
  <w:style w:type="paragraph" w:styleId="Heading4">
    <w:name w:val="heading 4"/>
    <w:basedOn w:val="ListParagraph"/>
    <w:next w:val="Normal"/>
    <w:link w:val="Heading4Char"/>
    <w:unhideWhenUsed/>
    <w:rsid w:val="004B3372"/>
    <w:pPr>
      <w:keepNext/>
      <w:keepLines/>
      <w:spacing w:before="40" w:after="0"/>
      <w:outlineLvl w:val="3"/>
    </w:pPr>
    <w:rPr>
      <w:rFonts w:eastAsiaTheme="majorEastAsia" w:cstheme="majorBidi"/>
      <w:iCs/>
      <w:sz w:val="24"/>
      <w:szCs w:val="24"/>
    </w:rPr>
  </w:style>
  <w:style w:type="paragraph" w:styleId="Heading5">
    <w:name w:val="heading 5"/>
    <w:basedOn w:val="Normal"/>
    <w:next w:val="Normal"/>
    <w:link w:val="Heading5Char"/>
    <w:semiHidden/>
    <w:unhideWhenUsed/>
    <w:rsid w:val="004B33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101D"/>
    <w:rPr>
      <w:rFonts w:eastAsia="SimSun" w:cs="Cambria"/>
      <w:b/>
      <w:caps/>
      <w:color w:val="1F497D" w:themeColor="text2"/>
      <w:sz w:val="40"/>
      <w:szCs w:val="40"/>
      <w:lang w:val="lt-LT"/>
    </w:rPr>
  </w:style>
  <w:style w:type="character" w:customStyle="1" w:styleId="Heading2Char">
    <w:name w:val="Heading 2 Char"/>
    <w:basedOn w:val="DefaultParagraphFont"/>
    <w:link w:val="Heading2"/>
    <w:uiPriority w:val="99"/>
    <w:rsid w:val="005B101D"/>
    <w:rPr>
      <w:rFonts w:eastAsia="SimSun" w:cs="Cambria"/>
      <w:bCs/>
      <w:caps/>
      <w:color w:val="EEECE1" w:themeColor="background2"/>
      <w:sz w:val="32"/>
      <w:szCs w:val="32"/>
      <w:lang w:val="lt-LT"/>
    </w:rPr>
  </w:style>
  <w:style w:type="character" w:customStyle="1" w:styleId="Heading3Char">
    <w:name w:val="Heading 3 Char"/>
    <w:basedOn w:val="DefaultParagraphFont"/>
    <w:link w:val="Heading3"/>
    <w:uiPriority w:val="99"/>
    <w:rsid w:val="005B101D"/>
    <w:rPr>
      <w:rFonts w:eastAsia="SimSun" w:cs="Cambria"/>
      <w:caps/>
      <w:color w:val="EEECE1" w:themeColor="background2"/>
      <w:sz w:val="24"/>
      <w:szCs w:val="32"/>
      <w:lang w:val="lt-LT"/>
    </w:rPr>
  </w:style>
  <w:style w:type="numbering" w:customStyle="1" w:styleId="Headings">
    <w:name w:val="Headings"/>
    <w:uiPriority w:val="99"/>
    <w:rsid w:val="005B101D"/>
    <w:pPr>
      <w:numPr>
        <w:numId w:val="1"/>
      </w:numPr>
    </w:pPr>
  </w:style>
  <w:style w:type="character" w:styleId="Hyperlink">
    <w:name w:val="Hyperlink"/>
    <w:basedOn w:val="DefaultParagraphFont"/>
    <w:uiPriority w:val="99"/>
    <w:rsid w:val="004B3372"/>
    <w:rPr>
      <w:color w:val="0000FF"/>
      <w:u w:val="single"/>
    </w:rPr>
  </w:style>
  <w:style w:type="paragraph" w:styleId="TOC1">
    <w:name w:val="toc 1"/>
    <w:basedOn w:val="Normal"/>
    <w:next w:val="Normal"/>
    <w:autoRedefine/>
    <w:uiPriority w:val="39"/>
    <w:rsid w:val="004B3372"/>
    <w:pPr>
      <w:tabs>
        <w:tab w:val="left" w:pos="440"/>
        <w:tab w:val="right" w:leader="dot" w:pos="9435"/>
      </w:tabs>
      <w:spacing w:before="120" w:after="0"/>
      <w:jc w:val="left"/>
    </w:pPr>
    <w:rPr>
      <w:rFonts w:cstheme="minorHAnsi"/>
      <w:b/>
      <w:iCs/>
      <w:noProof/>
      <w:sz w:val="24"/>
      <w:szCs w:val="24"/>
      <w:lang w:val="ro-RO"/>
    </w:rPr>
  </w:style>
  <w:style w:type="paragraph" w:styleId="TOC2">
    <w:name w:val="toc 2"/>
    <w:basedOn w:val="Normal"/>
    <w:next w:val="Normal"/>
    <w:autoRedefine/>
    <w:uiPriority w:val="39"/>
    <w:rsid w:val="004B3372"/>
    <w:pPr>
      <w:spacing w:before="120" w:after="0"/>
      <w:ind w:left="220"/>
      <w:jc w:val="left"/>
    </w:pPr>
    <w:rPr>
      <w:rFonts w:cstheme="minorHAnsi"/>
      <w:b/>
    </w:rPr>
  </w:style>
  <w:style w:type="paragraph" w:styleId="TOCHeading">
    <w:name w:val="TOC Heading"/>
    <w:aliases w:val="Table of Contents"/>
    <w:basedOn w:val="Heading1"/>
    <w:next w:val="Normal"/>
    <w:uiPriority w:val="39"/>
    <w:qFormat/>
    <w:rsid w:val="004B3372"/>
    <w:pPr>
      <w:keepLines/>
      <w:numPr>
        <w:numId w:val="0"/>
      </w:numPr>
      <w:outlineLvl w:val="9"/>
    </w:pPr>
    <w:rPr>
      <w:szCs w:val="28"/>
    </w:rPr>
  </w:style>
  <w:style w:type="paragraph" w:styleId="BalloonText">
    <w:name w:val="Balloon Text"/>
    <w:basedOn w:val="Normal"/>
    <w:link w:val="BalloonTextChar"/>
    <w:uiPriority w:val="99"/>
    <w:semiHidden/>
    <w:unhideWhenUsed/>
    <w:rsid w:val="004B3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372"/>
    <w:rPr>
      <w:rFonts w:ascii="Tahoma" w:eastAsia="SimSun" w:hAnsi="Tahoma" w:cs="Tahoma"/>
      <w:sz w:val="16"/>
      <w:szCs w:val="16"/>
      <w:lang w:val="lt-LT"/>
    </w:rPr>
  </w:style>
  <w:style w:type="character" w:customStyle="1" w:styleId="Heading4Char">
    <w:name w:val="Heading 4 Char"/>
    <w:basedOn w:val="DefaultParagraphFont"/>
    <w:link w:val="Heading4"/>
    <w:rsid w:val="004B3372"/>
    <w:rPr>
      <w:rFonts w:eastAsiaTheme="majorEastAsia" w:cstheme="majorBidi"/>
      <w:iCs/>
      <w:color w:val="134753"/>
      <w:sz w:val="24"/>
      <w:szCs w:val="24"/>
      <w:lang w:val="lt-LT"/>
    </w:rPr>
  </w:style>
  <w:style w:type="character" w:customStyle="1" w:styleId="Heading5Char">
    <w:name w:val="Heading 5 Char"/>
    <w:basedOn w:val="DefaultParagraphFont"/>
    <w:link w:val="Heading5"/>
    <w:semiHidden/>
    <w:rsid w:val="004B3372"/>
    <w:rPr>
      <w:rFonts w:asciiTheme="majorHAnsi" w:eastAsiaTheme="majorEastAsia" w:hAnsiTheme="majorHAnsi" w:cstheme="majorBidi"/>
      <w:color w:val="365F91" w:themeColor="accent1" w:themeShade="BF"/>
      <w:lang w:val="lt-LT"/>
    </w:rPr>
  </w:style>
  <w:style w:type="paragraph" w:styleId="ListParagraph">
    <w:name w:val="List Paragraph"/>
    <w:aliases w:val="ERP-List Paragraph,List Paragraph11,Bullet EY,List Paragraph1,Normal bullet 2"/>
    <w:basedOn w:val="Normal"/>
    <w:link w:val="ListParagraphChar"/>
    <w:uiPriority w:val="34"/>
    <w:qFormat/>
    <w:rsid w:val="004B3372"/>
    <w:pPr>
      <w:ind w:left="720"/>
    </w:pPr>
    <w:rPr>
      <w:color w:val="134753"/>
    </w:rPr>
  </w:style>
  <w:style w:type="character" w:customStyle="1" w:styleId="ListParagraphChar">
    <w:name w:val="List Paragraph Char"/>
    <w:aliases w:val="ERP-List Paragraph Char,List Paragraph11 Char,Bullet EY Char,List Paragraph1 Char,Normal bullet 2 Char"/>
    <w:basedOn w:val="DefaultParagraphFont"/>
    <w:link w:val="ListParagraph"/>
    <w:uiPriority w:val="34"/>
    <w:locked/>
    <w:rsid w:val="004B3372"/>
    <w:rPr>
      <w:rFonts w:eastAsia="SimSun" w:cs="Cambria"/>
      <w:color w:val="134753"/>
      <w:lang w:val="lt-LT"/>
    </w:rPr>
  </w:style>
  <w:style w:type="paragraph" w:styleId="Header">
    <w:name w:val="header"/>
    <w:basedOn w:val="Normal"/>
    <w:link w:val="HeaderChar"/>
    <w:uiPriority w:val="99"/>
    <w:rsid w:val="004B3372"/>
    <w:pPr>
      <w:tabs>
        <w:tab w:val="center" w:pos="4680"/>
        <w:tab w:val="right" w:pos="9360"/>
      </w:tabs>
      <w:spacing w:after="0"/>
    </w:pPr>
  </w:style>
  <w:style w:type="character" w:customStyle="1" w:styleId="HeaderChar">
    <w:name w:val="Header Char"/>
    <w:basedOn w:val="DefaultParagraphFont"/>
    <w:link w:val="Header"/>
    <w:uiPriority w:val="99"/>
    <w:rsid w:val="004B3372"/>
    <w:rPr>
      <w:rFonts w:eastAsia="SimSun" w:cs="Cambria"/>
      <w:lang w:val="lt-LT"/>
    </w:rPr>
  </w:style>
  <w:style w:type="paragraph" w:styleId="Footer">
    <w:name w:val="footer"/>
    <w:basedOn w:val="Normal"/>
    <w:link w:val="FooterChar"/>
    <w:uiPriority w:val="99"/>
    <w:rsid w:val="004B3372"/>
    <w:pPr>
      <w:tabs>
        <w:tab w:val="center" w:pos="4680"/>
        <w:tab w:val="right" w:pos="9360"/>
      </w:tabs>
      <w:spacing w:after="0"/>
    </w:pPr>
  </w:style>
  <w:style w:type="character" w:customStyle="1" w:styleId="FooterChar">
    <w:name w:val="Footer Char"/>
    <w:basedOn w:val="DefaultParagraphFont"/>
    <w:link w:val="Footer"/>
    <w:uiPriority w:val="99"/>
    <w:rsid w:val="004B3372"/>
    <w:rPr>
      <w:rFonts w:eastAsia="SimSun" w:cs="Cambria"/>
      <w:lang w:val="lt-LT"/>
    </w:rPr>
  </w:style>
  <w:style w:type="paragraph" w:styleId="FootnoteText">
    <w:name w:val="footnote text"/>
    <w:basedOn w:val="Normal"/>
    <w:link w:val="FootnoteTextChar"/>
    <w:uiPriority w:val="99"/>
    <w:rsid w:val="004B3372"/>
    <w:pPr>
      <w:spacing w:after="0"/>
    </w:pPr>
    <w:rPr>
      <w:sz w:val="20"/>
      <w:szCs w:val="20"/>
    </w:rPr>
  </w:style>
  <w:style w:type="character" w:customStyle="1" w:styleId="FootnoteTextChar">
    <w:name w:val="Footnote Text Char"/>
    <w:basedOn w:val="DefaultParagraphFont"/>
    <w:link w:val="FootnoteText"/>
    <w:uiPriority w:val="99"/>
    <w:rsid w:val="004B3372"/>
    <w:rPr>
      <w:rFonts w:eastAsia="SimSun" w:cs="Cambria"/>
      <w:sz w:val="20"/>
      <w:szCs w:val="20"/>
      <w:lang w:val="lt-LT"/>
    </w:rPr>
  </w:style>
  <w:style w:type="character" w:styleId="FootnoteReference">
    <w:name w:val="footnote reference"/>
    <w:basedOn w:val="DefaultParagraphFont"/>
    <w:uiPriority w:val="99"/>
    <w:rsid w:val="004B3372"/>
    <w:rPr>
      <w:vertAlign w:val="superscript"/>
    </w:rPr>
  </w:style>
  <w:style w:type="character" w:customStyle="1" w:styleId="apple-style-span">
    <w:name w:val="apple-style-span"/>
    <w:basedOn w:val="DefaultParagraphFont"/>
    <w:uiPriority w:val="99"/>
    <w:rsid w:val="004B3372"/>
  </w:style>
  <w:style w:type="paragraph" w:styleId="Caption">
    <w:name w:val="caption"/>
    <w:aliases w:val="Top caption"/>
    <w:basedOn w:val="Normal"/>
    <w:next w:val="Normal"/>
    <w:uiPriority w:val="99"/>
    <w:qFormat/>
    <w:rsid w:val="004B3372"/>
    <w:pPr>
      <w:keepNext/>
      <w:framePr w:w="9356" w:wrap="around" w:vAnchor="text" w:hAnchor="text" w:y="1"/>
      <w:spacing w:before="240"/>
      <w:jc w:val="left"/>
    </w:pPr>
    <w:rPr>
      <w:b/>
      <w:caps/>
      <w:color w:val="1F497D" w:themeColor="text2"/>
      <w:sz w:val="20"/>
      <w:szCs w:val="20"/>
    </w:rPr>
  </w:style>
  <w:style w:type="character" w:styleId="CommentReference">
    <w:name w:val="annotation reference"/>
    <w:basedOn w:val="DefaultParagraphFont"/>
    <w:uiPriority w:val="99"/>
    <w:semiHidden/>
    <w:rsid w:val="004B3372"/>
    <w:rPr>
      <w:sz w:val="16"/>
      <w:szCs w:val="16"/>
    </w:rPr>
  </w:style>
  <w:style w:type="paragraph" w:styleId="CommentText">
    <w:name w:val="annotation text"/>
    <w:basedOn w:val="Normal"/>
    <w:link w:val="CommentTextChar"/>
    <w:uiPriority w:val="99"/>
    <w:semiHidden/>
    <w:rsid w:val="004B3372"/>
    <w:rPr>
      <w:sz w:val="20"/>
      <w:szCs w:val="20"/>
    </w:rPr>
  </w:style>
  <w:style w:type="character" w:customStyle="1" w:styleId="CommentTextChar">
    <w:name w:val="Comment Text Char"/>
    <w:basedOn w:val="DefaultParagraphFont"/>
    <w:link w:val="CommentText"/>
    <w:uiPriority w:val="99"/>
    <w:semiHidden/>
    <w:rsid w:val="004B3372"/>
    <w:rPr>
      <w:rFonts w:eastAsia="SimSun" w:cs="Cambria"/>
      <w:sz w:val="20"/>
      <w:szCs w:val="20"/>
      <w:lang w:val="lt-LT"/>
    </w:rPr>
  </w:style>
  <w:style w:type="paragraph" w:styleId="CommentSubject">
    <w:name w:val="annotation subject"/>
    <w:basedOn w:val="CommentText"/>
    <w:next w:val="CommentText"/>
    <w:link w:val="CommentSubjectChar"/>
    <w:uiPriority w:val="99"/>
    <w:semiHidden/>
    <w:rsid w:val="004B3372"/>
    <w:rPr>
      <w:b/>
    </w:rPr>
  </w:style>
  <w:style w:type="character" w:customStyle="1" w:styleId="CommentSubjectChar">
    <w:name w:val="Comment Subject Char"/>
    <w:basedOn w:val="CommentTextChar"/>
    <w:link w:val="CommentSubject"/>
    <w:uiPriority w:val="99"/>
    <w:semiHidden/>
    <w:rsid w:val="004B3372"/>
    <w:rPr>
      <w:rFonts w:eastAsia="SimSun" w:cs="Cambria"/>
      <w:b/>
      <w:sz w:val="20"/>
      <w:szCs w:val="20"/>
      <w:lang w:val="lt-LT"/>
    </w:rPr>
  </w:style>
  <w:style w:type="paragraph" w:customStyle="1" w:styleId="MediumGrid21">
    <w:name w:val="Medium Grid 21"/>
    <w:link w:val="MediumGrid2Char"/>
    <w:uiPriority w:val="99"/>
    <w:rsid w:val="004B3372"/>
    <w:pPr>
      <w:spacing w:after="0" w:line="240" w:lineRule="auto"/>
    </w:pPr>
    <w:rPr>
      <w:rFonts w:eastAsia="MS Mincho" w:cs="Calibri"/>
      <w:lang w:val="lt-LT" w:eastAsia="en-GB"/>
    </w:rPr>
  </w:style>
  <w:style w:type="character" w:customStyle="1" w:styleId="MediumGrid2Char">
    <w:name w:val="Medium Grid 2 Char"/>
    <w:link w:val="MediumGrid21"/>
    <w:uiPriority w:val="99"/>
    <w:locked/>
    <w:rsid w:val="004B3372"/>
    <w:rPr>
      <w:rFonts w:eastAsia="MS Mincho" w:cs="Calibri"/>
      <w:lang w:val="lt-LT" w:eastAsia="en-GB"/>
    </w:rPr>
  </w:style>
  <w:style w:type="paragraph" w:styleId="TOC3">
    <w:name w:val="toc 3"/>
    <w:basedOn w:val="Normal"/>
    <w:next w:val="Normal"/>
    <w:link w:val="TOC3Char1"/>
    <w:autoRedefine/>
    <w:uiPriority w:val="39"/>
    <w:rsid w:val="004B3372"/>
    <w:pPr>
      <w:spacing w:after="0"/>
      <w:ind w:left="440"/>
      <w:jc w:val="left"/>
    </w:pPr>
    <w:rPr>
      <w:rFonts w:cstheme="minorHAnsi"/>
      <w:sz w:val="20"/>
      <w:szCs w:val="20"/>
    </w:rPr>
  </w:style>
  <w:style w:type="character" w:customStyle="1" w:styleId="TOC3Char1">
    <w:name w:val="TOC 3 Char1"/>
    <w:basedOn w:val="DefaultParagraphFont"/>
    <w:link w:val="TOC3"/>
    <w:uiPriority w:val="39"/>
    <w:locked/>
    <w:rsid w:val="004B3372"/>
    <w:rPr>
      <w:rFonts w:eastAsia="SimSun" w:cstheme="minorHAnsi"/>
      <w:sz w:val="20"/>
      <w:szCs w:val="20"/>
      <w:lang w:val="lt-LT"/>
    </w:rPr>
  </w:style>
  <w:style w:type="table" w:styleId="TableGrid">
    <w:name w:val="Table Grid"/>
    <w:basedOn w:val="TableNormal"/>
    <w:uiPriority w:val="39"/>
    <w:rsid w:val="004B3372"/>
    <w:pPr>
      <w:spacing w:after="0" w:line="240" w:lineRule="auto"/>
    </w:pPr>
    <w:rPr>
      <w:rFonts w:ascii="Avenir Next Demi Bold" w:eastAsia="SimSun" w:hAnsi="Avenir Next Demi Bold" w:cs="Calibri"/>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MediumGrid21"/>
    <w:next w:val="Normal"/>
    <w:link w:val="TitleChar"/>
    <w:uiPriority w:val="10"/>
    <w:qFormat/>
    <w:rsid w:val="004B3372"/>
    <w:pPr>
      <w:ind w:right="558"/>
    </w:pPr>
    <w:rPr>
      <w:rFonts w:eastAsia="MS Gothic" w:cs="Cambria"/>
      <w:color w:val="FFFFFF" w:themeColor="background1"/>
      <w:sz w:val="40"/>
      <w:szCs w:val="56"/>
    </w:rPr>
  </w:style>
  <w:style w:type="character" w:customStyle="1" w:styleId="TitleChar">
    <w:name w:val="Title Char"/>
    <w:basedOn w:val="DefaultParagraphFont"/>
    <w:link w:val="Title"/>
    <w:uiPriority w:val="10"/>
    <w:rsid w:val="004B3372"/>
    <w:rPr>
      <w:rFonts w:eastAsia="MS Gothic" w:cs="Cambria"/>
      <w:color w:val="FFFFFF" w:themeColor="background1"/>
      <w:sz w:val="40"/>
      <w:szCs w:val="56"/>
      <w:lang w:val="lt-LT" w:eastAsia="en-GB"/>
    </w:rPr>
  </w:style>
  <w:style w:type="paragraph" w:styleId="Subtitle">
    <w:name w:val="Subtitle"/>
    <w:basedOn w:val="Normal"/>
    <w:next w:val="Normal"/>
    <w:link w:val="SubtitleChar"/>
    <w:uiPriority w:val="99"/>
    <w:rsid w:val="004B3372"/>
    <w:pPr>
      <w:ind w:right="556"/>
      <w:jc w:val="center"/>
    </w:pPr>
    <w:rPr>
      <w:color w:val="FFFFFF" w:themeColor="background1"/>
      <w:sz w:val="36"/>
      <w:szCs w:val="36"/>
    </w:rPr>
  </w:style>
  <w:style w:type="character" w:customStyle="1" w:styleId="SubtitleChar">
    <w:name w:val="Subtitle Char"/>
    <w:basedOn w:val="DefaultParagraphFont"/>
    <w:link w:val="Subtitle"/>
    <w:uiPriority w:val="99"/>
    <w:rsid w:val="004B3372"/>
    <w:rPr>
      <w:rFonts w:eastAsia="SimSun" w:cs="Cambria"/>
      <w:color w:val="FFFFFF" w:themeColor="background1"/>
      <w:sz w:val="36"/>
      <w:szCs w:val="36"/>
      <w:lang w:val="lt-LT"/>
    </w:rPr>
  </w:style>
  <w:style w:type="character" w:styleId="Emphasis">
    <w:name w:val="Emphasis"/>
    <w:aliases w:val="Keywords"/>
    <w:basedOn w:val="DefaultParagraphFont"/>
    <w:uiPriority w:val="20"/>
    <w:qFormat/>
    <w:rsid w:val="004B3372"/>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rsid w:val="004B3372"/>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rsid w:val="004B3372"/>
    <w:rPr>
      <w:rFonts w:eastAsia="SimSun" w:cs="Cambria"/>
      <w:iCs/>
      <w:color w:val="FFFFFF" w:themeColor="background1"/>
      <w:lang w:val="lt-LT"/>
    </w:rPr>
  </w:style>
  <w:style w:type="table" w:customStyle="1" w:styleId="TableGridLight1">
    <w:name w:val="Table Grid Light1"/>
    <w:basedOn w:val="TableNormal"/>
    <w:uiPriority w:val="40"/>
    <w:rsid w:val="004B3372"/>
    <w:pPr>
      <w:spacing w:after="0" w:line="240" w:lineRule="auto"/>
    </w:pPr>
    <w:rPr>
      <w:rFonts w:eastAsia="SimSun" w:cs="Cambria"/>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4B3372"/>
  </w:style>
  <w:style w:type="paragraph" w:customStyle="1" w:styleId="bodytext">
    <w:name w:val="bodytext"/>
    <w:basedOn w:val="Normal"/>
    <w:uiPriority w:val="99"/>
    <w:rsid w:val="004B3372"/>
    <w:pPr>
      <w:spacing w:before="100" w:beforeAutospacing="1" w:after="100" w:afterAutospacing="1"/>
      <w:jc w:val="left"/>
    </w:pPr>
    <w:rPr>
      <w:rFonts w:ascii="Times New Roman" w:hAnsi="Times New Roman" w:cs="Times New Roman"/>
      <w:sz w:val="24"/>
      <w:szCs w:val="24"/>
      <w:lang w:eastAsia="lt-LT"/>
    </w:rPr>
  </w:style>
  <w:style w:type="paragraph" w:styleId="NormalWeb">
    <w:name w:val="Normal (Web)"/>
    <w:basedOn w:val="Normal"/>
    <w:uiPriority w:val="99"/>
    <w:rsid w:val="004B3372"/>
    <w:pPr>
      <w:spacing w:before="100" w:beforeAutospacing="1" w:after="100" w:afterAutospacing="1"/>
      <w:jc w:val="left"/>
    </w:pPr>
    <w:rPr>
      <w:rFonts w:ascii="Times New Roman" w:hAnsi="Times New Roman" w:cs="Times New Roman"/>
      <w:sz w:val="24"/>
      <w:szCs w:val="24"/>
      <w:lang w:val="et-EE" w:eastAsia="et-EE"/>
    </w:rPr>
  </w:style>
  <w:style w:type="character" w:styleId="Strong">
    <w:name w:val="Strong"/>
    <w:basedOn w:val="DefaultParagraphFont"/>
    <w:uiPriority w:val="99"/>
    <w:rsid w:val="004B3372"/>
    <w:rPr>
      <w:b/>
      <w:bCs w:val="0"/>
      <w:color w:val="134753"/>
    </w:rPr>
  </w:style>
  <w:style w:type="table" w:customStyle="1" w:styleId="Civittatable">
    <w:name w:val="Civitta table"/>
    <w:basedOn w:val="TableNormal"/>
    <w:uiPriority w:val="99"/>
    <w:rsid w:val="004B3372"/>
    <w:pPr>
      <w:spacing w:before="60" w:after="60" w:line="240" w:lineRule="auto"/>
    </w:pPr>
    <w:rPr>
      <w:rFonts w:eastAsia="SimSun"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DefaultParagraphFont"/>
    <w:uiPriority w:val="99"/>
    <w:rsid w:val="004B3372"/>
    <w:rPr>
      <w:rFonts w:ascii="Cambria" w:hAnsi="Cambria" w:cs="Cambria"/>
      <w:lang w:eastAsia="ja-JP"/>
    </w:rPr>
  </w:style>
  <w:style w:type="paragraph" w:styleId="TOC4">
    <w:name w:val="toc 4"/>
    <w:basedOn w:val="Normal"/>
    <w:next w:val="Normal"/>
    <w:autoRedefine/>
    <w:uiPriority w:val="99"/>
    <w:semiHidden/>
    <w:rsid w:val="004B3372"/>
    <w:pPr>
      <w:spacing w:after="0"/>
      <w:ind w:left="660"/>
      <w:jc w:val="left"/>
    </w:pPr>
    <w:rPr>
      <w:rFonts w:cstheme="minorHAnsi"/>
      <w:sz w:val="20"/>
      <w:szCs w:val="20"/>
    </w:rPr>
  </w:style>
  <w:style w:type="paragraph" w:styleId="TOC5">
    <w:name w:val="toc 5"/>
    <w:basedOn w:val="Normal"/>
    <w:next w:val="Normal"/>
    <w:autoRedefine/>
    <w:uiPriority w:val="99"/>
    <w:semiHidden/>
    <w:rsid w:val="004B3372"/>
    <w:pPr>
      <w:spacing w:after="0"/>
      <w:ind w:left="880"/>
      <w:jc w:val="left"/>
    </w:pPr>
    <w:rPr>
      <w:rFonts w:cstheme="minorHAnsi"/>
      <w:sz w:val="20"/>
      <w:szCs w:val="20"/>
    </w:rPr>
  </w:style>
  <w:style w:type="paragraph" w:styleId="TOC6">
    <w:name w:val="toc 6"/>
    <w:basedOn w:val="Normal"/>
    <w:next w:val="Normal"/>
    <w:autoRedefine/>
    <w:uiPriority w:val="99"/>
    <w:semiHidden/>
    <w:rsid w:val="004B3372"/>
    <w:pPr>
      <w:spacing w:after="0"/>
      <w:ind w:left="1100"/>
      <w:jc w:val="left"/>
    </w:pPr>
    <w:rPr>
      <w:rFonts w:cstheme="minorHAnsi"/>
      <w:sz w:val="20"/>
      <w:szCs w:val="20"/>
    </w:rPr>
  </w:style>
  <w:style w:type="paragraph" w:styleId="TOC7">
    <w:name w:val="toc 7"/>
    <w:basedOn w:val="Normal"/>
    <w:next w:val="Normal"/>
    <w:autoRedefine/>
    <w:uiPriority w:val="99"/>
    <w:semiHidden/>
    <w:rsid w:val="004B3372"/>
    <w:pPr>
      <w:spacing w:after="0"/>
      <w:ind w:left="1320"/>
      <w:jc w:val="left"/>
    </w:pPr>
    <w:rPr>
      <w:rFonts w:cstheme="minorHAnsi"/>
      <w:sz w:val="20"/>
      <w:szCs w:val="20"/>
    </w:rPr>
  </w:style>
  <w:style w:type="paragraph" w:styleId="TOC8">
    <w:name w:val="toc 8"/>
    <w:basedOn w:val="Normal"/>
    <w:next w:val="Normal"/>
    <w:autoRedefine/>
    <w:uiPriority w:val="99"/>
    <w:semiHidden/>
    <w:rsid w:val="004B3372"/>
    <w:pPr>
      <w:spacing w:after="0"/>
      <w:ind w:left="1540"/>
      <w:jc w:val="left"/>
    </w:pPr>
    <w:rPr>
      <w:rFonts w:cstheme="minorHAnsi"/>
      <w:sz w:val="20"/>
      <w:szCs w:val="20"/>
    </w:rPr>
  </w:style>
  <w:style w:type="paragraph" w:styleId="TOC9">
    <w:name w:val="toc 9"/>
    <w:basedOn w:val="Normal"/>
    <w:next w:val="Normal"/>
    <w:autoRedefine/>
    <w:uiPriority w:val="99"/>
    <w:semiHidden/>
    <w:rsid w:val="004B3372"/>
    <w:pPr>
      <w:spacing w:after="0"/>
      <w:ind w:left="1760"/>
      <w:jc w:val="left"/>
    </w:pPr>
    <w:rPr>
      <w:rFonts w:cstheme="minorHAnsi"/>
      <w:sz w:val="20"/>
      <w:szCs w:val="20"/>
    </w:rPr>
  </w:style>
  <w:style w:type="paragraph" w:styleId="TableofFigures">
    <w:name w:val="table of figures"/>
    <w:basedOn w:val="Normal"/>
    <w:next w:val="Normal"/>
    <w:uiPriority w:val="99"/>
    <w:rsid w:val="004B3372"/>
  </w:style>
  <w:style w:type="character" w:customStyle="1" w:styleId="apple-converted-space">
    <w:name w:val="apple-converted-space"/>
    <w:basedOn w:val="DefaultParagraphFont"/>
    <w:rsid w:val="004B3372"/>
  </w:style>
  <w:style w:type="paragraph" w:customStyle="1" w:styleId="Default">
    <w:name w:val="Default"/>
    <w:uiPriority w:val="99"/>
    <w:rsid w:val="004B3372"/>
    <w:pPr>
      <w:autoSpaceDE w:val="0"/>
      <w:autoSpaceDN w:val="0"/>
      <w:adjustRightInd w:val="0"/>
      <w:spacing w:after="0" w:line="240" w:lineRule="auto"/>
    </w:pPr>
    <w:rPr>
      <w:rFonts w:eastAsia="SimSun" w:cs="Calibri"/>
      <w:color w:val="000000"/>
      <w:sz w:val="24"/>
      <w:szCs w:val="24"/>
      <w:lang w:val="lt-LT" w:eastAsia="zh-CN"/>
    </w:rPr>
  </w:style>
  <w:style w:type="character" w:styleId="PlaceholderText">
    <w:name w:val="Placeholder Text"/>
    <w:basedOn w:val="DefaultParagraphFont"/>
    <w:uiPriority w:val="99"/>
    <w:semiHidden/>
    <w:rsid w:val="004B3372"/>
    <w:rPr>
      <w:color w:val="808080"/>
    </w:rPr>
  </w:style>
  <w:style w:type="paragraph" w:customStyle="1" w:styleId="Bullet">
    <w:name w:val="Bullet"/>
    <w:basedOn w:val="ListParagraph"/>
    <w:link w:val="BulletChar"/>
    <w:qFormat/>
    <w:rsid w:val="004B3372"/>
    <w:pPr>
      <w:numPr>
        <w:numId w:val="3"/>
      </w:numPr>
      <w:spacing w:after="60"/>
    </w:pPr>
    <w:rPr>
      <w:rFonts w:eastAsia="MS Gothic"/>
      <w:color w:val="000000" w:themeColor="text1"/>
      <w:lang w:eastAsia="en-GB"/>
    </w:rPr>
  </w:style>
  <w:style w:type="character" w:customStyle="1" w:styleId="BulletChar">
    <w:name w:val="Bullet Char"/>
    <w:basedOn w:val="ListParagraphChar"/>
    <w:link w:val="Bullet"/>
    <w:rsid w:val="004B3372"/>
    <w:rPr>
      <w:rFonts w:eastAsia="MS Gothic" w:cs="Cambria"/>
      <w:color w:val="000000" w:themeColor="text1"/>
      <w:lang w:val="lt-LT" w:eastAsia="en-GB"/>
    </w:rPr>
  </w:style>
  <w:style w:type="paragraph" w:customStyle="1" w:styleId="Bottomcaption">
    <w:name w:val="Bottom caption"/>
    <w:basedOn w:val="Caption"/>
    <w:link w:val="BottomcaptionChar"/>
    <w:qFormat/>
    <w:rsid w:val="004B3372"/>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4B3372"/>
    <w:rPr>
      <w:rFonts w:eastAsia="SimSun" w:cs="Cambria"/>
      <w:color w:val="808080" w:themeColor="background1" w:themeShade="80"/>
      <w:sz w:val="20"/>
      <w:szCs w:val="20"/>
      <w:lang w:val="lt-LT"/>
    </w:rPr>
  </w:style>
  <w:style w:type="character" w:styleId="SubtleEmphasis">
    <w:name w:val="Subtle Emphasis"/>
    <w:basedOn w:val="DefaultParagraphFont"/>
    <w:uiPriority w:val="19"/>
    <w:rsid w:val="004B3372"/>
    <w:rPr>
      <w:i/>
      <w:iCs/>
    </w:rPr>
  </w:style>
  <w:style w:type="character" w:styleId="BookTitle">
    <w:name w:val="Book Title"/>
    <w:basedOn w:val="DefaultParagraphFont"/>
    <w:uiPriority w:val="33"/>
    <w:rsid w:val="004B3372"/>
    <w:rPr>
      <w:rFonts w:ascii="Avenir Next Regular" w:hAnsi="Avenir Next Regular"/>
      <w:b/>
      <w:bCs w:val="0"/>
      <w:i/>
      <w:iCs/>
      <w:color w:val="134753"/>
      <w:spacing w:val="5"/>
    </w:rPr>
  </w:style>
  <w:style w:type="table" w:styleId="TableTheme">
    <w:name w:val="Table Theme"/>
    <w:basedOn w:val="TableNormal"/>
    <w:uiPriority w:val="99"/>
    <w:semiHidden/>
    <w:unhideWhenUsed/>
    <w:rsid w:val="004B3372"/>
    <w:pPr>
      <w:spacing w:before="120" w:after="120" w:line="240" w:lineRule="auto"/>
      <w:jc w:val="both"/>
    </w:pPr>
    <w:rPr>
      <w:rFonts w:eastAsia="SimSun" w:cs="Cambri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4B3372"/>
    <w:pPr>
      <w:autoSpaceDE w:val="0"/>
      <w:autoSpaceDN w:val="0"/>
      <w:adjustRightInd w:val="0"/>
      <w:spacing w:after="0" w:line="288" w:lineRule="auto"/>
      <w:jc w:val="left"/>
      <w:textAlignment w:val="center"/>
    </w:pPr>
    <w:rPr>
      <w:rFonts w:ascii="Minion Pro" w:eastAsiaTheme="minorHAnsi" w:hAnsi="Minion Pro" w:cs="Minion Pro"/>
      <w:color w:val="000000"/>
      <w:sz w:val="24"/>
      <w:szCs w:val="24"/>
      <w:lang w:val="en-GB"/>
    </w:rPr>
  </w:style>
  <w:style w:type="table" w:customStyle="1" w:styleId="GridTable1Light1">
    <w:name w:val="Grid Table 1 Light1"/>
    <w:basedOn w:val="TableNormal"/>
    <w:uiPriority w:val="46"/>
    <w:rsid w:val="004B3372"/>
    <w:pPr>
      <w:spacing w:after="0" w:line="240" w:lineRule="auto"/>
    </w:pPr>
    <w:rPr>
      <w:rFonts w:eastAsia="SimSun" w:cs="Cambria"/>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B33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B3372"/>
    <w:rPr>
      <w:rFonts w:eastAsia="SimSun" w:cs="Cambria"/>
      <w:color w:val="000000" w:themeColor="text1"/>
      <w:lang w:val="lt-LT"/>
    </w:rPr>
  </w:style>
  <w:style w:type="paragraph" w:customStyle="1" w:styleId="Focus">
    <w:name w:val="Focus"/>
    <w:basedOn w:val="Normal"/>
    <w:link w:val="FocusChar"/>
    <w:qFormat/>
    <w:rsid w:val="004B3372"/>
    <w:pPr>
      <w:keepNext/>
    </w:pPr>
    <w:rPr>
      <w:b/>
      <w:caps/>
      <w:color w:val="1F497D" w:themeColor="text2"/>
    </w:rPr>
  </w:style>
  <w:style w:type="character" w:customStyle="1" w:styleId="FocusChar">
    <w:name w:val="Focus Char"/>
    <w:basedOn w:val="DefaultParagraphFont"/>
    <w:link w:val="Focus"/>
    <w:rsid w:val="004B3372"/>
    <w:rPr>
      <w:rFonts w:eastAsia="SimSun" w:cs="Cambria"/>
      <w:b/>
      <w:caps/>
      <w:color w:val="1F497D" w:themeColor="text2"/>
      <w:lang w:val="lt-LT"/>
    </w:rPr>
  </w:style>
  <w:style w:type="paragraph" w:customStyle="1" w:styleId="Body">
    <w:name w:val="Body"/>
    <w:rsid w:val="004B3372"/>
    <w:pPr>
      <w:pBdr>
        <w:top w:val="nil"/>
        <w:left w:val="nil"/>
        <w:bottom w:val="nil"/>
        <w:right w:val="nil"/>
        <w:between w:val="nil"/>
        <w:bar w:val="nil"/>
      </w:pBdr>
      <w:spacing w:after="160" w:line="259" w:lineRule="auto"/>
    </w:pPr>
    <w:rPr>
      <w:rFonts w:eastAsia="Arial Unicode MS" w:cs="Arial Unicode MS"/>
      <w:color w:val="000000"/>
      <w:u w:color="000000"/>
      <w:bdr w:val="nil"/>
      <w:lang w:val="en-US" w:eastAsia="lv-LV"/>
    </w:rPr>
  </w:style>
  <w:style w:type="numbering" w:customStyle="1" w:styleId="Style1">
    <w:name w:val="Style1"/>
    <w:uiPriority w:val="99"/>
    <w:rsid w:val="004B3372"/>
    <w:pPr>
      <w:numPr>
        <w:numId w:val="4"/>
      </w:numPr>
    </w:pPr>
  </w:style>
  <w:style w:type="paragraph" w:customStyle="1" w:styleId="title0">
    <w:name w:val="title_"/>
    <w:basedOn w:val="Normal"/>
    <w:next w:val="Normal"/>
    <w:rsid w:val="004B3372"/>
    <w:pPr>
      <w:spacing w:after="200" w:line="720" w:lineRule="atLeast"/>
    </w:pPr>
    <w:rPr>
      <w:rFonts w:eastAsiaTheme="minorEastAsia" w:cstheme="minorBidi"/>
      <w:color w:val="A0A5A5"/>
      <w:sz w:val="44"/>
      <w:szCs w:val="20"/>
      <w:lang w:val="en-US" w:eastAsia="nl-NL" w:bidi="en-US"/>
    </w:rPr>
  </w:style>
  <w:style w:type="paragraph" w:customStyle="1" w:styleId="Title1">
    <w:name w:val="Title1"/>
    <w:basedOn w:val="title0"/>
    <w:rsid w:val="004B3372"/>
    <w:rPr>
      <w:b/>
      <w:bCs/>
      <w:color w:val="003C64"/>
      <w:sz w:val="52"/>
    </w:rPr>
  </w:style>
  <w:style w:type="character" w:customStyle="1" w:styleId="hps">
    <w:name w:val="hps"/>
    <w:rsid w:val="004B3372"/>
    <w:rPr>
      <w:rFonts w:ascii="Times New Roman" w:hAnsi="Times New Roman" w:cs="Times New Roman" w:hint="default"/>
    </w:rPr>
  </w:style>
  <w:style w:type="paragraph" w:customStyle="1" w:styleId="ToR-NumberedText2">
    <w:name w:val="ToR - Numbered Text 2"/>
    <w:basedOn w:val="Normal"/>
    <w:rsid w:val="004B3372"/>
    <w:pPr>
      <w:numPr>
        <w:numId w:val="6"/>
      </w:numPr>
      <w:tabs>
        <w:tab w:val="left" w:pos="426"/>
      </w:tabs>
      <w:spacing w:before="60" w:after="60"/>
    </w:pPr>
    <w:rPr>
      <w:rFonts w:ascii="Arial" w:eastAsia="Times New Roman" w:hAnsi="Arial" w:cs="Arial"/>
      <w:sz w:val="20"/>
      <w:szCs w:val="24"/>
      <w:lang w:val="en-GB" w:eastAsia="en-GB"/>
    </w:rPr>
  </w:style>
  <w:style w:type="paragraph" w:customStyle="1" w:styleId="NSRF-BulletedText2">
    <w:name w:val="NSRF - Bulleted Text 2"/>
    <w:basedOn w:val="Normal"/>
    <w:autoRedefine/>
    <w:rsid w:val="004B3372"/>
    <w:rPr>
      <w:rFonts w:eastAsia="Times New Roman" w:cstheme="minorHAnsi"/>
      <w:lang w:val="en-GB" w:eastAsia="en-GB"/>
    </w:rPr>
  </w:style>
  <w:style w:type="paragraph" w:styleId="BodyText3">
    <w:name w:val="Body Text 3"/>
    <w:basedOn w:val="Normal"/>
    <w:link w:val="BodyText3Char"/>
    <w:rsid w:val="004B3372"/>
    <w:pPr>
      <w:jc w:val="left"/>
    </w:pPr>
    <w:rPr>
      <w:rFonts w:ascii="Times New Roman" w:eastAsia="Calibri" w:hAnsi="Times New Roman" w:cs="Times New Roman"/>
      <w:sz w:val="16"/>
      <w:szCs w:val="16"/>
      <w:lang w:val="en-US"/>
    </w:rPr>
  </w:style>
  <w:style w:type="character" w:customStyle="1" w:styleId="BodyText3Char">
    <w:name w:val="Body Text 3 Char"/>
    <w:basedOn w:val="DefaultParagraphFont"/>
    <w:link w:val="BodyText3"/>
    <w:rsid w:val="004B3372"/>
    <w:rPr>
      <w:rFonts w:ascii="Times New Roman" w:eastAsia="Calibri" w:hAnsi="Times New Roman" w:cs="Times New Roman"/>
      <w:sz w:val="16"/>
      <w:szCs w:val="16"/>
      <w:lang w:val="en-US"/>
    </w:rPr>
  </w:style>
  <w:style w:type="paragraph" w:customStyle="1" w:styleId="8">
    <w:name w:val="Знак Знак8 Знак Знак Знак Знак Знак Знак Знак Знак"/>
    <w:basedOn w:val="Normal"/>
    <w:rsid w:val="004B3372"/>
    <w:pPr>
      <w:spacing w:after="160" w:line="240" w:lineRule="exact"/>
      <w:jc w:val="left"/>
    </w:pPr>
    <w:rPr>
      <w:rFonts w:ascii="Arial" w:eastAsia="Batang" w:hAnsi="Arial" w:cs="Arial"/>
      <w:sz w:val="20"/>
      <w:szCs w:val="20"/>
      <w:lang w:val="en-US"/>
    </w:rPr>
  </w:style>
  <w:style w:type="character" w:styleId="FollowedHyperlink">
    <w:name w:val="FollowedHyperlink"/>
    <w:basedOn w:val="DefaultParagraphFont"/>
    <w:uiPriority w:val="99"/>
    <w:semiHidden/>
    <w:unhideWhenUsed/>
    <w:rsid w:val="004B3372"/>
    <w:rPr>
      <w:color w:val="800080" w:themeColor="followedHyperlink"/>
      <w:u w:val="single"/>
    </w:rPr>
  </w:style>
  <w:style w:type="paragraph" w:styleId="DocumentMap">
    <w:name w:val="Document Map"/>
    <w:basedOn w:val="Normal"/>
    <w:link w:val="DocumentMapChar"/>
    <w:uiPriority w:val="99"/>
    <w:semiHidden/>
    <w:unhideWhenUsed/>
    <w:rsid w:val="004B337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B3372"/>
    <w:rPr>
      <w:rFonts w:ascii="Tahoma" w:eastAsia="SimSun" w:hAnsi="Tahoma" w:cs="Tahoma"/>
      <w:sz w:val="16"/>
      <w:szCs w:val="16"/>
      <w:lang w:val="lt-LT"/>
    </w:rPr>
  </w:style>
  <w:style w:type="table" w:styleId="LightList-Accent2">
    <w:name w:val="Light List Accent 2"/>
    <w:basedOn w:val="TableNormal"/>
    <w:uiPriority w:val="61"/>
    <w:rsid w:val="004B3372"/>
    <w:pPr>
      <w:spacing w:after="0" w:line="240" w:lineRule="auto"/>
    </w:pPr>
    <w:rPr>
      <w:rFonts w:eastAsia="SimSun" w:cs="Cambria"/>
      <w:lang w:val="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TMLPreformatted">
    <w:name w:val="HTML Preformatted"/>
    <w:basedOn w:val="Normal"/>
    <w:link w:val="HTMLPreformattedChar"/>
    <w:uiPriority w:val="99"/>
    <w:semiHidden/>
    <w:unhideWhenUsed/>
    <w:rsid w:val="004B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4B3372"/>
    <w:rPr>
      <w:rFonts w:ascii="Courier New" w:eastAsia="Times New Roman" w:hAnsi="Courier New" w:cs="Courier New"/>
      <w:sz w:val="20"/>
      <w:szCs w:val="20"/>
      <w:lang w:eastAsia="ru-RU"/>
    </w:rPr>
  </w:style>
  <w:style w:type="character" w:styleId="PageNumber">
    <w:name w:val="page number"/>
    <w:basedOn w:val="DefaultParagraphFont"/>
    <w:uiPriority w:val="99"/>
    <w:semiHidden/>
    <w:unhideWhenUsed/>
    <w:rsid w:val="004B3372"/>
  </w:style>
  <w:style w:type="paragraph" w:customStyle="1" w:styleId="Text2">
    <w:name w:val="Text 2"/>
    <w:basedOn w:val="Normal"/>
    <w:rsid w:val="004B3372"/>
    <w:pPr>
      <w:tabs>
        <w:tab w:val="left" w:pos="2160"/>
      </w:tabs>
      <w:spacing w:after="240"/>
      <w:ind w:left="1077"/>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4B3372"/>
    <w:rPr>
      <w:color w:val="605E5C"/>
      <w:shd w:val="clear" w:color="auto" w:fill="E1DFDD"/>
    </w:rPr>
  </w:style>
  <w:style w:type="table" w:customStyle="1" w:styleId="TabelgrilLuminos1">
    <w:name w:val="Tabel grilă Luminos1"/>
    <w:basedOn w:val="TableNormal"/>
    <w:uiPriority w:val="40"/>
    <w:rsid w:val="004B3372"/>
    <w:pPr>
      <w:spacing w:after="0" w:line="240" w:lineRule="auto"/>
    </w:pPr>
    <w:rPr>
      <w:rFonts w:eastAsia="SimSun" w:cs="Cambria"/>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ril1Luminos1">
    <w:name w:val="Tabel grilă 1 Luminos1"/>
    <w:basedOn w:val="TableNormal"/>
    <w:uiPriority w:val="46"/>
    <w:rsid w:val="004B3372"/>
    <w:pPr>
      <w:spacing w:after="0" w:line="240" w:lineRule="auto"/>
    </w:pPr>
    <w:rPr>
      <w:rFonts w:eastAsia="SimSun" w:cs="Cambria"/>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B3372"/>
    <w:pPr>
      <w:spacing w:after="0" w:line="240" w:lineRule="auto"/>
    </w:pPr>
    <w:rPr>
      <w:rFonts w:eastAsia="SimSun" w:cs="Cambri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statistica.gov.md/category.php?l=ro&amp;idc=452" TargetMode="External"/><Relationship Id="rId2" Type="http://schemas.openxmlformats.org/officeDocument/2006/relationships/hyperlink" Target="https://ec.europa.eu/info/law/law-making-process/planning-and-proposing-law/better-regulation-why-and-how_en" TargetMode="External"/><Relationship Id="rId1" Type="http://schemas.openxmlformats.org/officeDocument/2006/relationships/hyperlink" Target="https://ec.europa.eu/regional_policy/en/information/publications/evaluations-guidance-documents/2013/evalsed-the-resource-for-the-evaluation-of-socio-economic-development-evaluation-guide" TargetMode="External"/><Relationship Id="rId5" Type="http://schemas.openxmlformats.org/officeDocument/2006/relationships/hyperlink" Target="http://statbank.statistica.md/pxweb/pxweb/ro/40%20Statistica%20economica/?rxid=b2ff27d7-0b96-43c9-934b-42e1a2a9a774" TargetMode="External"/><Relationship Id="rId4" Type="http://schemas.openxmlformats.org/officeDocument/2006/relationships/hyperlink" Target="https://www.cjmaramures.ro/Document_Files/Strategie/00000088/ed2ad_Plan_turism_Maramures_2007_2013.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'niv041300 (2)'!$B$4</c:f>
              <c:strCache>
                <c:ptCount val="1"/>
                <c:pt idx="0">
                  <c:v>Urban</c:v>
                </c:pt>
              </c:strCache>
            </c:strRef>
          </c:tx>
          <c:spPr>
            <a:solidFill>
              <a:srgbClr val="3CA1BC">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(2)'!$B$5:$B$10</c:f>
              <c:numCache>
                <c:formatCode>General</c:formatCode>
                <c:ptCount val="6"/>
                <c:pt idx="0">
                  <c:v>92.4</c:v>
                </c:pt>
                <c:pt idx="1">
                  <c:v>82.3</c:v>
                </c:pt>
                <c:pt idx="2">
                  <c:v>86.1</c:v>
                </c:pt>
                <c:pt idx="3">
                  <c:v>80.900000000000006</c:v>
                </c:pt>
                <c:pt idx="4">
                  <c:v>93.8</c:v>
                </c:pt>
                <c:pt idx="5">
                  <c:v>66.900000000000006</c:v>
                </c:pt>
              </c:numCache>
            </c:numRef>
          </c:val>
          <c:extLst xmlns:c16r2="http://schemas.microsoft.com/office/drawing/2015/06/chart">
            <c:ext xmlns:c16="http://schemas.microsoft.com/office/drawing/2014/chart" uri="{C3380CC4-5D6E-409C-BE32-E72D297353CC}">
              <c16:uniqueId val="{00000000-3F81-FC41-8061-FC6B96662134}"/>
            </c:ext>
          </c:extLst>
        </c:ser>
        <c:ser>
          <c:idx val="1"/>
          <c:order val="1"/>
          <c:tx>
            <c:strRef>
              <c:f>'niv041300 (2)'!$C$4</c:f>
              <c:strCache>
                <c:ptCount val="1"/>
                <c:pt idx="0">
                  <c:v>Rural</c:v>
                </c:pt>
              </c:strCache>
            </c:strRef>
          </c:tx>
          <c:spPr>
            <a:solidFill>
              <a:srgbClr val="3CA1BC">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(2)'!$C$5:$C$10</c:f>
              <c:numCache>
                <c:formatCode>General</c:formatCode>
                <c:ptCount val="6"/>
                <c:pt idx="0">
                  <c:v>52.2</c:v>
                </c:pt>
                <c:pt idx="1">
                  <c:v>35.700000000000003</c:v>
                </c:pt>
                <c:pt idx="2">
                  <c:v>36.5</c:v>
                </c:pt>
                <c:pt idx="3">
                  <c:v>18.8</c:v>
                </c:pt>
                <c:pt idx="4">
                  <c:v>51.5</c:v>
                </c:pt>
                <c:pt idx="5">
                  <c:v>6.2</c:v>
                </c:pt>
              </c:numCache>
            </c:numRef>
          </c:val>
          <c:extLst xmlns:c16r2="http://schemas.microsoft.com/office/drawing/2015/06/chart">
            <c:ext xmlns:c16="http://schemas.microsoft.com/office/drawing/2014/chart" uri="{C3380CC4-5D6E-409C-BE32-E72D297353CC}">
              <c16:uniqueId val="{00000001-3F81-FC41-8061-FC6B96662134}"/>
            </c:ext>
          </c:extLst>
        </c:ser>
        <c:dLbls>
          <c:showLegendKey val="0"/>
          <c:showVal val="0"/>
          <c:showCatName val="0"/>
          <c:showSerName val="0"/>
          <c:showPercent val="0"/>
          <c:showBubbleSize val="0"/>
        </c:dLbls>
        <c:gapWidth val="219"/>
        <c:overlap val="-27"/>
        <c:axId val="184965760"/>
        <c:axId val="185042048"/>
      </c:barChart>
      <c:catAx>
        <c:axId val="184965760"/>
        <c:scaling>
          <c:orientation val="minMax"/>
        </c:scaling>
        <c:delete val="0"/>
        <c:axPos val="b"/>
        <c:numFmt formatCode="General" sourceLinked="1"/>
        <c:majorTickMark val="none"/>
        <c:minorTickMark val="none"/>
        <c:tickLblPos val="nextTo"/>
        <c:spPr>
          <a:noFill/>
          <a:ln w="9525" cap="flat" cmpd="sng" algn="ctr">
            <a:solidFill>
              <a:srgbClr val="7F7F7F"/>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85042048"/>
        <c:crosses val="autoZero"/>
        <c:auto val="1"/>
        <c:lblAlgn val="ctr"/>
        <c:lblOffset val="100"/>
        <c:noMultiLvlLbl val="0"/>
      </c:catAx>
      <c:valAx>
        <c:axId val="185042048"/>
        <c:scaling>
          <c:orientation val="minMax"/>
        </c:scaling>
        <c:delete val="1"/>
        <c:axPos val="l"/>
        <c:numFmt formatCode="General" sourceLinked="1"/>
        <c:majorTickMark val="none"/>
        <c:minorTickMark val="none"/>
        <c:tickLblPos val="nextTo"/>
        <c:crossAx val="18496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TotalTime>
  <Pages>49</Pages>
  <Words>23160</Words>
  <Characters>132013</Characters>
  <Application>Microsoft Office Word</Application>
  <DocSecurity>0</DocSecurity>
  <Lines>1100</Lines>
  <Paragraphs>309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6</cp:revision>
  <dcterms:created xsi:type="dcterms:W3CDTF">2020-07-07T08:36:00Z</dcterms:created>
  <dcterms:modified xsi:type="dcterms:W3CDTF">2020-07-08T12:29:00Z</dcterms:modified>
</cp:coreProperties>
</file>