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769" w:rsidRDefault="00EB0769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EB0769" w:rsidRPr="00652702" w:rsidRDefault="00EB0769" w:rsidP="00EB0769">
      <w:pPr>
        <w:jc w:val="right"/>
        <w:rPr>
          <w:i/>
          <w:sz w:val="28"/>
          <w:szCs w:val="28"/>
          <w:u w:val="single"/>
          <w:lang w:val="ro-RO"/>
        </w:rPr>
      </w:pPr>
      <w:r w:rsidRPr="00652702">
        <w:rPr>
          <w:i/>
          <w:sz w:val="28"/>
          <w:szCs w:val="28"/>
          <w:u w:val="single"/>
          <w:lang w:val="ro-RO"/>
        </w:rPr>
        <w:t>Proiect</w:t>
      </w:r>
    </w:p>
    <w:p w:rsidR="00EB0769" w:rsidRPr="00620269" w:rsidRDefault="00EB0769" w:rsidP="00EB0769">
      <w:pPr>
        <w:jc w:val="center"/>
        <w:rPr>
          <w:sz w:val="28"/>
          <w:szCs w:val="28"/>
          <w:lang w:val="ro-MD"/>
        </w:rPr>
      </w:pPr>
      <w:r w:rsidRPr="00620269">
        <w:rPr>
          <w:b/>
          <w:bCs/>
          <w:sz w:val="28"/>
          <w:szCs w:val="28"/>
          <w:lang w:val="ro-MD"/>
        </w:rPr>
        <w:t xml:space="preserve">HOTĂRÎRE </w:t>
      </w:r>
      <w:r w:rsidRPr="00620269">
        <w:rPr>
          <w:sz w:val="28"/>
          <w:szCs w:val="28"/>
          <w:lang w:val="ro-MD"/>
        </w:rPr>
        <w:t>nr.______</w:t>
      </w:r>
    </w:p>
    <w:p w:rsidR="00EB0769" w:rsidRPr="00620269" w:rsidRDefault="00EB0769" w:rsidP="00EB0769">
      <w:pPr>
        <w:rPr>
          <w:sz w:val="28"/>
          <w:szCs w:val="28"/>
          <w:lang w:val="ro-MD"/>
        </w:rPr>
      </w:pPr>
    </w:p>
    <w:p w:rsidR="00EB0769" w:rsidRPr="00620269" w:rsidRDefault="00EB0769" w:rsidP="00EB0769">
      <w:pPr>
        <w:jc w:val="center"/>
        <w:rPr>
          <w:sz w:val="28"/>
          <w:szCs w:val="28"/>
          <w:lang w:val="ro-MD"/>
        </w:rPr>
      </w:pPr>
      <w:r w:rsidRPr="00620269">
        <w:rPr>
          <w:sz w:val="28"/>
          <w:szCs w:val="28"/>
          <w:lang w:val="ro-MD"/>
        </w:rPr>
        <w:t>din</w:t>
      </w:r>
      <w:r w:rsidRPr="00620269">
        <w:rPr>
          <w:b/>
          <w:bCs/>
          <w:sz w:val="28"/>
          <w:szCs w:val="28"/>
          <w:lang w:val="ro-MD"/>
        </w:rPr>
        <w:t xml:space="preserve"> </w:t>
      </w:r>
      <w:r w:rsidRPr="00620269">
        <w:rPr>
          <w:sz w:val="28"/>
          <w:szCs w:val="28"/>
          <w:lang w:val="ro-MD"/>
        </w:rPr>
        <w:t>_____________ 2020</w:t>
      </w:r>
    </w:p>
    <w:p w:rsidR="00EB0769" w:rsidRPr="00620269" w:rsidRDefault="00EB0769" w:rsidP="00EB0769">
      <w:pPr>
        <w:rPr>
          <w:sz w:val="28"/>
          <w:szCs w:val="28"/>
          <w:lang w:val="ro-MD"/>
        </w:rPr>
      </w:pPr>
    </w:p>
    <w:p w:rsidR="00EB0769" w:rsidRPr="00620269" w:rsidRDefault="00EB0769" w:rsidP="00EB0769">
      <w:pPr>
        <w:jc w:val="center"/>
        <w:rPr>
          <w:sz w:val="28"/>
          <w:szCs w:val="28"/>
          <w:lang w:val="ro-MD"/>
        </w:rPr>
      </w:pPr>
      <w:proofErr w:type="spellStart"/>
      <w:r w:rsidRPr="00620269">
        <w:rPr>
          <w:sz w:val="28"/>
          <w:szCs w:val="28"/>
          <w:lang w:val="ro-MD"/>
        </w:rPr>
        <w:t>Chişinău</w:t>
      </w:r>
      <w:proofErr w:type="spellEnd"/>
    </w:p>
    <w:p w:rsidR="00EB0769" w:rsidRPr="00620269" w:rsidRDefault="00EB0769" w:rsidP="00EB0769">
      <w:pPr>
        <w:rPr>
          <w:sz w:val="28"/>
          <w:szCs w:val="28"/>
          <w:lang w:val="ro-MD"/>
        </w:rPr>
      </w:pPr>
    </w:p>
    <w:p w:rsidR="00EB0769" w:rsidRPr="00620269" w:rsidRDefault="00EB0769" w:rsidP="00EB0769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z w:val="28"/>
          <w:szCs w:val="28"/>
          <w:lang w:val="ro-MD"/>
        </w:rPr>
      </w:pPr>
      <w:r w:rsidRPr="00620269">
        <w:rPr>
          <w:b/>
          <w:bCs/>
          <w:sz w:val="28"/>
          <w:szCs w:val="28"/>
          <w:lang w:val="ro-MD"/>
        </w:rPr>
        <w:t>pentru abrogarea Hotărîrii Guvernului nr. 1470/2001</w:t>
      </w:r>
    </w:p>
    <w:p w:rsidR="00EB0769" w:rsidRPr="00620269" w:rsidRDefault="00EB0769" w:rsidP="00EB0769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z w:val="28"/>
          <w:szCs w:val="28"/>
          <w:lang w:val="ro-MD"/>
        </w:rPr>
      </w:pPr>
      <w:r w:rsidRPr="00620269">
        <w:rPr>
          <w:b/>
          <w:bCs/>
          <w:sz w:val="28"/>
          <w:szCs w:val="28"/>
          <w:lang w:val="ro-MD"/>
        </w:rPr>
        <w:t>cu privire la utilizarea contractului turistic şi a voucherului turistic</w:t>
      </w:r>
    </w:p>
    <w:p w:rsidR="00EB0769" w:rsidRPr="00620269" w:rsidRDefault="00EB0769" w:rsidP="00EB0769">
      <w:pPr>
        <w:rPr>
          <w:sz w:val="28"/>
          <w:szCs w:val="28"/>
          <w:lang w:val="ro-MD"/>
        </w:rPr>
      </w:pPr>
    </w:p>
    <w:p w:rsidR="00EB0769" w:rsidRPr="00620269" w:rsidRDefault="00EB0769" w:rsidP="00EB0769">
      <w:pPr>
        <w:rPr>
          <w:sz w:val="28"/>
          <w:szCs w:val="28"/>
          <w:lang w:val="ro-MD"/>
        </w:rPr>
      </w:pPr>
    </w:p>
    <w:p w:rsidR="00EB0769" w:rsidRDefault="00EB0769" w:rsidP="00EB0769">
      <w:pPr>
        <w:pStyle w:val="a7"/>
        <w:ind w:firstLine="720"/>
        <w:rPr>
          <w:sz w:val="28"/>
          <w:szCs w:val="28"/>
          <w:lang w:val="ro-MD"/>
        </w:rPr>
      </w:pPr>
      <w:r w:rsidRPr="00620269">
        <w:rPr>
          <w:sz w:val="28"/>
          <w:szCs w:val="28"/>
          <w:lang w:val="ro-MD"/>
        </w:rPr>
        <w:t xml:space="preserve">În temeiul art. 65 alin. (2) lit. c) din </w:t>
      </w:r>
      <w:hyperlink r:id="rId7" w:history="1">
        <w:r w:rsidRPr="00620269">
          <w:rPr>
            <w:rStyle w:val="a9"/>
            <w:rFonts w:eastAsiaTheme="majorEastAsia"/>
            <w:sz w:val="28"/>
            <w:szCs w:val="28"/>
            <w:lang w:val="ro-MD"/>
          </w:rPr>
          <w:t>Legea nr.100/2017</w:t>
        </w:r>
      </w:hyperlink>
      <w:r w:rsidRPr="00620269">
        <w:rPr>
          <w:sz w:val="28"/>
          <w:szCs w:val="28"/>
          <w:lang w:val="ro-MD"/>
        </w:rPr>
        <w:t xml:space="preserve"> cu privire la actele normative (Monitorul Oficial al Republicii Moldova, 2018, nr.7-17, art. 34) și art. II, </w:t>
      </w:r>
      <w:proofErr w:type="spellStart"/>
      <w:r w:rsidRPr="00620269">
        <w:rPr>
          <w:sz w:val="28"/>
          <w:szCs w:val="28"/>
          <w:lang w:val="ro-MD"/>
        </w:rPr>
        <w:t>ppct</w:t>
      </w:r>
      <w:proofErr w:type="spellEnd"/>
      <w:r w:rsidRPr="00620269">
        <w:rPr>
          <w:sz w:val="28"/>
          <w:szCs w:val="28"/>
          <w:lang w:val="ro-MD"/>
        </w:rPr>
        <w:t>. 2, 5 și 6 din Legea nr. 91/2020 pentru modificarea unor acte normative (Monitorul Oficial al Republicii Moldova, 2020, nr.153-158, art. 284), Guvernul</w:t>
      </w:r>
    </w:p>
    <w:p w:rsidR="00EB0769" w:rsidRPr="00620269" w:rsidRDefault="00EB0769" w:rsidP="00EB0769">
      <w:pPr>
        <w:pStyle w:val="a7"/>
        <w:ind w:firstLine="720"/>
        <w:rPr>
          <w:sz w:val="28"/>
          <w:szCs w:val="28"/>
          <w:lang w:val="ro-MD"/>
        </w:rPr>
      </w:pPr>
    </w:p>
    <w:p w:rsidR="00EB0769" w:rsidRPr="00620269" w:rsidRDefault="00EB0769" w:rsidP="00EB0769">
      <w:pPr>
        <w:pStyle w:val="cb"/>
        <w:rPr>
          <w:sz w:val="28"/>
          <w:szCs w:val="28"/>
          <w:lang w:val="ro-MD"/>
        </w:rPr>
      </w:pPr>
      <w:r w:rsidRPr="00620269">
        <w:rPr>
          <w:sz w:val="28"/>
          <w:szCs w:val="28"/>
          <w:lang w:val="ro-MD"/>
        </w:rPr>
        <w:t>HOTĂRĂŞTE:</w:t>
      </w:r>
    </w:p>
    <w:p w:rsidR="00EB0769" w:rsidRPr="00620269" w:rsidRDefault="00EB0769" w:rsidP="00EB0769">
      <w:pPr>
        <w:pStyle w:val="cb"/>
        <w:rPr>
          <w:sz w:val="28"/>
          <w:szCs w:val="28"/>
          <w:lang w:val="ro-MD"/>
        </w:rPr>
      </w:pPr>
    </w:p>
    <w:p w:rsidR="00EB0769" w:rsidRPr="00620269" w:rsidRDefault="00EB0769" w:rsidP="00EB0769">
      <w:pPr>
        <w:shd w:val="clear" w:color="auto" w:fill="FFFFFF"/>
        <w:spacing w:line="329" w:lineRule="atLeast"/>
        <w:ind w:firstLine="720"/>
        <w:jc w:val="both"/>
        <w:textAlignment w:val="baseline"/>
        <w:outlineLvl w:val="1"/>
        <w:rPr>
          <w:sz w:val="28"/>
          <w:szCs w:val="28"/>
          <w:lang w:val="ro-MD"/>
        </w:rPr>
      </w:pPr>
      <w:r w:rsidRPr="00620269">
        <w:rPr>
          <w:sz w:val="28"/>
          <w:szCs w:val="28"/>
          <w:lang w:val="ro-MD"/>
        </w:rPr>
        <w:t xml:space="preserve">Se abrogă Hotărîrea Guvernului </w:t>
      </w:r>
      <w:r w:rsidRPr="00620269">
        <w:rPr>
          <w:bCs/>
          <w:sz w:val="28"/>
          <w:szCs w:val="28"/>
          <w:lang w:val="ro-MD"/>
        </w:rPr>
        <w:t xml:space="preserve">nr. 1470/2001 cu privire la utilizarea contractului turistic şi a voucherului turistic </w:t>
      </w:r>
      <w:r w:rsidRPr="00620269">
        <w:rPr>
          <w:sz w:val="28"/>
          <w:szCs w:val="28"/>
          <w:lang w:val="ro-MD"/>
        </w:rPr>
        <w:t xml:space="preserve"> (Monitorul Oficial al Republicii Moldova, 2001, nr. 161, art. 1484).</w:t>
      </w:r>
    </w:p>
    <w:p w:rsidR="00EB0769" w:rsidRPr="00620269" w:rsidRDefault="00EB0769" w:rsidP="00EB0769">
      <w:pPr>
        <w:shd w:val="clear" w:color="auto" w:fill="FFFFFF"/>
        <w:spacing w:line="329" w:lineRule="atLeast"/>
        <w:ind w:firstLine="720"/>
        <w:jc w:val="both"/>
        <w:textAlignment w:val="baseline"/>
        <w:outlineLvl w:val="1"/>
        <w:rPr>
          <w:sz w:val="28"/>
          <w:szCs w:val="28"/>
          <w:lang w:val="ro-MD"/>
        </w:rPr>
      </w:pPr>
    </w:p>
    <w:p w:rsidR="00EB0769" w:rsidRPr="00620269" w:rsidRDefault="00EB0769" w:rsidP="00EB0769">
      <w:pPr>
        <w:rPr>
          <w:sz w:val="28"/>
          <w:szCs w:val="28"/>
          <w:lang w:val="ro-MD"/>
        </w:rPr>
      </w:pPr>
      <w:r w:rsidRPr="00620269">
        <w:rPr>
          <w:sz w:val="28"/>
          <w:szCs w:val="28"/>
          <w:lang w:val="ro-MD"/>
        </w:rPr>
        <w:t> </w:t>
      </w:r>
    </w:p>
    <w:p w:rsidR="00EB0769" w:rsidRPr="00620269" w:rsidRDefault="00EB0769" w:rsidP="00EB0769">
      <w:pPr>
        <w:rPr>
          <w:b/>
          <w:sz w:val="28"/>
          <w:szCs w:val="28"/>
          <w:lang w:val="ro-MD"/>
        </w:rPr>
      </w:pPr>
    </w:p>
    <w:p w:rsidR="00EB0769" w:rsidRPr="00620269" w:rsidRDefault="00EB0769" w:rsidP="00EB0769">
      <w:pPr>
        <w:rPr>
          <w:b/>
          <w:sz w:val="28"/>
          <w:szCs w:val="28"/>
          <w:lang w:val="ro-MD"/>
        </w:rPr>
      </w:pPr>
    </w:p>
    <w:p w:rsidR="00EB0769" w:rsidRPr="00620269" w:rsidRDefault="00EB0769" w:rsidP="00EB0769">
      <w:pPr>
        <w:rPr>
          <w:b/>
          <w:sz w:val="28"/>
          <w:szCs w:val="28"/>
          <w:lang w:val="ro-MD"/>
        </w:rPr>
      </w:pPr>
    </w:p>
    <w:p w:rsidR="00EB0769" w:rsidRPr="00620269" w:rsidRDefault="00EB0769" w:rsidP="00EB0769">
      <w:pPr>
        <w:rPr>
          <w:b/>
          <w:sz w:val="28"/>
          <w:szCs w:val="28"/>
          <w:lang w:val="ro-MD"/>
        </w:rPr>
      </w:pPr>
    </w:p>
    <w:p w:rsidR="00EB0769" w:rsidRPr="00620269" w:rsidRDefault="00EB0769" w:rsidP="00EB0769">
      <w:pPr>
        <w:rPr>
          <w:b/>
          <w:sz w:val="28"/>
          <w:szCs w:val="28"/>
          <w:lang w:val="ro-MD"/>
        </w:rPr>
      </w:pPr>
    </w:p>
    <w:p w:rsidR="00EB0769" w:rsidRPr="00620269" w:rsidRDefault="00EB0769" w:rsidP="00EB0769">
      <w:pPr>
        <w:rPr>
          <w:b/>
          <w:sz w:val="28"/>
          <w:szCs w:val="28"/>
          <w:lang w:val="ro-MD"/>
        </w:rPr>
      </w:pPr>
    </w:p>
    <w:p w:rsidR="00EB0769" w:rsidRPr="00620269" w:rsidRDefault="00EB0769" w:rsidP="00EB0769">
      <w:pPr>
        <w:ind w:firstLine="708"/>
        <w:jc w:val="both"/>
        <w:rPr>
          <w:b/>
          <w:bCs/>
          <w:sz w:val="28"/>
          <w:szCs w:val="28"/>
          <w:lang w:val="ro-MD"/>
        </w:rPr>
      </w:pPr>
    </w:p>
    <w:p w:rsidR="00EB0769" w:rsidRPr="00620269" w:rsidRDefault="00EB0769" w:rsidP="00EB0769">
      <w:pPr>
        <w:ind w:firstLine="708"/>
        <w:jc w:val="both"/>
        <w:rPr>
          <w:b/>
          <w:bCs/>
          <w:sz w:val="28"/>
          <w:szCs w:val="28"/>
          <w:lang w:val="ro-MD"/>
        </w:rPr>
      </w:pPr>
      <w:r w:rsidRPr="00620269">
        <w:rPr>
          <w:b/>
          <w:bCs/>
          <w:sz w:val="28"/>
          <w:szCs w:val="28"/>
          <w:lang w:val="ro-MD"/>
        </w:rPr>
        <w:t xml:space="preserve">PRIM – MINISTRU </w:t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  <w:t xml:space="preserve"> </w:t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  <w:t xml:space="preserve">Ion CHICU </w:t>
      </w:r>
    </w:p>
    <w:p w:rsidR="00EB0769" w:rsidRPr="00620269" w:rsidRDefault="00EB0769" w:rsidP="00EB0769">
      <w:pPr>
        <w:ind w:firstLine="708"/>
        <w:jc w:val="both"/>
        <w:rPr>
          <w:b/>
          <w:bCs/>
          <w:sz w:val="28"/>
          <w:szCs w:val="28"/>
          <w:lang w:val="ro-MD"/>
        </w:rPr>
      </w:pPr>
    </w:p>
    <w:p w:rsidR="00EB0769" w:rsidRPr="00620269" w:rsidRDefault="00EB0769" w:rsidP="00EB0769">
      <w:pPr>
        <w:ind w:firstLine="708"/>
        <w:jc w:val="both"/>
        <w:rPr>
          <w:bCs/>
          <w:sz w:val="28"/>
          <w:szCs w:val="28"/>
          <w:lang w:val="ro-MD"/>
        </w:rPr>
      </w:pPr>
      <w:r w:rsidRPr="00620269">
        <w:rPr>
          <w:bCs/>
          <w:sz w:val="28"/>
          <w:szCs w:val="28"/>
          <w:lang w:val="ro-MD"/>
        </w:rPr>
        <w:t>Contrasemnează:</w:t>
      </w:r>
    </w:p>
    <w:p w:rsidR="00EB0769" w:rsidRPr="00620269" w:rsidRDefault="00EB0769" w:rsidP="00EB0769">
      <w:pPr>
        <w:ind w:firstLine="708"/>
        <w:jc w:val="both"/>
        <w:rPr>
          <w:bCs/>
          <w:sz w:val="28"/>
          <w:szCs w:val="28"/>
          <w:lang w:val="ro-MD"/>
        </w:rPr>
      </w:pPr>
    </w:p>
    <w:p w:rsidR="00EB0769" w:rsidRPr="00620269" w:rsidRDefault="00EB0769" w:rsidP="00EB0769">
      <w:pPr>
        <w:ind w:firstLine="708"/>
        <w:jc w:val="both"/>
        <w:rPr>
          <w:b/>
          <w:bCs/>
          <w:sz w:val="28"/>
          <w:szCs w:val="28"/>
          <w:lang w:val="ro-MD"/>
        </w:rPr>
      </w:pPr>
      <w:r w:rsidRPr="00620269">
        <w:rPr>
          <w:b/>
          <w:bCs/>
          <w:sz w:val="28"/>
          <w:szCs w:val="28"/>
          <w:lang w:val="ro-MD"/>
        </w:rPr>
        <w:t xml:space="preserve">Ministrul economiei </w:t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  <w:t>Serghei RAILEAN</w:t>
      </w:r>
    </w:p>
    <w:p w:rsidR="00EB0769" w:rsidRPr="00620269" w:rsidRDefault="00EB0769" w:rsidP="00EB0769">
      <w:pPr>
        <w:ind w:firstLine="708"/>
        <w:jc w:val="both"/>
        <w:rPr>
          <w:b/>
          <w:bCs/>
          <w:sz w:val="28"/>
          <w:szCs w:val="28"/>
          <w:lang w:val="ro-MD"/>
        </w:rPr>
      </w:pPr>
      <w:r w:rsidRPr="00620269">
        <w:rPr>
          <w:b/>
          <w:bCs/>
          <w:sz w:val="28"/>
          <w:szCs w:val="28"/>
          <w:lang w:val="ro-MD"/>
        </w:rPr>
        <w:t xml:space="preserve">și infrastructurii </w:t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</w:r>
    </w:p>
    <w:p w:rsidR="00EB0769" w:rsidRPr="00620269" w:rsidRDefault="00EB0769" w:rsidP="00EB0769">
      <w:pPr>
        <w:ind w:firstLine="708"/>
        <w:jc w:val="both"/>
        <w:rPr>
          <w:b/>
          <w:bCs/>
          <w:sz w:val="28"/>
          <w:szCs w:val="28"/>
          <w:lang w:val="ro-MD"/>
        </w:rPr>
      </w:pPr>
      <w:r w:rsidRPr="00620269">
        <w:rPr>
          <w:b/>
          <w:bCs/>
          <w:sz w:val="28"/>
          <w:szCs w:val="28"/>
          <w:lang w:val="ro-MD"/>
        </w:rPr>
        <w:t xml:space="preserve">Ministrul justiției </w:t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</w:r>
      <w:r w:rsidRPr="00620269">
        <w:rPr>
          <w:b/>
          <w:bCs/>
          <w:sz w:val="28"/>
          <w:szCs w:val="28"/>
          <w:lang w:val="ro-MD"/>
        </w:rPr>
        <w:tab/>
        <w:t>Fadei NAGACEVSCHI</w:t>
      </w:r>
    </w:p>
    <w:p w:rsidR="00EB0769" w:rsidRPr="00620269" w:rsidRDefault="00EB0769" w:rsidP="00EB0769">
      <w:pPr>
        <w:ind w:firstLine="708"/>
        <w:jc w:val="both"/>
        <w:rPr>
          <w:b/>
          <w:bCs/>
          <w:sz w:val="28"/>
          <w:szCs w:val="28"/>
          <w:lang w:val="ro-MD"/>
        </w:rPr>
      </w:pPr>
    </w:p>
    <w:p w:rsidR="00EB0769" w:rsidRPr="00620269" w:rsidRDefault="00EB0769" w:rsidP="00EB0769">
      <w:pPr>
        <w:ind w:firstLine="708"/>
        <w:jc w:val="both"/>
        <w:rPr>
          <w:b/>
          <w:bCs/>
          <w:sz w:val="28"/>
          <w:szCs w:val="28"/>
          <w:lang w:val="ro-MD"/>
        </w:rPr>
      </w:pPr>
    </w:p>
    <w:p w:rsidR="00EB0769" w:rsidRDefault="00EB0769" w:rsidP="00EB0769">
      <w:pPr>
        <w:ind w:firstLine="708"/>
        <w:jc w:val="both"/>
        <w:rPr>
          <w:b/>
          <w:bCs/>
          <w:sz w:val="28"/>
          <w:szCs w:val="28"/>
          <w:lang w:val="ro-MD"/>
        </w:rPr>
      </w:pPr>
    </w:p>
    <w:p w:rsidR="00EB0769" w:rsidRPr="00620269" w:rsidRDefault="00EB0769" w:rsidP="00EB0769">
      <w:pPr>
        <w:ind w:firstLine="708"/>
        <w:jc w:val="both"/>
        <w:rPr>
          <w:b/>
          <w:bCs/>
          <w:sz w:val="28"/>
          <w:szCs w:val="28"/>
          <w:lang w:val="ro-MD"/>
        </w:rPr>
      </w:pPr>
    </w:p>
    <w:p w:rsidR="005C6045" w:rsidRDefault="005C6045" w:rsidP="00EB0769">
      <w:pPr>
        <w:jc w:val="center"/>
        <w:rPr>
          <w:b/>
          <w:kern w:val="16"/>
          <w:sz w:val="28"/>
          <w:szCs w:val="28"/>
          <w:lang w:val="ro-MD"/>
        </w:rPr>
      </w:pPr>
    </w:p>
    <w:p w:rsidR="00EB0769" w:rsidRPr="00620269" w:rsidRDefault="00EB0769" w:rsidP="00EB0769">
      <w:pPr>
        <w:jc w:val="center"/>
        <w:rPr>
          <w:b/>
          <w:kern w:val="16"/>
          <w:sz w:val="28"/>
          <w:szCs w:val="28"/>
          <w:lang w:val="ro-MD"/>
        </w:rPr>
      </w:pPr>
      <w:r w:rsidRPr="00620269">
        <w:rPr>
          <w:b/>
          <w:kern w:val="16"/>
          <w:sz w:val="28"/>
          <w:szCs w:val="28"/>
          <w:lang w:val="ro-MD"/>
        </w:rPr>
        <w:t>Nota informativă</w:t>
      </w:r>
    </w:p>
    <w:p w:rsidR="00EB0769" w:rsidRDefault="00EB0769" w:rsidP="00EB0769">
      <w:pPr>
        <w:jc w:val="center"/>
        <w:rPr>
          <w:b/>
          <w:bCs/>
          <w:sz w:val="28"/>
          <w:szCs w:val="28"/>
          <w:lang w:val="ro-MD"/>
        </w:rPr>
      </w:pPr>
      <w:r w:rsidRPr="00620269">
        <w:rPr>
          <w:b/>
          <w:kern w:val="16"/>
          <w:sz w:val="28"/>
          <w:szCs w:val="28"/>
          <w:lang w:val="ro-MD"/>
        </w:rPr>
        <w:t xml:space="preserve">la proiectul </w:t>
      </w:r>
      <w:r w:rsidRPr="00620269">
        <w:rPr>
          <w:b/>
          <w:bCs/>
          <w:kern w:val="16"/>
          <w:sz w:val="28"/>
          <w:szCs w:val="28"/>
          <w:lang w:val="ro-MD"/>
        </w:rPr>
        <w:t xml:space="preserve">hotărîrii Guvernului </w:t>
      </w:r>
      <w:r w:rsidRPr="00620269">
        <w:rPr>
          <w:b/>
          <w:bCs/>
          <w:sz w:val="28"/>
          <w:szCs w:val="28"/>
          <w:lang w:val="ro-MD"/>
        </w:rPr>
        <w:t xml:space="preserve">pentru abrogarea Hotărîrii Guvernului </w:t>
      </w:r>
    </w:p>
    <w:p w:rsidR="00EB0769" w:rsidRPr="00620269" w:rsidRDefault="00EB0769" w:rsidP="00EB0769">
      <w:pPr>
        <w:jc w:val="center"/>
        <w:rPr>
          <w:b/>
          <w:bCs/>
          <w:sz w:val="28"/>
          <w:szCs w:val="28"/>
          <w:lang w:val="ro-MD"/>
        </w:rPr>
      </w:pPr>
      <w:r w:rsidRPr="00620269">
        <w:rPr>
          <w:b/>
          <w:bCs/>
          <w:sz w:val="28"/>
          <w:szCs w:val="28"/>
          <w:lang w:val="ro-MD"/>
        </w:rPr>
        <w:t>nr. 1470/2001</w:t>
      </w:r>
      <w:r>
        <w:rPr>
          <w:b/>
          <w:bCs/>
          <w:sz w:val="28"/>
          <w:szCs w:val="28"/>
          <w:lang w:val="ro-MD"/>
        </w:rPr>
        <w:t xml:space="preserve"> </w:t>
      </w:r>
      <w:r w:rsidRPr="00620269">
        <w:rPr>
          <w:b/>
          <w:bCs/>
          <w:sz w:val="28"/>
          <w:szCs w:val="28"/>
          <w:lang w:val="ro-MD"/>
        </w:rPr>
        <w:t>cu privire la utilizarea contractului turistic şi a voucherului turistic</w:t>
      </w:r>
    </w:p>
    <w:p w:rsidR="00EB0769" w:rsidRDefault="00EB0769" w:rsidP="00EB0769">
      <w:pPr>
        <w:jc w:val="both"/>
        <w:rPr>
          <w:b/>
          <w:bCs/>
          <w:kern w:val="16"/>
          <w:sz w:val="28"/>
          <w:szCs w:val="28"/>
          <w:lang w:val="ro-MD"/>
        </w:rPr>
      </w:pPr>
    </w:p>
    <w:p w:rsidR="005C6045" w:rsidRDefault="005C6045" w:rsidP="00EB0769">
      <w:pPr>
        <w:jc w:val="both"/>
        <w:rPr>
          <w:b/>
          <w:bCs/>
          <w:kern w:val="16"/>
          <w:sz w:val="28"/>
          <w:szCs w:val="28"/>
          <w:lang w:val="ro-MD"/>
        </w:rPr>
      </w:pPr>
    </w:p>
    <w:p w:rsidR="005C6045" w:rsidRPr="00620269" w:rsidRDefault="005C6045" w:rsidP="00EB0769">
      <w:pPr>
        <w:jc w:val="both"/>
        <w:rPr>
          <w:b/>
          <w:bCs/>
          <w:kern w:val="16"/>
          <w:sz w:val="28"/>
          <w:szCs w:val="28"/>
          <w:lang w:val="ro-MD"/>
        </w:rPr>
      </w:pPr>
    </w:p>
    <w:tbl>
      <w:tblPr>
        <w:tblW w:w="481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3"/>
      </w:tblGrid>
      <w:tr w:rsidR="00EB0769" w:rsidRPr="00620269" w:rsidTr="005F665B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jc w:val="center"/>
              <w:rPr>
                <w:b/>
                <w:bCs/>
                <w:kern w:val="16"/>
                <w:sz w:val="28"/>
                <w:szCs w:val="28"/>
                <w:lang w:val="ro-MD"/>
              </w:rPr>
            </w:pP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620269">
              <w:rPr>
                <w:b/>
                <w:bCs/>
                <w:kern w:val="16"/>
                <w:sz w:val="28"/>
                <w:szCs w:val="28"/>
                <w:lang w:val="ro-MD"/>
              </w:rPr>
              <w:t>1.</w:t>
            </w:r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Denumirea autorului şi, după caz, a </w:t>
            </w:r>
            <w:proofErr w:type="spellStart"/>
            <w:r w:rsidRPr="00620269">
              <w:rPr>
                <w:b/>
                <w:kern w:val="16"/>
                <w:sz w:val="28"/>
                <w:szCs w:val="28"/>
                <w:lang w:val="ro-MD"/>
              </w:rPr>
              <w:t>participanţilor</w:t>
            </w:r>
            <w:proofErr w:type="spellEnd"/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la elaborarea proiectului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ind w:firstLine="522"/>
              <w:rPr>
                <w:kern w:val="16"/>
                <w:sz w:val="28"/>
                <w:szCs w:val="28"/>
                <w:lang w:val="ro-MD"/>
              </w:rPr>
            </w:pPr>
            <w:r w:rsidRPr="00620269">
              <w:rPr>
                <w:kern w:val="16"/>
                <w:sz w:val="28"/>
                <w:szCs w:val="28"/>
                <w:lang w:val="ro-MD"/>
              </w:rPr>
              <w:t> </w:t>
            </w:r>
            <w:r w:rsidRPr="00620269">
              <w:rPr>
                <w:bCs/>
                <w:kern w:val="16"/>
                <w:sz w:val="28"/>
                <w:szCs w:val="28"/>
                <w:lang w:val="ro-MD"/>
              </w:rPr>
              <w:t>Prezentul proiect este elaborat de către Ministerul Economiei și Infrastructurii.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620269">
              <w:rPr>
                <w:b/>
                <w:bCs/>
                <w:kern w:val="16"/>
                <w:sz w:val="28"/>
                <w:szCs w:val="28"/>
                <w:lang w:val="ro-MD"/>
              </w:rPr>
              <w:t>2.</w:t>
            </w:r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620269">
              <w:rPr>
                <w:b/>
                <w:kern w:val="16"/>
                <w:sz w:val="28"/>
                <w:szCs w:val="28"/>
                <w:lang w:val="ro-MD"/>
              </w:rPr>
              <w:t>Condiţiile</w:t>
            </w:r>
            <w:proofErr w:type="spellEnd"/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ce au impus elaborarea proiectului de act normativ şi </w:t>
            </w:r>
            <w:proofErr w:type="spellStart"/>
            <w:r w:rsidRPr="00620269">
              <w:rPr>
                <w:b/>
                <w:kern w:val="16"/>
                <w:sz w:val="28"/>
                <w:szCs w:val="28"/>
                <w:lang w:val="ro-MD"/>
              </w:rPr>
              <w:t>finalităţile</w:t>
            </w:r>
            <w:proofErr w:type="spellEnd"/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urmărite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ind w:firstLine="522"/>
              <w:jc w:val="both"/>
              <w:rPr>
                <w:sz w:val="28"/>
                <w:szCs w:val="28"/>
                <w:lang w:val="ro-MD"/>
              </w:rPr>
            </w:pPr>
            <w:r w:rsidRPr="00620269">
              <w:rPr>
                <w:sz w:val="28"/>
                <w:szCs w:val="28"/>
                <w:lang w:val="ro-MD"/>
              </w:rPr>
              <w:t xml:space="preserve">Urmare modificărilor operate în Legea nr. 352/2006 cu privire la organizarea și desfășurarea activității turistice în Republica Moldova prin Legea nr. 91/2020 pentru modificarea unor acte normative, a fost exclusă obligativitatea utilizării modelului contractului de servicii turistice și a voucherului turistic. Respectiv, abrogarea </w:t>
            </w:r>
            <w:r w:rsidRPr="00620269">
              <w:rPr>
                <w:bCs/>
                <w:sz w:val="28"/>
                <w:szCs w:val="28"/>
                <w:lang w:val="ro-MD"/>
              </w:rPr>
              <w:t xml:space="preserve">Hotărîrii Guvernului nr. 1470/2001 are drept scop scoaterea </w:t>
            </w:r>
            <w:r w:rsidRPr="00620269">
              <w:rPr>
                <w:sz w:val="28"/>
                <w:szCs w:val="28"/>
                <w:lang w:val="ro-MD"/>
              </w:rPr>
              <w:t>din vigoare a prevederilor ce nu mai corespund Legii nr. 352/2006.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620269">
              <w:rPr>
                <w:b/>
                <w:bCs/>
                <w:kern w:val="16"/>
                <w:sz w:val="28"/>
                <w:szCs w:val="28"/>
                <w:lang w:val="ro-MD"/>
              </w:rPr>
              <w:t>3.</w:t>
            </w:r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Descrierea gradului de compatibilitate pentru proiectele care au ca scop armonizarea </w:t>
            </w:r>
            <w:proofErr w:type="spellStart"/>
            <w:r w:rsidRPr="00620269">
              <w:rPr>
                <w:b/>
                <w:kern w:val="16"/>
                <w:sz w:val="28"/>
                <w:szCs w:val="28"/>
                <w:lang w:val="ro-MD"/>
              </w:rPr>
              <w:t>legislaţiei</w:t>
            </w:r>
            <w:proofErr w:type="spellEnd"/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620269">
              <w:rPr>
                <w:b/>
                <w:kern w:val="16"/>
                <w:sz w:val="28"/>
                <w:szCs w:val="28"/>
                <w:lang w:val="ro-MD"/>
              </w:rPr>
              <w:t>naţionale</w:t>
            </w:r>
            <w:proofErr w:type="spellEnd"/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cu </w:t>
            </w:r>
            <w:proofErr w:type="spellStart"/>
            <w:r w:rsidRPr="00620269">
              <w:rPr>
                <w:b/>
                <w:kern w:val="16"/>
                <w:sz w:val="28"/>
                <w:szCs w:val="28"/>
                <w:lang w:val="ro-MD"/>
              </w:rPr>
              <w:t>legislaţia</w:t>
            </w:r>
            <w:proofErr w:type="spellEnd"/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Uniunii Europene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tabs>
                <w:tab w:val="left" w:pos="884"/>
                <w:tab w:val="left" w:pos="1196"/>
              </w:tabs>
              <w:jc w:val="both"/>
              <w:rPr>
                <w:kern w:val="16"/>
                <w:sz w:val="28"/>
                <w:szCs w:val="28"/>
                <w:lang w:val="ro-MD"/>
              </w:rPr>
            </w:pPr>
            <w:r w:rsidRPr="00620269">
              <w:rPr>
                <w:kern w:val="16"/>
                <w:sz w:val="28"/>
                <w:szCs w:val="28"/>
                <w:lang w:val="ro-MD"/>
              </w:rPr>
              <w:t xml:space="preserve">         Prezentul proiect nu conține norme privind armonizarea legislației naționale cu </w:t>
            </w:r>
            <w:proofErr w:type="spellStart"/>
            <w:r w:rsidRPr="00620269">
              <w:rPr>
                <w:kern w:val="16"/>
                <w:sz w:val="28"/>
                <w:szCs w:val="28"/>
                <w:lang w:val="ro-MD"/>
              </w:rPr>
              <w:t>legislaţia</w:t>
            </w:r>
            <w:proofErr w:type="spellEnd"/>
            <w:r w:rsidRPr="00620269">
              <w:rPr>
                <w:kern w:val="16"/>
                <w:sz w:val="28"/>
                <w:szCs w:val="28"/>
                <w:lang w:val="ro-MD"/>
              </w:rPr>
              <w:t xml:space="preserve"> Uniunii Europene.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rPr>
                <w:b/>
                <w:color w:val="FF0000"/>
                <w:kern w:val="16"/>
                <w:sz w:val="28"/>
                <w:szCs w:val="28"/>
                <w:lang w:val="ro-MD"/>
              </w:rPr>
            </w:pPr>
            <w:r w:rsidRPr="00620269">
              <w:rPr>
                <w:b/>
                <w:bCs/>
                <w:kern w:val="16"/>
                <w:sz w:val="28"/>
                <w:szCs w:val="28"/>
                <w:lang w:val="ro-MD"/>
              </w:rPr>
              <w:t>4.</w:t>
            </w:r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Principalele prevederi ale proiectului şi </w:t>
            </w:r>
            <w:proofErr w:type="spellStart"/>
            <w:r w:rsidRPr="00620269">
              <w:rPr>
                <w:b/>
                <w:kern w:val="16"/>
                <w:sz w:val="28"/>
                <w:szCs w:val="28"/>
                <w:lang w:val="ro-MD"/>
              </w:rPr>
              <w:t>evidenţierea</w:t>
            </w:r>
            <w:proofErr w:type="spellEnd"/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elementelor noi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shd w:val="clear" w:color="auto" w:fill="FFFFFF"/>
              <w:ind w:firstLine="522"/>
              <w:jc w:val="both"/>
              <w:textAlignment w:val="baseline"/>
              <w:outlineLvl w:val="1"/>
              <w:rPr>
                <w:bCs/>
                <w:sz w:val="28"/>
                <w:szCs w:val="28"/>
                <w:lang w:val="ro-MD"/>
              </w:rPr>
            </w:pPr>
            <w:r w:rsidRPr="00620269">
              <w:rPr>
                <w:color w:val="FF0000"/>
                <w:kern w:val="16"/>
                <w:sz w:val="28"/>
                <w:szCs w:val="28"/>
                <w:lang w:val="ro-MD"/>
              </w:rPr>
              <w:t> </w:t>
            </w:r>
            <w:r w:rsidRPr="00620269">
              <w:rPr>
                <w:kern w:val="16"/>
                <w:sz w:val="28"/>
                <w:szCs w:val="28"/>
                <w:lang w:val="ro-MD"/>
              </w:rPr>
              <w:t>Prezentul proiect conține a</w:t>
            </w:r>
            <w:r w:rsidRPr="00620269">
              <w:rPr>
                <w:sz w:val="28"/>
                <w:szCs w:val="28"/>
                <w:lang w:val="ro-MD"/>
              </w:rPr>
              <w:t xml:space="preserve">brogarea </w:t>
            </w:r>
            <w:r w:rsidRPr="00620269">
              <w:rPr>
                <w:bCs/>
                <w:sz w:val="28"/>
                <w:szCs w:val="28"/>
                <w:lang w:val="ro-MD"/>
              </w:rPr>
              <w:t xml:space="preserve">Hotărîrii Guvernului nr. 1470/2001 cu privire la utilizarea contractului turistic şi a voucherului turistic. 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620269">
              <w:rPr>
                <w:b/>
                <w:bCs/>
                <w:kern w:val="16"/>
                <w:sz w:val="28"/>
                <w:szCs w:val="28"/>
                <w:lang w:val="ro-MD"/>
              </w:rPr>
              <w:t>5.</w:t>
            </w:r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Fundamentarea </w:t>
            </w:r>
            <w:proofErr w:type="spellStart"/>
            <w:r w:rsidRPr="00620269">
              <w:rPr>
                <w:b/>
                <w:kern w:val="16"/>
                <w:sz w:val="28"/>
                <w:szCs w:val="28"/>
                <w:lang w:val="ro-MD"/>
              </w:rPr>
              <w:t>economico</w:t>
            </w:r>
            <w:proofErr w:type="spellEnd"/>
            <w:r w:rsidRPr="00620269">
              <w:rPr>
                <w:b/>
                <w:kern w:val="16"/>
                <w:sz w:val="28"/>
                <w:szCs w:val="28"/>
                <w:lang w:val="ro-MD"/>
              </w:rPr>
              <w:t>-financiară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pStyle w:val="ac"/>
              <w:spacing w:before="0"/>
              <w:ind w:firstLine="522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  <w:lang w:val="ro-MD"/>
              </w:rPr>
            </w:pPr>
            <w:r w:rsidRPr="00620269">
              <w:rPr>
                <w:rFonts w:ascii="Times New Roman" w:hAnsi="Times New Roman" w:cs="Times New Roman"/>
                <w:kern w:val="16"/>
                <w:sz w:val="28"/>
                <w:szCs w:val="28"/>
                <w:lang w:val="ro-MD"/>
              </w:rPr>
              <w:t xml:space="preserve">Prezentul proiect nu are impact negativ nici asupra mediului de afaceri, nici asupra bugetului de stat. 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620269">
              <w:rPr>
                <w:b/>
                <w:bCs/>
                <w:kern w:val="16"/>
                <w:sz w:val="28"/>
                <w:szCs w:val="28"/>
                <w:lang w:val="ro-MD"/>
              </w:rPr>
              <w:t>6.</w:t>
            </w:r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Modul de încorporare a actului în cadrul normativ în vigoare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pStyle w:val="cb"/>
              <w:ind w:firstLine="522"/>
              <w:jc w:val="both"/>
              <w:rPr>
                <w:b w:val="0"/>
                <w:kern w:val="16"/>
                <w:sz w:val="28"/>
                <w:szCs w:val="28"/>
                <w:lang w:val="ro-MD"/>
              </w:rPr>
            </w:pPr>
            <w:r w:rsidRPr="00620269">
              <w:rPr>
                <w:b w:val="0"/>
                <w:kern w:val="16"/>
                <w:sz w:val="28"/>
                <w:szCs w:val="28"/>
                <w:lang w:val="ro-MD"/>
              </w:rPr>
              <w:t>Adoptarea hotărîrii nu implică modificarea sau abrogarea altor acte normative.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620269">
              <w:rPr>
                <w:b/>
                <w:bCs/>
                <w:kern w:val="16"/>
                <w:sz w:val="28"/>
                <w:szCs w:val="28"/>
                <w:lang w:val="ro-MD"/>
              </w:rPr>
              <w:t>7.</w:t>
            </w:r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Avizarea şi consultarea publică a proiectului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tabs>
                <w:tab w:val="left" w:pos="0"/>
                <w:tab w:val="left" w:pos="884"/>
                <w:tab w:val="left" w:pos="1196"/>
              </w:tabs>
              <w:ind w:firstLine="567"/>
              <w:jc w:val="both"/>
              <w:rPr>
                <w:color w:val="FF0000"/>
                <w:kern w:val="16"/>
                <w:sz w:val="28"/>
                <w:szCs w:val="28"/>
                <w:lang w:val="ro-MD"/>
              </w:rPr>
            </w:pPr>
            <w:r w:rsidRPr="00620269">
              <w:rPr>
                <w:sz w:val="28"/>
                <w:szCs w:val="28"/>
                <w:lang w:val="ro-MD"/>
              </w:rPr>
              <w:t xml:space="preserve">În scopul respectării prevederilor Legii nr. 239/2008 privind </w:t>
            </w:r>
            <w:proofErr w:type="spellStart"/>
            <w:r w:rsidRPr="00620269">
              <w:rPr>
                <w:sz w:val="28"/>
                <w:szCs w:val="28"/>
                <w:lang w:val="ro-MD"/>
              </w:rPr>
              <w:t>transparenţa</w:t>
            </w:r>
            <w:proofErr w:type="spellEnd"/>
            <w:r w:rsidRPr="00620269">
              <w:rPr>
                <w:sz w:val="28"/>
                <w:szCs w:val="28"/>
                <w:lang w:val="ro-MD"/>
              </w:rPr>
              <w:t xml:space="preserve"> în procesul decizional, anunțul privind inițierea elaborării proiectului este plasat pe pagina web a Cancelariei de stat (</w:t>
            </w:r>
            <w:hyperlink r:id="rId8" w:history="1">
              <w:r w:rsidRPr="00620269">
                <w:rPr>
                  <w:rStyle w:val="a9"/>
                  <w:i/>
                  <w:sz w:val="28"/>
                  <w:szCs w:val="28"/>
                  <w:lang w:val="ro-MD"/>
                </w:rPr>
                <w:t>www.particip.gov.md</w:t>
              </w:r>
            </w:hyperlink>
            <w:r w:rsidRPr="00620269">
              <w:rPr>
                <w:sz w:val="28"/>
                <w:szCs w:val="28"/>
                <w:lang w:val="ro-MD"/>
              </w:rPr>
              <w:t xml:space="preserve">) și pe pagina web oficială a MEI </w:t>
            </w:r>
            <w:r w:rsidRPr="00620269">
              <w:rPr>
                <w:i/>
                <w:sz w:val="28"/>
                <w:szCs w:val="28"/>
                <w:lang w:val="ro-MD"/>
              </w:rPr>
              <w:t>(</w:t>
            </w:r>
            <w:hyperlink r:id="rId9" w:history="1">
              <w:r w:rsidRPr="00620269">
                <w:rPr>
                  <w:rStyle w:val="a9"/>
                  <w:i/>
                  <w:sz w:val="28"/>
                  <w:szCs w:val="28"/>
                  <w:lang w:val="ro-MD"/>
                </w:rPr>
                <w:t>www.mei.gov.md</w:t>
              </w:r>
            </w:hyperlink>
            <w:r w:rsidRPr="00620269">
              <w:rPr>
                <w:i/>
                <w:sz w:val="28"/>
                <w:szCs w:val="28"/>
                <w:lang w:val="ro-MD"/>
              </w:rPr>
              <w:t>)</w:t>
            </w:r>
            <w:r w:rsidRPr="00620269">
              <w:rPr>
                <w:sz w:val="28"/>
                <w:szCs w:val="28"/>
                <w:lang w:val="ro-MD"/>
              </w:rPr>
              <w:t>, în compartimentul ”</w:t>
            </w:r>
            <w:proofErr w:type="spellStart"/>
            <w:r w:rsidRPr="00620269">
              <w:rPr>
                <w:sz w:val="28"/>
                <w:szCs w:val="28"/>
                <w:lang w:val="ro-MD"/>
              </w:rPr>
              <w:t>Transparenţa</w:t>
            </w:r>
            <w:proofErr w:type="spellEnd"/>
            <w:r w:rsidRPr="00620269">
              <w:rPr>
                <w:sz w:val="28"/>
                <w:szCs w:val="28"/>
                <w:lang w:val="ro-MD"/>
              </w:rPr>
              <w:t xml:space="preserve"> decizională”, directoriul ”Anunțuri privind inițierea elaborării deciziei”. Proiectul de </w:t>
            </w:r>
            <w:proofErr w:type="spellStart"/>
            <w:r w:rsidRPr="00620269">
              <w:rPr>
                <w:sz w:val="28"/>
                <w:szCs w:val="28"/>
                <w:lang w:val="ro-MD"/>
              </w:rPr>
              <w:t>hotărîre</w:t>
            </w:r>
            <w:proofErr w:type="spellEnd"/>
            <w:r w:rsidRPr="00620269">
              <w:rPr>
                <w:sz w:val="28"/>
                <w:szCs w:val="28"/>
                <w:lang w:val="ro-MD"/>
              </w:rPr>
              <w:t xml:space="preserve"> urmează a fi supus avizării și consultării publice în conformitate cu procedura stabilită prin Legea nr.100/2017 cu privire la actele normative și Legea nr. 239/2008.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rPr>
                <w:b/>
                <w:color w:val="FF0000"/>
                <w:kern w:val="16"/>
                <w:sz w:val="28"/>
                <w:szCs w:val="28"/>
                <w:lang w:val="ro-MD"/>
              </w:rPr>
            </w:pPr>
            <w:r w:rsidRPr="00620269">
              <w:rPr>
                <w:b/>
                <w:bCs/>
                <w:kern w:val="16"/>
                <w:sz w:val="28"/>
                <w:szCs w:val="28"/>
                <w:lang w:val="ro-MD"/>
              </w:rPr>
              <w:t>8.</w:t>
            </w:r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Constatările expertizei </w:t>
            </w:r>
            <w:proofErr w:type="spellStart"/>
            <w:r w:rsidRPr="00620269">
              <w:rPr>
                <w:b/>
                <w:kern w:val="16"/>
                <w:sz w:val="28"/>
                <w:szCs w:val="28"/>
                <w:lang w:val="ro-MD"/>
              </w:rPr>
              <w:t>anticorupţie</w:t>
            </w:r>
            <w:proofErr w:type="spellEnd"/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jc w:val="both"/>
              <w:rPr>
                <w:color w:val="FF0000"/>
                <w:kern w:val="16"/>
                <w:sz w:val="28"/>
                <w:szCs w:val="28"/>
                <w:lang w:val="ro-MD"/>
              </w:rPr>
            </w:pPr>
            <w:r w:rsidRPr="00620269">
              <w:rPr>
                <w:kern w:val="16"/>
                <w:sz w:val="28"/>
                <w:szCs w:val="28"/>
                <w:lang w:val="ro-MD"/>
              </w:rPr>
              <w:t xml:space="preserve">       Raportul expertizei anticorupție va fi inclus după prezentarea acestuia de către Centrul Național Anticorupție.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jc w:val="both"/>
              <w:rPr>
                <w:b/>
                <w:kern w:val="16"/>
                <w:sz w:val="28"/>
                <w:szCs w:val="28"/>
                <w:lang w:val="ro-MD"/>
              </w:rPr>
            </w:pPr>
            <w:r w:rsidRPr="00620269">
              <w:rPr>
                <w:b/>
                <w:bCs/>
                <w:kern w:val="16"/>
                <w:sz w:val="28"/>
                <w:szCs w:val="28"/>
                <w:lang w:val="ro-MD"/>
              </w:rPr>
              <w:t>9.</w:t>
            </w:r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Constatările expertizei de compatibilitate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jc w:val="both"/>
              <w:rPr>
                <w:b/>
                <w:kern w:val="16"/>
                <w:sz w:val="28"/>
                <w:szCs w:val="28"/>
                <w:lang w:val="ro-MD"/>
              </w:rPr>
            </w:pPr>
            <w:r w:rsidRPr="00620269">
              <w:rPr>
                <w:kern w:val="16"/>
                <w:sz w:val="28"/>
                <w:szCs w:val="28"/>
                <w:lang w:val="ro-MD"/>
              </w:rPr>
              <w:lastRenderedPageBreak/>
              <w:t xml:space="preserve">        Prezentul proiect nu conține norme privind armonizarea legislației naționale cu </w:t>
            </w:r>
            <w:proofErr w:type="spellStart"/>
            <w:r w:rsidRPr="00620269">
              <w:rPr>
                <w:kern w:val="16"/>
                <w:sz w:val="28"/>
                <w:szCs w:val="28"/>
                <w:lang w:val="ro-MD"/>
              </w:rPr>
              <w:t>legislaţia</w:t>
            </w:r>
            <w:proofErr w:type="spellEnd"/>
            <w:r w:rsidRPr="00620269">
              <w:rPr>
                <w:kern w:val="16"/>
                <w:sz w:val="28"/>
                <w:szCs w:val="28"/>
                <w:lang w:val="ro-MD"/>
              </w:rPr>
              <w:t xml:space="preserve"> Uniunii Europene.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jc w:val="both"/>
              <w:rPr>
                <w:b/>
                <w:kern w:val="16"/>
                <w:sz w:val="28"/>
                <w:szCs w:val="28"/>
                <w:lang w:val="ro-MD"/>
              </w:rPr>
            </w:pPr>
            <w:r w:rsidRPr="00620269">
              <w:rPr>
                <w:b/>
                <w:bCs/>
                <w:kern w:val="16"/>
                <w:sz w:val="28"/>
                <w:szCs w:val="28"/>
                <w:lang w:val="ro-MD"/>
              </w:rPr>
              <w:t>10.</w:t>
            </w:r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Constatările expertizei juridice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ind w:firstLine="522"/>
              <w:jc w:val="both"/>
              <w:rPr>
                <w:kern w:val="16"/>
                <w:sz w:val="28"/>
                <w:szCs w:val="28"/>
                <w:lang w:val="ro-MD"/>
              </w:rPr>
            </w:pPr>
            <w:r w:rsidRPr="00620269">
              <w:rPr>
                <w:kern w:val="16"/>
                <w:sz w:val="28"/>
                <w:szCs w:val="28"/>
                <w:lang w:val="ro-MD"/>
              </w:rPr>
              <w:t>Expertiza juridică va fi inclusă după prezentarea acesteia de către Ministerul Justiției.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jc w:val="both"/>
              <w:rPr>
                <w:b/>
                <w:kern w:val="16"/>
                <w:sz w:val="28"/>
                <w:szCs w:val="28"/>
                <w:lang w:val="ro-MD"/>
              </w:rPr>
            </w:pPr>
            <w:r w:rsidRPr="00620269">
              <w:rPr>
                <w:b/>
                <w:bCs/>
                <w:kern w:val="16"/>
                <w:sz w:val="28"/>
                <w:szCs w:val="28"/>
                <w:lang w:val="ro-MD"/>
              </w:rPr>
              <w:t>11.</w:t>
            </w:r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Constatările altor expertize</w:t>
            </w:r>
          </w:p>
        </w:tc>
      </w:tr>
      <w:tr w:rsidR="00EB0769" w:rsidRPr="00620269" w:rsidTr="005F665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B0769" w:rsidRPr="00620269" w:rsidRDefault="00EB0769" w:rsidP="005F665B">
            <w:pPr>
              <w:tabs>
                <w:tab w:val="left" w:pos="884"/>
                <w:tab w:val="left" w:pos="1196"/>
              </w:tabs>
              <w:jc w:val="both"/>
              <w:rPr>
                <w:bCs/>
                <w:kern w:val="16"/>
                <w:sz w:val="28"/>
                <w:szCs w:val="28"/>
                <w:lang w:val="ro-MD"/>
              </w:rPr>
            </w:pPr>
            <w:r w:rsidRPr="00620269">
              <w:rPr>
                <w:b/>
                <w:kern w:val="16"/>
                <w:sz w:val="28"/>
                <w:szCs w:val="28"/>
                <w:lang w:val="ro-MD"/>
              </w:rPr>
              <w:t xml:space="preserve">        </w:t>
            </w:r>
            <w:r w:rsidRPr="00620269">
              <w:rPr>
                <w:bCs/>
                <w:kern w:val="16"/>
                <w:sz w:val="28"/>
                <w:szCs w:val="28"/>
                <w:lang w:val="ro-MD"/>
              </w:rPr>
              <w:t>Proiectul nu necesită a fi supus altor expertize.</w:t>
            </w:r>
          </w:p>
          <w:p w:rsidR="00EB0769" w:rsidRPr="00620269" w:rsidRDefault="00EB0769" w:rsidP="005F665B">
            <w:pPr>
              <w:tabs>
                <w:tab w:val="left" w:pos="884"/>
                <w:tab w:val="left" w:pos="1196"/>
              </w:tabs>
              <w:ind w:firstLine="522"/>
              <w:jc w:val="both"/>
              <w:rPr>
                <w:i/>
                <w:kern w:val="16"/>
                <w:sz w:val="28"/>
                <w:szCs w:val="28"/>
                <w:lang w:val="ro-MD"/>
              </w:rPr>
            </w:pPr>
            <w:r w:rsidRPr="00620269">
              <w:rPr>
                <w:bCs/>
                <w:i/>
                <w:kern w:val="16"/>
                <w:sz w:val="28"/>
                <w:szCs w:val="28"/>
                <w:lang w:val="ro-MD"/>
              </w:rPr>
              <w:t xml:space="preserve">Notă.  Analiza Impactului de Reglementare (AIR) a fost elaborată și anexată la proiectul legii pentru modificarea unor acte normative, ulterior Legea nr. 91/2020, care a servit temei pentru abrogarea Hotărîrii Guvernului nr. 1470/2001. </w:t>
            </w:r>
          </w:p>
        </w:tc>
      </w:tr>
    </w:tbl>
    <w:p w:rsidR="00EB0769" w:rsidRPr="00620269" w:rsidRDefault="00EB0769" w:rsidP="00EB0769">
      <w:pPr>
        <w:ind w:firstLine="720"/>
        <w:jc w:val="both"/>
        <w:rPr>
          <w:b/>
          <w:kern w:val="16"/>
          <w:sz w:val="28"/>
          <w:szCs w:val="28"/>
          <w:lang w:val="ro-MD"/>
        </w:rPr>
      </w:pPr>
    </w:p>
    <w:p w:rsidR="005C6045" w:rsidRDefault="005C6045" w:rsidP="00EB0769">
      <w:pPr>
        <w:ind w:left="720" w:firstLine="720"/>
        <w:jc w:val="both"/>
        <w:rPr>
          <w:b/>
          <w:kern w:val="16"/>
          <w:sz w:val="28"/>
          <w:szCs w:val="28"/>
          <w:lang w:val="ro-MD"/>
        </w:rPr>
      </w:pPr>
    </w:p>
    <w:p w:rsidR="005C6045" w:rsidRDefault="005C6045" w:rsidP="00EB0769">
      <w:pPr>
        <w:ind w:left="720" w:firstLine="720"/>
        <w:jc w:val="both"/>
        <w:rPr>
          <w:b/>
          <w:kern w:val="16"/>
          <w:sz w:val="28"/>
          <w:szCs w:val="28"/>
          <w:lang w:val="ro-MD"/>
        </w:rPr>
      </w:pPr>
    </w:p>
    <w:p w:rsidR="00EB0769" w:rsidRPr="00620269" w:rsidRDefault="00EB0769" w:rsidP="00EB0769">
      <w:pPr>
        <w:ind w:left="720" w:firstLine="720"/>
        <w:jc w:val="both"/>
        <w:rPr>
          <w:b/>
          <w:kern w:val="16"/>
          <w:sz w:val="28"/>
          <w:szCs w:val="28"/>
          <w:lang w:val="ro-MD"/>
        </w:rPr>
      </w:pPr>
      <w:r w:rsidRPr="00620269">
        <w:rPr>
          <w:b/>
          <w:kern w:val="16"/>
          <w:sz w:val="28"/>
          <w:szCs w:val="28"/>
          <w:lang w:val="ro-MD"/>
        </w:rPr>
        <w:t xml:space="preserve">Secretar general </w:t>
      </w:r>
      <w:r w:rsidRPr="00620269">
        <w:rPr>
          <w:b/>
          <w:kern w:val="16"/>
          <w:sz w:val="28"/>
          <w:szCs w:val="28"/>
          <w:lang w:val="ro-MD"/>
        </w:rPr>
        <w:tab/>
      </w:r>
      <w:r w:rsidRPr="00620269">
        <w:rPr>
          <w:b/>
          <w:kern w:val="16"/>
          <w:sz w:val="28"/>
          <w:szCs w:val="28"/>
          <w:lang w:val="ro-MD"/>
        </w:rPr>
        <w:tab/>
      </w:r>
      <w:r w:rsidR="005C6045">
        <w:rPr>
          <w:b/>
          <w:kern w:val="16"/>
          <w:sz w:val="28"/>
          <w:szCs w:val="28"/>
          <w:lang w:val="ro-MD"/>
        </w:rPr>
        <w:tab/>
      </w:r>
      <w:r w:rsidR="005C6045">
        <w:rPr>
          <w:b/>
          <w:kern w:val="16"/>
          <w:sz w:val="28"/>
          <w:szCs w:val="28"/>
          <w:lang w:val="ro-MD"/>
        </w:rPr>
        <w:tab/>
      </w:r>
      <w:bookmarkStart w:id="0" w:name="_GoBack"/>
      <w:bookmarkEnd w:id="0"/>
      <w:r w:rsidRPr="00620269">
        <w:rPr>
          <w:b/>
          <w:kern w:val="16"/>
          <w:sz w:val="28"/>
          <w:szCs w:val="28"/>
          <w:lang w:val="ro-MD"/>
        </w:rPr>
        <w:tab/>
      </w:r>
      <w:r w:rsidRPr="00620269">
        <w:rPr>
          <w:b/>
          <w:kern w:val="16"/>
          <w:sz w:val="28"/>
          <w:szCs w:val="28"/>
          <w:lang w:val="ro-MD"/>
        </w:rPr>
        <w:tab/>
      </w:r>
      <w:r w:rsidRPr="00620269">
        <w:rPr>
          <w:b/>
          <w:kern w:val="16"/>
          <w:sz w:val="28"/>
          <w:szCs w:val="28"/>
          <w:lang w:val="ro-MD"/>
        </w:rPr>
        <w:tab/>
        <w:t>Lilia PALII</w:t>
      </w:r>
    </w:p>
    <w:p w:rsidR="00EB0769" w:rsidRPr="00620269" w:rsidRDefault="00EB0769" w:rsidP="00EB0769">
      <w:pPr>
        <w:ind w:firstLine="720"/>
        <w:rPr>
          <w:b/>
          <w:sz w:val="28"/>
          <w:szCs w:val="28"/>
          <w:lang w:val="ro-MD"/>
        </w:rPr>
      </w:pPr>
      <w:r w:rsidRPr="00620269">
        <w:rPr>
          <w:b/>
          <w:sz w:val="28"/>
          <w:szCs w:val="28"/>
          <w:lang w:val="ro-MD"/>
        </w:rPr>
        <w:tab/>
      </w:r>
    </w:p>
    <w:p w:rsidR="00EB0769" w:rsidRPr="00EB0769" w:rsidRDefault="00EB0769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o-MD"/>
        </w:rPr>
      </w:pPr>
    </w:p>
    <w:sectPr w:rsidR="00EB0769" w:rsidRPr="00EB0769" w:rsidSect="00EC274C">
      <w:headerReference w:type="default" r:id="rId10"/>
      <w:pgSz w:w="11909" w:h="16834" w:code="9"/>
      <w:pgMar w:top="1008" w:right="1008" w:bottom="1008" w:left="1008" w:header="951" w:footer="136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F5F" w:rsidRDefault="00A63F5F">
      <w:r>
        <w:separator/>
      </w:r>
    </w:p>
  </w:endnote>
  <w:endnote w:type="continuationSeparator" w:id="0">
    <w:p w:rsidR="00A63F5F" w:rsidRDefault="00A6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F5F" w:rsidRDefault="00A63F5F">
      <w:r>
        <w:separator/>
      </w:r>
    </w:p>
  </w:footnote>
  <w:footnote w:type="continuationSeparator" w:id="0">
    <w:p w:rsidR="00A63F5F" w:rsidRDefault="00A63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F37" w:rsidRPr="006E1A76" w:rsidRDefault="00A63F5F" w:rsidP="009D245E">
    <w:pPr>
      <w:pStyle w:val="a3"/>
      <w:spacing w:after="120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464EE"/>
    <w:multiLevelType w:val="hybridMultilevel"/>
    <w:tmpl w:val="39864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15429"/>
    <w:multiLevelType w:val="hybridMultilevel"/>
    <w:tmpl w:val="9D5692AA"/>
    <w:lvl w:ilvl="0" w:tplc="049AF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8D"/>
    <w:rsid w:val="00034145"/>
    <w:rsid w:val="0008330E"/>
    <w:rsid w:val="000B5F40"/>
    <w:rsid w:val="000E2E2E"/>
    <w:rsid w:val="00114FF0"/>
    <w:rsid w:val="00123021"/>
    <w:rsid w:val="00134ED4"/>
    <w:rsid w:val="0013585A"/>
    <w:rsid w:val="001366D1"/>
    <w:rsid w:val="001C1E06"/>
    <w:rsid w:val="002F5970"/>
    <w:rsid w:val="00336D4F"/>
    <w:rsid w:val="00347775"/>
    <w:rsid w:val="004262EE"/>
    <w:rsid w:val="00557FF8"/>
    <w:rsid w:val="005C6045"/>
    <w:rsid w:val="006848B1"/>
    <w:rsid w:val="006A796B"/>
    <w:rsid w:val="006B43BD"/>
    <w:rsid w:val="00866FCA"/>
    <w:rsid w:val="008E2075"/>
    <w:rsid w:val="009052FE"/>
    <w:rsid w:val="00984BD0"/>
    <w:rsid w:val="00985FC2"/>
    <w:rsid w:val="00994561"/>
    <w:rsid w:val="00A2028D"/>
    <w:rsid w:val="00A63F5F"/>
    <w:rsid w:val="00AA4789"/>
    <w:rsid w:val="00AB52AE"/>
    <w:rsid w:val="00AE5F6F"/>
    <w:rsid w:val="00B312B7"/>
    <w:rsid w:val="00BA1B9A"/>
    <w:rsid w:val="00BB7763"/>
    <w:rsid w:val="00BE747E"/>
    <w:rsid w:val="00BF1D53"/>
    <w:rsid w:val="00C54873"/>
    <w:rsid w:val="00C810AA"/>
    <w:rsid w:val="00C82E59"/>
    <w:rsid w:val="00C93556"/>
    <w:rsid w:val="00CA41B9"/>
    <w:rsid w:val="00D36570"/>
    <w:rsid w:val="00D42F9F"/>
    <w:rsid w:val="00D622AF"/>
    <w:rsid w:val="00D6771A"/>
    <w:rsid w:val="00DA3202"/>
    <w:rsid w:val="00E42A57"/>
    <w:rsid w:val="00E601B2"/>
    <w:rsid w:val="00E62AA1"/>
    <w:rsid w:val="00E91581"/>
    <w:rsid w:val="00EB0769"/>
    <w:rsid w:val="00F36D6A"/>
    <w:rsid w:val="00F406A6"/>
    <w:rsid w:val="00FC14B5"/>
    <w:rsid w:val="00F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89796-A8CB-4261-913F-B3DF6B01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2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FC4F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028D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A2028D"/>
    <w:rPr>
      <w:rFonts w:ascii="Times New Roman" w:eastAsia="Times New Roman" w:hAnsi="Times New Roman" w:cs="Times New Roman"/>
    </w:rPr>
  </w:style>
  <w:style w:type="paragraph" w:customStyle="1" w:styleId="NameTitle">
    <w:name w:val="Name/Title"/>
    <w:aliases w:val="Alt-T"/>
    <w:basedOn w:val="a"/>
    <w:next w:val="a"/>
    <w:qFormat/>
    <w:rsid w:val="00A2028D"/>
    <w:pPr>
      <w:tabs>
        <w:tab w:val="right" w:pos="9360"/>
      </w:tabs>
    </w:pPr>
    <w:rPr>
      <w:sz w:val="24"/>
      <w:szCs w:val="24"/>
    </w:rPr>
  </w:style>
  <w:style w:type="paragraph" w:customStyle="1" w:styleId="JobDescription">
    <w:name w:val="Job Description"/>
    <w:basedOn w:val="a"/>
    <w:qFormat/>
    <w:rsid w:val="00A2028D"/>
    <w:pPr>
      <w:tabs>
        <w:tab w:val="right" w:pos="9360"/>
      </w:tabs>
      <w:ind w:left="360"/>
    </w:pPr>
    <w:rPr>
      <w:rFonts w:eastAsia="Calibri"/>
      <w:sz w:val="24"/>
      <w:szCs w:val="24"/>
    </w:rPr>
  </w:style>
  <w:style w:type="paragraph" w:customStyle="1" w:styleId="JobYears">
    <w:name w:val="Job/Years"/>
    <w:basedOn w:val="NameTitle"/>
    <w:next w:val="a"/>
    <w:qFormat/>
    <w:rsid w:val="00A2028D"/>
    <w:rPr>
      <w:b/>
    </w:rPr>
  </w:style>
  <w:style w:type="paragraph" w:customStyle="1" w:styleId="ProjectName">
    <w:name w:val="Project Name"/>
    <w:basedOn w:val="a"/>
    <w:qFormat/>
    <w:rsid w:val="00A2028D"/>
    <w:rPr>
      <w:rFonts w:eastAsia="Calibri"/>
      <w:sz w:val="24"/>
    </w:rPr>
  </w:style>
  <w:style w:type="paragraph" w:customStyle="1" w:styleId="Education">
    <w:name w:val="Education"/>
    <w:basedOn w:val="a"/>
    <w:next w:val="a"/>
    <w:qFormat/>
    <w:rsid w:val="00A2028D"/>
    <w:pPr>
      <w:ind w:left="360" w:hanging="360"/>
    </w:pPr>
    <w:rPr>
      <w:rFonts w:eastAsia="Calibri"/>
      <w:sz w:val="24"/>
    </w:rPr>
  </w:style>
  <w:style w:type="paragraph" w:customStyle="1" w:styleId="SummaryBullet">
    <w:name w:val="Summary Bullet"/>
    <w:basedOn w:val="a5"/>
    <w:qFormat/>
    <w:rsid w:val="00A2028D"/>
    <w:pPr>
      <w:tabs>
        <w:tab w:val="right" w:pos="360"/>
        <w:tab w:val="num" w:pos="720"/>
      </w:tabs>
    </w:pPr>
    <w:rPr>
      <w:rFonts w:eastAsia="Calibri"/>
      <w:sz w:val="24"/>
      <w:szCs w:val="24"/>
    </w:rPr>
  </w:style>
  <w:style w:type="paragraph" w:customStyle="1" w:styleId="CandidateName">
    <w:name w:val="Candidate Name"/>
    <w:aliases w:val="Alt-C"/>
    <w:basedOn w:val="a"/>
    <w:next w:val="a"/>
    <w:qFormat/>
    <w:rsid w:val="00A2028D"/>
    <w:pPr>
      <w:jc w:val="center"/>
    </w:pPr>
    <w:rPr>
      <w:rFonts w:ascii="Arial" w:eastAsia="Calibri" w:hAnsi="Arial" w:cs="Arial"/>
      <w:b/>
      <w:sz w:val="24"/>
      <w:szCs w:val="24"/>
    </w:rPr>
  </w:style>
  <w:style w:type="paragraph" w:customStyle="1" w:styleId="CVSubhead">
    <w:name w:val="CV Subhead"/>
    <w:basedOn w:val="a"/>
    <w:next w:val="a"/>
    <w:qFormat/>
    <w:rsid w:val="00A2028D"/>
    <w:pPr>
      <w:tabs>
        <w:tab w:val="right" w:pos="9360"/>
      </w:tabs>
      <w:spacing w:after="120"/>
    </w:pPr>
    <w:rPr>
      <w:rFonts w:ascii="Arial" w:eastAsia="Calibri" w:hAnsi="Arial" w:cs="Arial"/>
      <w:b/>
    </w:rPr>
  </w:style>
  <w:style w:type="paragraph" w:customStyle="1" w:styleId="DonorEmployer">
    <w:name w:val="Donor/Employer"/>
    <w:basedOn w:val="a"/>
    <w:next w:val="JobDescription"/>
    <w:qFormat/>
    <w:rsid w:val="00A2028D"/>
    <w:pPr>
      <w:spacing w:after="40"/>
    </w:pPr>
    <w:rPr>
      <w:rFonts w:eastAsia="Calibri"/>
      <w:sz w:val="24"/>
    </w:rPr>
  </w:style>
  <w:style w:type="paragraph" w:styleId="a5">
    <w:name w:val="List Bullet"/>
    <w:basedOn w:val="a"/>
    <w:uiPriority w:val="99"/>
    <w:semiHidden/>
    <w:unhideWhenUsed/>
    <w:rsid w:val="00A2028D"/>
    <w:pPr>
      <w:ind w:left="720" w:hanging="360"/>
      <w:contextualSpacing/>
    </w:pPr>
  </w:style>
  <w:style w:type="paragraph" w:styleId="a6">
    <w:name w:val="List Paragraph"/>
    <w:basedOn w:val="a"/>
    <w:uiPriority w:val="34"/>
    <w:qFormat/>
    <w:rsid w:val="00AA47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4F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FC4F5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FC4F55"/>
    <w:rPr>
      <w:b/>
      <w:bCs/>
    </w:rPr>
  </w:style>
  <w:style w:type="character" w:styleId="a9">
    <w:name w:val="Hyperlink"/>
    <w:basedOn w:val="a0"/>
    <w:uiPriority w:val="99"/>
    <w:unhideWhenUsed/>
    <w:rsid w:val="00FC4F5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58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585A"/>
    <w:rPr>
      <w:rFonts w:ascii="Segoe UI" w:eastAsia="Times New Roman" w:hAnsi="Segoe UI" w:cs="Segoe UI"/>
      <w:sz w:val="18"/>
      <w:szCs w:val="18"/>
    </w:rPr>
  </w:style>
  <w:style w:type="paragraph" w:customStyle="1" w:styleId="tt">
    <w:name w:val="tt"/>
    <w:basedOn w:val="a"/>
    <w:rsid w:val="006A796B"/>
    <w:pPr>
      <w:jc w:val="center"/>
    </w:pPr>
    <w:rPr>
      <w:b/>
      <w:bCs/>
      <w:sz w:val="24"/>
      <w:szCs w:val="24"/>
    </w:rPr>
  </w:style>
  <w:style w:type="paragraph" w:customStyle="1" w:styleId="cb">
    <w:name w:val="cb"/>
    <w:basedOn w:val="a"/>
    <w:rsid w:val="00EB0769"/>
    <w:pPr>
      <w:jc w:val="center"/>
    </w:pPr>
    <w:rPr>
      <w:b/>
      <w:bCs/>
      <w:sz w:val="24"/>
      <w:szCs w:val="24"/>
      <w:lang w:val="ru-RU" w:eastAsia="ru-RU"/>
    </w:rPr>
  </w:style>
  <w:style w:type="paragraph" w:styleId="ac">
    <w:name w:val="No Spacing"/>
    <w:uiPriority w:val="1"/>
    <w:qFormat/>
    <w:rsid w:val="00EB0769"/>
    <w:pPr>
      <w:spacing w:before="100" w:after="0" w:line="240" w:lineRule="auto"/>
    </w:pPr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0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lex:LPLP201712221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Lazar</dc:creator>
  <cp:keywords/>
  <dc:description/>
  <cp:lastModifiedBy>Veaceslav Volcov</cp:lastModifiedBy>
  <cp:revision>2</cp:revision>
  <cp:lastPrinted>2018-08-15T08:08:00Z</cp:lastPrinted>
  <dcterms:created xsi:type="dcterms:W3CDTF">2020-07-28T08:33:00Z</dcterms:created>
  <dcterms:modified xsi:type="dcterms:W3CDTF">2020-07-28T08:33:00Z</dcterms:modified>
</cp:coreProperties>
</file>