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CAB96" w14:textId="1EADC1BA" w:rsidR="00211653" w:rsidRDefault="00211653" w:rsidP="00214F12">
      <w:pPr>
        <w:spacing w:after="0" w:line="240" w:lineRule="auto"/>
        <w:jc w:val="both"/>
        <w:rPr>
          <w:rFonts w:ascii="Times New Roman" w:hAnsi="Times New Roman" w:cs="Times New Roman"/>
          <w:b/>
          <w:sz w:val="28"/>
          <w:szCs w:val="28"/>
          <w:lang w:val="ro-MO"/>
        </w:rPr>
      </w:pPr>
    </w:p>
    <w:tbl>
      <w:tblPr>
        <w:tblW w:w="4847" w:type="pct"/>
        <w:tblInd w:w="250" w:type="dxa"/>
        <w:tblCellMar>
          <w:left w:w="10" w:type="dxa"/>
          <w:right w:w="10" w:type="dxa"/>
        </w:tblCellMar>
        <w:tblLook w:val="0000" w:firstRow="0" w:lastRow="0" w:firstColumn="0" w:lastColumn="0" w:noHBand="0" w:noVBand="0"/>
      </w:tblPr>
      <w:tblGrid>
        <w:gridCol w:w="10142"/>
      </w:tblGrid>
      <w:tr w:rsidR="00F6018D" w:rsidRPr="00F6018D" w14:paraId="1FECEB71" w14:textId="77777777" w:rsidTr="001C51FE">
        <w:tc>
          <w:tcPr>
            <w:tcW w:w="10142" w:type="dxa"/>
            <w:tcBorders>
              <w:bottom w:val="single" w:sz="12" w:space="0" w:color="666666"/>
            </w:tcBorders>
            <w:shd w:val="clear" w:color="auto" w:fill="auto"/>
            <w:tcMar>
              <w:top w:w="0" w:type="dxa"/>
              <w:left w:w="108" w:type="dxa"/>
              <w:bottom w:w="0" w:type="dxa"/>
              <w:right w:w="108" w:type="dxa"/>
            </w:tcMar>
          </w:tcPr>
          <w:p w14:paraId="37834C16" w14:textId="77777777" w:rsidR="00F6018D" w:rsidRPr="00F6018D" w:rsidRDefault="00F6018D" w:rsidP="00F6018D">
            <w:pPr>
              <w:spacing w:after="0" w:line="276" w:lineRule="auto"/>
              <w:ind w:firstLine="540"/>
              <w:jc w:val="center"/>
              <w:rPr>
                <w:rFonts w:ascii="Times New Roman" w:hAnsi="Times New Roman" w:cs="Times New Roman"/>
                <w:b/>
                <w:bCs/>
                <w:color w:val="000000"/>
                <w:sz w:val="28"/>
                <w:szCs w:val="28"/>
                <w:lang w:val="ro-MO" w:eastAsia="ru-RU"/>
              </w:rPr>
            </w:pPr>
          </w:p>
          <w:p w14:paraId="0B652BEE" w14:textId="77777777" w:rsidR="00F6018D" w:rsidRPr="00F6018D" w:rsidRDefault="00F6018D" w:rsidP="00F6018D">
            <w:pPr>
              <w:spacing w:after="0" w:line="276" w:lineRule="auto"/>
              <w:jc w:val="center"/>
              <w:rPr>
                <w:rFonts w:ascii="Times New Roman" w:hAnsi="Times New Roman" w:cs="Times New Roman"/>
                <w:b/>
                <w:bCs/>
                <w:color w:val="000000"/>
                <w:sz w:val="28"/>
                <w:szCs w:val="28"/>
                <w:lang w:val="ro-MO" w:eastAsia="ru-RU"/>
              </w:rPr>
            </w:pPr>
            <w:r w:rsidRPr="00F6018D">
              <w:rPr>
                <w:rFonts w:ascii="Times New Roman" w:hAnsi="Times New Roman" w:cs="Times New Roman"/>
                <w:b/>
                <w:bCs/>
                <w:color w:val="000000"/>
                <w:sz w:val="28"/>
                <w:szCs w:val="28"/>
                <w:lang w:val="ro-MO" w:eastAsia="ru-RU"/>
              </w:rPr>
              <w:t>NOTĂ INFORMATIVĂ</w:t>
            </w:r>
          </w:p>
          <w:p w14:paraId="4352F0CC" w14:textId="23B9BC02" w:rsidR="00F6018D" w:rsidRPr="00F6018D" w:rsidRDefault="00F6018D" w:rsidP="00F6018D">
            <w:pPr>
              <w:spacing w:after="0" w:line="276" w:lineRule="auto"/>
              <w:jc w:val="center"/>
              <w:rPr>
                <w:rFonts w:ascii="Times New Roman" w:hAnsi="Times New Roman" w:cs="Times New Roman"/>
                <w:b/>
                <w:bCs/>
                <w:color w:val="000000"/>
                <w:sz w:val="28"/>
                <w:szCs w:val="28"/>
                <w:lang w:val="ro-MO" w:eastAsia="ru-RU"/>
              </w:rPr>
            </w:pPr>
            <w:r w:rsidRPr="00F6018D">
              <w:rPr>
                <w:rFonts w:ascii="Times New Roman" w:hAnsi="Times New Roman" w:cs="Times New Roman"/>
                <w:b/>
                <w:bCs/>
                <w:color w:val="000000"/>
                <w:sz w:val="28"/>
                <w:szCs w:val="28"/>
                <w:lang w:val="ro-MO" w:eastAsia="ru-RU"/>
              </w:rPr>
              <w:t xml:space="preserve">la proiectul de lege </w:t>
            </w:r>
            <w:r w:rsidR="000B7C31">
              <w:rPr>
                <w:rFonts w:ascii="Times New Roman" w:hAnsi="Times New Roman" w:cs="Times New Roman"/>
                <w:b/>
                <w:bCs/>
                <w:color w:val="000000"/>
                <w:sz w:val="28"/>
                <w:szCs w:val="28"/>
                <w:lang w:val="ro-MO" w:eastAsia="ru-RU"/>
              </w:rPr>
              <w:t>pentru</w:t>
            </w:r>
            <w:r w:rsidRPr="00F6018D">
              <w:rPr>
                <w:rFonts w:ascii="Times New Roman" w:hAnsi="Times New Roman" w:cs="Times New Roman"/>
                <w:b/>
                <w:bCs/>
                <w:color w:val="000000"/>
                <w:sz w:val="28"/>
                <w:szCs w:val="28"/>
                <w:lang w:val="ro-MO" w:eastAsia="ru-RU"/>
              </w:rPr>
              <w:t xml:space="preserve"> modificarea unor acte normative </w:t>
            </w:r>
          </w:p>
          <w:p w14:paraId="5FECA9CF" w14:textId="77777777" w:rsidR="00F6018D" w:rsidRPr="00F6018D" w:rsidRDefault="00F6018D" w:rsidP="00F6018D">
            <w:pPr>
              <w:spacing w:after="0" w:line="276" w:lineRule="auto"/>
              <w:jc w:val="center"/>
              <w:rPr>
                <w:rFonts w:ascii="Times New Roman" w:hAnsi="Times New Roman" w:cs="Times New Roman"/>
                <w:b/>
                <w:bCs/>
                <w:color w:val="000000"/>
                <w:sz w:val="28"/>
                <w:szCs w:val="28"/>
                <w:lang w:val="ro-MO" w:eastAsia="ru-RU"/>
              </w:rPr>
            </w:pPr>
            <w:r w:rsidRPr="00F6018D">
              <w:rPr>
                <w:rFonts w:ascii="Times New Roman" w:hAnsi="Times New Roman" w:cs="Times New Roman"/>
                <w:b/>
                <w:bCs/>
                <w:color w:val="000000"/>
                <w:sz w:val="28"/>
                <w:szCs w:val="28"/>
                <w:lang w:val="ro-MO" w:eastAsia="ru-RU"/>
              </w:rPr>
              <w:t>(Avocatul Poporului pentru drepturile antreprenorilor)</w:t>
            </w:r>
          </w:p>
          <w:p w14:paraId="153B5307" w14:textId="77777777" w:rsidR="00F6018D" w:rsidRPr="00F6018D" w:rsidRDefault="00F6018D" w:rsidP="00F6018D">
            <w:pPr>
              <w:spacing w:after="0" w:line="276" w:lineRule="auto"/>
              <w:jc w:val="center"/>
              <w:rPr>
                <w:rFonts w:ascii="Times New Roman" w:hAnsi="Times New Roman" w:cs="Times New Roman"/>
                <w:b/>
                <w:bCs/>
                <w:color w:val="000000"/>
                <w:sz w:val="28"/>
                <w:szCs w:val="28"/>
                <w:lang w:val="ro-MO" w:eastAsia="ru-RU"/>
              </w:rPr>
            </w:pPr>
          </w:p>
        </w:tc>
      </w:tr>
      <w:tr w:rsidR="00F6018D" w:rsidRPr="00F6018D" w14:paraId="2D5A085A" w14:textId="77777777" w:rsidTr="001C51FE">
        <w:tc>
          <w:tcPr>
            <w:tcW w:w="10142" w:type="dxa"/>
            <w:tcBorders>
              <w:top w:val="single" w:sz="4" w:space="0" w:color="666666"/>
              <w:left w:val="single" w:sz="4" w:space="0" w:color="666666"/>
              <w:bottom w:val="single" w:sz="4" w:space="0" w:color="666666"/>
              <w:right w:val="single" w:sz="4" w:space="0" w:color="666666"/>
            </w:tcBorders>
            <w:shd w:val="clear" w:color="auto" w:fill="ACB9CA"/>
            <w:tcMar>
              <w:top w:w="0" w:type="dxa"/>
              <w:left w:w="108" w:type="dxa"/>
              <w:bottom w:w="0" w:type="dxa"/>
              <w:right w:w="108" w:type="dxa"/>
            </w:tcMar>
          </w:tcPr>
          <w:p w14:paraId="5F1114DB" w14:textId="77777777" w:rsidR="00F6018D" w:rsidRPr="00F6018D" w:rsidRDefault="00F6018D" w:rsidP="00F6018D">
            <w:pPr>
              <w:spacing w:after="0" w:line="276" w:lineRule="auto"/>
              <w:ind w:firstLine="572"/>
              <w:rPr>
                <w:rFonts w:ascii="Times New Roman" w:hAnsi="Times New Roman" w:cs="Times New Roman"/>
                <w:sz w:val="28"/>
                <w:szCs w:val="28"/>
              </w:rPr>
            </w:pPr>
            <w:r w:rsidRPr="00F6018D">
              <w:rPr>
                <w:rFonts w:ascii="Times New Roman" w:hAnsi="Times New Roman" w:cs="Times New Roman"/>
                <w:b/>
                <w:bCs/>
                <w:color w:val="000000"/>
                <w:sz w:val="28"/>
                <w:szCs w:val="28"/>
                <w:lang w:val="ro-MO"/>
              </w:rPr>
              <w:t>I. Denumirea autorului şi, după caz, a participanților la elaborarea proiectului</w:t>
            </w:r>
          </w:p>
        </w:tc>
      </w:tr>
      <w:tr w:rsidR="00F6018D" w:rsidRPr="00F6018D" w14:paraId="5F4CEC1D" w14:textId="77777777" w:rsidTr="001C51FE">
        <w:tc>
          <w:tcPr>
            <w:tcW w:w="10142"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tcPr>
          <w:p w14:paraId="1C0248A5" w14:textId="77777777" w:rsidR="00F6018D" w:rsidRDefault="00F6018D" w:rsidP="00211653">
            <w:pPr>
              <w:spacing w:after="0" w:line="240" w:lineRule="auto"/>
              <w:ind w:firstLine="567"/>
              <w:jc w:val="both"/>
              <w:rPr>
                <w:rFonts w:ascii="Times New Roman" w:hAnsi="Times New Roman" w:cs="Times New Roman"/>
                <w:bCs/>
                <w:color w:val="000000"/>
                <w:sz w:val="28"/>
                <w:szCs w:val="28"/>
                <w:lang w:val="ro-MO"/>
              </w:rPr>
            </w:pPr>
            <w:r w:rsidRPr="00F6018D">
              <w:rPr>
                <w:rFonts w:ascii="Times New Roman" w:hAnsi="Times New Roman" w:cs="Times New Roman"/>
                <w:bCs/>
                <w:color w:val="000000"/>
                <w:sz w:val="28"/>
                <w:szCs w:val="28"/>
                <w:lang w:val="ro-MO" w:eastAsia="ru-RU"/>
              </w:rPr>
              <w:t>Proiectul de lege a fost elaborat de către grupul lucru instituţional instituit prin Dispoziţia Prim-ministrului nr.6 din 27 ianuarie 2020. Potrivit pct.3 al Dispoziţiei menționate, Ministerul Economiei și Infrastructurii este autoritatea publică desemnată să asigure promovarea proiectului de lege cu privire la Avocatul Poporului pentru drepturile antreprenorilor, în conformitate cu legislaţia în vigoare.</w:t>
            </w:r>
            <w:r w:rsidRPr="00F6018D">
              <w:rPr>
                <w:rFonts w:ascii="Times New Roman" w:hAnsi="Times New Roman" w:cs="Times New Roman"/>
                <w:bCs/>
                <w:color w:val="000000"/>
                <w:sz w:val="28"/>
                <w:szCs w:val="28"/>
                <w:lang w:val="ro-MO"/>
              </w:rPr>
              <w:t xml:space="preserve"> </w:t>
            </w:r>
          </w:p>
          <w:p w14:paraId="63E18F8C" w14:textId="2DAE84B6" w:rsidR="00211653" w:rsidRPr="00211653" w:rsidRDefault="00211653" w:rsidP="00211653">
            <w:pPr>
              <w:spacing w:after="0" w:line="240" w:lineRule="auto"/>
              <w:ind w:firstLine="567"/>
              <w:jc w:val="both"/>
              <w:rPr>
                <w:rFonts w:ascii="Times New Roman" w:hAnsi="Times New Roman" w:cs="Times New Roman"/>
                <w:sz w:val="28"/>
                <w:szCs w:val="28"/>
                <w:lang w:val="ro-MO"/>
              </w:rPr>
            </w:pPr>
          </w:p>
        </w:tc>
      </w:tr>
      <w:tr w:rsidR="00F6018D" w:rsidRPr="00F6018D" w14:paraId="2FC68648" w14:textId="77777777" w:rsidTr="001C51FE">
        <w:trPr>
          <w:trHeight w:val="609"/>
        </w:trPr>
        <w:tc>
          <w:tcPr>
            <w:tcW w:w="10142" w:type="dxa"/>
            <w:tcBorders>
              <w:top w:val="single" w:sz="4" w:space="0" w:color="666666"/>
              <w:left w:val="single" w:sz="4" w:space="0" w:color="666666"/>
              <w:bottom w:val="single" w:sz="4" w:space="0" w:color="666666"/>
              <w:right w:val="single" w:sz="4" w:space="0" w:color="666666"/>
            </w:tcBorders>
            <w:shd w:val="clear" w:color="auto" w:fill="ACB9CA"/>
            <w:tcMar>
              <w:top w:w="0" w:type="dxa"/>
              <w:left w:w="108" w:type="dxa"/>
              <w:bottom w:w="0" w:type="dxa"/>
              <w:right w:w="108" w:type="dxa"/>
            </w:tcMar>
          </w:tcPr>
          <w:p w14:paraId="250AF0D9" w14:textId="77777777" w:rsidR="00F6018D" w:rsidRPr="00F6018D" w:rsidRDefault="00F6018D" w:rsidP="00F6018D">
            <w:pPr>
              <w:spacing w:after="0" w:line="276" w:lineRule="auto"/>
              <w:ind w:firstLine="567"/>
              <w:rPr>
                <w:rFonts w:ascii="Times New Roman" w:hAnsi="Times New Roman" w:cs="Times New Roman"/>
                <w:b/>
                <w:bCs/>
                <w:color w:val="000000"/>
                <w:sz w:val="28"/>
                <w:szCs w:val="28"/>
                <w:lang w:val="ro-MO" w:eastAsia="ru-RU"/>
              </w:rPr>
            </w:pPr>
            <w:r w:rsidRPr="00F6018D">
              <w:rPr>
                <w:rFonts w:ascii="Times New Roman" w:hAnsi="Times New Roman" w:cs="Times New Roman"/>
                <w:b/>
                <w:bCs/>
                <w:color w:val="000000"/>
                <w:sz w:val="28"/>
                <w:szCs w:val="28"/>
                <w:lang w:val="ro-MO" w:eastAsia="ru-RU"/>
              </w:rPr>
              <w:t>II. Condițiile ce au impus elaborarea proiectului de act normativ şi finalitățile urmărite</w:t>
            </w:r>
          </w:p>
        </w:tc>
      </w:tr>
      <w:tr w:rsidR="00F6018D" w:rsidRPr="00F6018D" w14:paraId="0B55E095" w14:textId="77777777" w:rsidTr="001C51FE">
        <w:trPr>
          <w:trHeight w:val="841"/>
        </w:trPr>
        <w:tc>
          <w:tcPr>
            <w:tcW w:w="10142"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tcPr>
          <w:p w14:paraId="6E1A3CA3" w14:textId="77777777" w:rsidR="00F6018D" w:rsidRPr="00F6018D" w:rsidRDefault="00F6018D" w:rsidP="00211653">
            <w:pPr>
              <w:spacing w:after="0" w:line="240" w:lineRule="auto"/>
              <w:ind w:firstLine="567"/>
              <w:jc w:val="both"/>
              <w:rPr>
                <w:rFonts w:ascii="Times New Roman" w:hAnsi="Times New Roman" w:cs="Times New Roman"/>
                <w:sz w:val="28"/>
                <w:szCs w:val="28"/>
              </w:rPr>
            </w:pPr>
            <w:r w:rsidRPr="00F6018D">
              <w:rPr>
                <w:rFonts w:ascii="Times New Roman" w:hAnsi="Times New Roman" w:cs="Times New Roman"/>
                <w:bCs/>
                <w:color w:val="000000"/>
                <w:sz w:val="28"/>
                <w:szCs w:val="28"/>
                <w:lang w:val="ro-MO" w:eastAsia="ru-RU"/>
              </w:rPr>
              <w:t xml:space="preserve">Proiectul de lege este elaborat în vederea asigurării executării acţiunii 4.5.14 din Planul de acţiuni al Guvernului pentru anii 2020-2023, aprobat prin Hotărîrea Guvernului </w:t>
            </w:r>
            <w:r w:rsidRPr="00F6018D">
              <w:rPr>
                <w:rFonts w:ascii="Times New Roman" w:hAnsi="Times New Roman" w:cs="Times New Roman"/>
                <w:color w:val="454545"/>
                <w:sz w:val="28"/>
                <w:szCs w:val="28"/>
                <w:shd w:val="clear" w:color="auto" w:fill="FFFFFF"/>
                <w:lang w:val="ro-MO"/>
              </w:rPr>
              <w:t xml:space="preserve">nr. 636/2019, </w:t>
            </w:r>
            <w:r w:rsidRPr="00F6018D">
              <w:rPr>
                <w:rFonts w:ascii="Times New Roman" w:hAnsi="Times New Roman" w:cs="Times New Roman"/>
                <w:bCs/>
                <w:color w:val="000000"/>
                <w:sz w:val="28"/>
                <w:szCs w:val="28"/>
                <w:lang w:val="ro-MO" w:eastAsia="ru-RU"/>
              </w:rPr>
              <w:t>ce stabileşte crearea instituţiei de ombudsman (avocat) în domeniul activităţii de afaceri.</w:t>
            </w:r>
          </w:p>
          <w:p w14:paraId="7F953A2A" w14:textId="77777777" w:rsidR="00F6018D" w:rsidRPr="00F6018D" w:rsidRDefault="00F6018D" w:rsidP="00211653">
            <w:pPr>
              <w:pStyle w:val="NormalWeb"/>
              <w:spacing w:before="0" w:after="0"/>
              <w:ind w:firstLine="572"/>
              <w:jc w:val="both"/>
              <w:rPr>
                <w:sz w:val="28"/>
                <w:szCs w:val="28"/>
                <w:lang w:val="ro-MO"/>
              </w:rPr>
            </w:pPr>
            <w:r w:rsidRPr="00F6018D">
              <w:rPr>
                <w:sz w:val="28"/>
                <w:szCs w:val="28"/>
                <w:lang w:val="ro-MO"/>
              </w:rPr>
              <w:t xml:space="preserve">Urmare a analizei cadrului legal în vigoare, conex mediului de afaceri și climatului actual investițional, menit dezvoltării social-economice, s-a constatat că principalii factori care determină cheltuieli nejustificate și obstrucționează nejustificat mediul de afaceri, din perspectiva sistemului administrativ public, țin de: </w:t>
            </w:r>
          </w:p>
          <w:p w14:paraId="1AE54E54" w14:textId="77777777" w:rsidR="00F6018D" w:rsidRPr="00F6018D" w:rsidRDefault="00F6018D" w:rsidP="00211653">
            <w:pPr>
              <w:pStyle w:val="NormalWeb"/>
              <w:spacing w:before="0" w:after="0"/>
              <w:ind w:firstLine="572"/>
              <w:jc w:val="both"/>
              <w:rPr>
                <w:sz w:val="28"/>
                <w:szCs w:val="28"/>
              </w:rPr>
            </w:pPr>
            <w:r w:rsidRPr="00F6018D">
              <w:rPr>
                <w:i/>
                <w:sz w:val="28"/>
                <w:szCs w:val="28"/>
                <w:lang w:val="ro-MO"/>
              </w:rPr>
              <w:t>a)</w:t>
            </w:r>
            <w:r w:rsidRPr="00F6018D">
              <w:rPr>
                <w:sz w:val="28"/>
                <w:szCs w:val="28"/>
                <w:lang w:val="ro-MO"/>
              </w:rPr>
              <w:t xml:space="preserve"> previzibilitatea reglementării activității de întreprinzător; </w:t>
            </w:r>
          </w:p>
          <w:p w14:paraId="69FAA3BC" w14:textId="77777777" w:rsidR="00F6018D" w:rsidRPr="00F6018D" w:rsidRDefault="00F6018D" w:rsidP="00211653">
            <w:pPr>
              <w:pStyle w:val="NormalWeb"/>
              <w:spacing w:before="0" w:after="0"/>
              <w:ind w:firstLine="572"/>
              <w:jc w:val="both"/>
              <w:rPr>
                <w:sz w:val="28"/>
                <w:szCs w:val="28"/>
              </w:rPr>
            </w:pPr>
            <w:r w:rsidRPr="00F6018D">
              <w:rPr>
                <w:i/>
                <w:sz w:val="28"/>
                <w:szCs w:val="28"/>
                <w:lang w:val="ro-MO"/>
              </w:rPr>
              <w:t>b)</w:t>
            </w:r>
            <w:r w:rsidRPr="00F6018D">
              <w:rPr>
                <w:sz w:val="28"/>
                <w:szCs w:val="28"/>
                <w:lang w:val="ro-MO"/>
              </w:rPr>
              <w:t xml:space="preserve"> carențele sistemului de control de stat a activității de întreprinzător; </w:t>
            </w:r>
          </w:p>
          <w:p w14:paraId="4F685E7A" w14:textId="77777777" w:rsidR="00F6018D" w:rsidRPr="00F6018D" w:rsidRDefault="00F6018D" w:rsidP="00211653">
            <w:pPr>
              <w:pStyle w:val="NormalWeb"/>
              <w:spacing w:before="0" w:after="0"/>
              <w:ind w:firstLine="572"/>
              <w:jc w:val="both"/>
              <w:rPr>
                <w:sz w:val="28"/>
                <w:szCs w:val="28"/>
              </w:rPr>
            </w:pPr>
            <w:r w:rsidRPr="00F6018D">
              <w:rPr>
                <w:i/>
                <w:sz w:val="28"/>
                <w:szCs w:val="28"/>
                <w:lang w:val="ro-MO"/>
              </w:rPr>
              <w:t>c)</w:t>
            </w:r>
            <w:r w:rsidRPr="00F6018D">
              <w:rPr>
                <w:sz w:val="28"/>
                <w:szCs w:val="28"/>
                <w:lang w:val="ro-MO"/>
              </w:rPr>
              <w:t xml:space="preserve"> nivelul de calitate și/sau eficiență în prestarea serviciilor publice impuse în virtutea legii, în special, deficiențe în procesul de emitere a actelor permisive, efectuarea înregistrărilor obligatorii, expertizărilor, etc; </w:t>
            </w:r>
          </w:p>
          <w:p w14:paraId="71FD5FD5" w14:textId="77777777" w:rsidR="00F6018D" w:rsidRPr="00F6018D" w:rsidRDefault="00F6018D" w:rsidP="00211653">
            <w:pPr>
              <w:pStyle w:val="NormalWeb"/>
              <w:spacing w:before="0" w:after="0"/>
              <w:ind w:firstLine="572"/>
              <w:jc w:val="both"/>
              <w:rPr>
                <w:sz w:val="28"/>
                <w:szCs w:val="28"/>
              </w:rPr>
            </w:pPr>
            <w:r w:rsidRPr="00F6018D">
              <w:rPr>
                <w:i/>
                <w:sz w:val="28"/>
                <w:szCs w:val="28"/>
                <w:lang w:val="ro-MO"/>
              </w:rPr>
              <w:t>d)</w:t>
            </w:r>
            <w:r w:rsidRPr="00F6018D">
              <w:rPr>
                <w:sz w:val="28"/>
                <w:szCs w:val="28"/>
                <w:lang w:val="ro-MO"/>
              </w:rPr>
              <w:t xml:space="preserve"> calitatea sistemului judecătoresc și eficacitatea funcționării procesului de urmărire penală.</w:t>
            </w:r>
          </w:p>
          <w:p w14:paraId="205275B4" w14:textId="77777777" w:rsidR="00F6018D" w:rsidRPr="00F6018D" w:rsidRDefault="00F6018D" w:rsidP="00211653">
            <w:pPr>
              <w:pStyle w:val="NormalWeb"/>
              <w:spacing w:before="0" w:after="0"/>
              <w:ind w:firstLine="572"/>
              <w:jc w:val="both"/>
              <w:rPr>
                <w:sz w:val="28"/>
                <w:szCs w:val="28"/>
              </w:rPr>
            </w:pPr>
            <w:r w:rsidRPr="00F6018D">
              <w:rPr>
                <w:i/>
                <w:sz w:val="28"/>
                <w:szCs w:val="28"/>
                <w:lang w:val="ro-MO"/>
              </w:rPr>
              <w:t>a)</w:t>
            </w:r>
            <w:r w:rsidRPr="00F6018D">
              <w:rPr>
                <w:sz w:val="28"/>
                <w:szCs w:val="28"/>
                <w:lang w:val="ro-MO"/>
              </w:rPr>
              <w:t xml:space="preserve"> </w:t>
            </w:r>
            <w:r w:rsidRPr="00F6018D">
              <w:rPr>
                <w:i/>
                <w:sz w:val="28"/>
                <w:szCs w:val="28"/>
                <w:u w:val="single"/>
                <w:lang w:val="ro-MO"/>
              </w:rPr>
              <w:t>Calitatea reglementării activității de întreprinzător</w:t>
            </w:r>
          </w:p>
          <w:p w14:paraId="167A2F85" w14:textId="77777777" w:rsidR="00F6018D" w:rsidRPr="00F6018D" w:rsidRDefault="00F6018D" w:rsidP="00211653">
            <w:pPr>
              <w:spacing w:after="0" w:line="240" w:lineRule="auto"/>
              <w:ind w:firstLine="567"/>
              <w:jc w:val="both"/>
              <w:rPr>
                <w:rFonts w:ascii="Times New Roman" w:hAnsi="Times New Roman" w:cs="Times New Roman"/>
                <w:sz w:val="28"/>
                <w:szCs w:val="28"/>
                <w:lang w:val="ro-MO"/>
              </w:rPr>
            </w:pPr>
            <w:r w:rsidRPr="00F6018D">
              <w:rPr>
                <w:rFonts w:ascii="Times New Roman" w:hAnsi="Times New Roman" w:cs="Times New Roman"/>
                <w:sz w:val="28"/>
                <w:szCs w:val="28"/>
                <w:lang w:val="ro-MO"/>
              </w:rPr>
              <w:t>În ultimii ani, Guvernul a elaborat și implementat mai multe documente de politici și legi care au avut misiunea realizării reformei cadrului de reglementare a mediului de afaceri, și a cuprins un număr imens de amendamente a cadrului normativ şi instituţional care vizau crearea unui mediu de afaceri mai bun. Cu toate acestea, impactul aşteptat al reformelor nu a fost pe deplin materializat. Provocarea de bază a politicii în cauză constă în valorificarea deplină a realizărilor de pînă acum şi consolidarea unui mediu de afaceri favorabil, care să încurajeze noi investiţii şi să sprijine competitivitatea întreprinderilor autohtone atît pe piaţa internă, cît şi pe pieţele internaţionale. Nivelul redus al eficienței reglementărilor derivă și din faptul că actualmente, se adoptă multe acte normative care continuă să fie costisitoare, netransparente și neconforme cu principiile de piaţă şi realităţile de afaceri.</w:t>
            </w:r>
          </w:p>
          <w:p w14:paraId="687DAC79" w14:textId="77777777" w:rsidR="00F6018D" w:rsidRPr="00F6018D" w:rsidRDefault="00F6018D" w:rsidP="00211653">
            <w:pPr>
              <w:pStyle w:val="NormalWeb"/>
              <w:spacing w:before="0" w:after="0"/>
              <w:ind w:firstLine="572"/>
              <w:jc w:val="both"/>
              <w:rPr>
                <w:sz w:val="28"/>
                <w:szCs w:val="28"/>
                <w:lang w:val="ro-MO"/>
              </w:rPr>
            </w:pPr>
            <w:r w:rsidRPr="00F6018D">
              <w:rPr>
                <w:sz w:val="28"/>
                <w:szCs w:val="28"/>
                <w:lang w:val="ro-MO"/>
              </w:rPr>
              <w:lastRenderedPageBreak/>
              <w:t xml:space="preserve">De evidenţiat că, una dintre problemele procesului de reglementare, constă în faptul că autoritățile publice centrale (în special cu funcții de control), contrar atribuțiilor stabilite de lege, continuă să aprobe acte departamentale/ individuale și să le impună fie, să aprobe acte normative în temeiul legii, dar care substanțial depășesc limitele stabilite de legiuitor. </w:t>
            </w:r>
          </w:p>
          <w:p w14:paraId="384E8FC6" w14:textId="77777777" w:rsidR="00F6018D" w:rsidRPr="00F6018D" w:rsidRDefault="00F6018D" w:rsidP="00211653">
            <w:pPr>
              <w:pStyle w:val="NormalWeb"/>
              <w:spacing w:before="0" w:after="0"/>
              <w:ind w:firstLine="572"/>
              <w:jc w:val="both"/>
              <w:rPr>
                <w:sz w:val="28"/>
                <w:szCs w:val="28"/>
                <w:lang w:val="ro-MO"/>
              </w:rPr>
            </w:pPr>
            <w:r w:rsidRPr="00F6018D">
              <w:rPr>
                <w:sz w:val="28"/>
                <w:szCs w:val="28"/>
                <w:lang w:val="ro-MO"/>
              </w:rPr>
              <w:t>Pentru a diminua sau chiar anihila efectul acestor acte ilegale, în viziunea noastră, este necesar un efort considerabil din partea mediului de afaceri, și anume, poate fi utilizat dreptul de a consta în ordinea contenciosului administrativ, în instanța de judecată, acțiunile de abuz, poate fi solicitat excepția de ilegalitate, sau pentru Hotărîrile de Guvern poate fi ridicată excepția de constituționalitate.</w:t>
            </w:r>
          </w:p>
          <w:p w14:paraId="38EE7566" w14:textId="77777777" w:rsidR="00F6018D" w:rsidRPr="00F6018D" w:rsidRDefault="00F6018D" w:rsidP="00211653">
            <w:pPr>
              <w:pStyle w:val="NormalWeb"/>
              <w:spacing w:before="0" w:after="0"/>
              <w:ind w:firstLine="572"/>
              <w:jc w:val="both"/>
              <w:rPr>
                <w:sz w:val="28"/>
                <w:szCs w:val="28"/>
              </w:rPr>
            </w:pPr>
            <w:r w:rsidRPr="00F6018D">
              <w:rPr>
                <w:i/>
                <w:sz w:val="28"/>
                <w:szCs w:val="28"/>
                <w:lang w:val="ro-MO"/>
              </w:rPr>
              <w:t>b)</w:t>
            </w:r>
            <w:r w:rsidRPr="00F6018D">
              <w:rPr>
                <w:sz w:val="28"/>
                <w:szCs w:val="28"/>
                <w:lang w:val="ro-MO"/>
              </w:rPr>
              <w:t xml:space="preserve"> </w:t>
            </w:r>
            <w:r w:rsidRPr="00F6018D">
              <w:rPr>
                <w:i/>
                <w:sz w:val="28"/>
                <w:szCs w:val="28"/>
                <w:u w:val="single"/>
                <w:lang w:val="ro-MO"/>
              </w:rPr>
              <w:t>Carențele sistemului de control de stat a activității de întreprinzător</w:t>
            </w:r>
          </w:p>
          <w:p w14:paraId="2F1A950F" w14:textId="77777777" w:rsidR="00F6018D" w:rsidRPr="00F6018D" w:rsidRDefault="00F6018D" w:rsidP="00211653">
            <w:pPr>
              <w:spacing w:after="0" w:line="240" w:lineRule="auto"/>
              <w:ind w:firstLine="567"/>
              <w:jc w:val="both"/>
              <w:rPr>
                <w:rFonts w:ascii="Times New Roman" w:hAnsi="Times New Roman" w:cs="Times New Roman"/>
                <w:sz w:val="28"/>
                <w:szCs w:val="28"/>
                <w:lang w:val="ro-MO"/>
              </w:rPr>
            </w:pPr>
            <w:r w:rsidRPr="00F6018D">
              <w:rPr>
                <w:rFonts w:ascii="Times New Roman" w:hAnsi="Times New Roman" w:cs="Times New Roman"/>
                <w:sz w:val="28"/>
                <w:szCs w:val="28"/>
                <w:lang w:val="ro-MO"/>
              </w:rPr>
              <w:t xml:space="preserve">Începând cu 2016, Guvernul, cu suportul donatorilor internaționali, a început derularea unei reforme instituționale și normative profundă în sistemul de control de stat. În cadrul organelor cu funcții de control au fost instituite Consiliile de soluționare a disputelor, au fost elaborate şi aprobate prin ordinul autorității publice centrale cu competențe în domeniul controlului, liste de verificare pentru domeniile de competență ale acestora. În acest mod, pe lîngă perfecționarea cadrului legislativ, în sensul stabilirii mai clare și în detaliu a drepturilor și obligațiilor materiale și procedurale în cadrul controlului de stat, se implementează previzibilitatea controlului dar și mecanisme de soluționare eficientă a disputelor ce rezultă din controlul de stat. </w:t>
            </w:r>
          </w:p>
          <w:p w14:paraId="29D53379" w14:textId="77777777" w:rsidR="00F6018D" w:rsidRPr="00F6018D" w:rsidRDefault="00F6018D" w:rsidP="00211653">
            <w:pPr>
              <w:pStyle w:val="NormalWeb"/>
              <w:spacing w:before="0" w:after="0"/>
              <w:ind w:firstLine="572"/>
              <w:jc w:val="both"/>
              <w:rPr>
                <w:sz w:val="28"/>
                <w:szCs w:val="28"/>
                <w:lang w:val="ro-MO"/>
              </w:rPr>
            </w:pPr>
            <w:r w:rsidRPr="00F6018D">
              <w:rPr>
                <w:sz w:val="28"/>
                <w:szCs w:val="28"/>
                <w:lang w:val="ro-MO"/>
              </w:rPr>
              <w:t>În pofida eforturilor consistente, atît din partea Cancelariei de Stat, ca autoritate a administrației publice centrale de supraveghere a controalelor, cît şi a Ministerului Economiei şi Infrastructurii, în vederea implementării reformei în domeniul controalelor de stat, se atestă tergiversarea implementării acesteia. Astfel, lipsa unor mecanisme viabile de soluționare a disputelor, calitatea redusă a cadrului normativ subsidiar în privința procedurilor de control pe sub-domenii concrete, lipsa de funcționalitate a sistemelor informaționale de stat în acest domeniu (în special, Registrul de stat al controalelor) sunt factori decisivi în discreditarea efortului depus pentru reformarea sistemului de control, factori care continuă să încurajeze apariția situațiilor de conflict, să instituie bariere nejustificate și să multiplice exponențial cheltuielile mediului de afaceri pentru inițierea și desfășurarea activității de producere, comerț și prestări servicii.</w:t>
            </w:r>
          </w:p>
          <w:p w14:paraId="73246652" w14:textId="77777777" w:rsidR="00F6018D" w:rsidRPr="00F6018D" w:rsidRDefault="00F6018D" w:rsidP="00211653">
            <w:pPr>
              <w:spacing w:after="0" w:line="240" w:lineRule="auto"/>
              <w:ind w:firstLine="567"/>
              <w:jc w:val="both"/>
              <w:rPr>
                <w:rFonts w:ascii="Times New Roman" w:hAnsi="Times New Roman" w:cs="Times New Roman"/>
                <w:sz w:val="28"/>
                <w:szCs w:val="28"/>
                <w:lang w:val="ro-MO"/>
              </w:rPr>
            </w:pPr>
            <w:r w:rsidRPr="00F6018D">
              <w:rPr>
                <w:rFonts w:ascii="Times New Roman" w:hAnsi="Times New Roman" w:cs="Times New Roman"/>
                <w:sz w:val="28"/>
                <w:szCs w:val="28"/>
                <w:lang w:val="ro-MO"/>
              </w:rPr>
              <w:t>De menţionat că, conform sondajului reflectat în raportul Băncii Mondiale „Costul Reglementării de Stat a Activității de Întreprinzător 2019” circa 46% din respondenți consideră că Legea nr.131/2012 privind controlul de stat asupra activităţii de întreprinzător este întotdeauna aplicată selectiv în cadrul controlului de stat, în dependență de atitudinea persoanelor publice, alte 22% sunt parțial de acord cu respectiva afirmație.</w:t>
            </w:r>
          </w:p>
          <w:p w14:paraId="56764EED" w14:textId="77777777" w:rsidR="00F6018D" w:rsidRPr="00F6018D" w:rsidRDefault="00F6018D" w:rsidP="00211653">
            <w:pPr>
              <w:spacing w:after="0" w:line="240" w:lineRule="auto"/>
              <w:ind w:firstLine="567"/>
              <w:rPr>
                <w:rFonts w:ascii="Times New Roman" w:hAnsi="Times New Roman" w:cs="Times New Roman"/>
                <w:sz w:val="28"/>
                <w:szCs w:val="28"/>
                <w:lang w:val="ro-MO"/>
              </w:rPr>
            </w:pPr>
          </w:p>
          <w:p w14:paraId="13BEAC99" w14:textId="77777777" w:rsidR="00F6018D" w:rsidRPr="00F6018D" w:rsidRDefault="00F6018D" w:rsidP="00211653">
            <w:pPr>
              <w:pStyle w:val="NormalWeb"/>
              <w:spacing w:before="0" w:after="0"/>
              <w:ind w:firstLine="572"/>
              <w:jc w:val="both"/>
              <w:rPr>
                <w:sz w:val="28"/>
                <w:szCs w:val="28"/>
              </w:rPr>
            </w:pPr>
            <w:r w:rsidRPr="00F6018D">
              <w:rPr>
                <w:i/>
                <w:sz w:val="28"/>
                <w:szCs w:val="28"/>
                <w:lang w:val="ro-MO"/>
              </w:rPr>
              <w:t>c)</w:t>
            </w:r>
            <w:r w:rsidRPr="00F6018D">
              <w:rPr>
                <w:sz w:val="28"/>
                <w:szCs w:val="28"/>
                <w:lang w:val="ro-MO"/>
              </w:rPr>
              <w:t xml:space="preserve"> </w:t>
            </w:r>
            <w:r w:rsidRPr="00F6018D">
              <w:rPr>
                <w:i/>
                <w:sz w:val="28"/>
                <w:szCs w:val="28"/>
                <w:u w:val="single"/>
                <w:lang w:val="ro-MO"/>
              </w:rPr>
              <w:t>Deficiențe în procesul de solicitare și emitere a actelor permisive și prestarea serviciilor publice</w:t>
            </w:r>
          </w:p>
          <w:p w14:paraId="14F01C89" w14:textId="77777777" w:rsidR="00F6018D" w:rsidRPr="00F6018D" w:rsidRDefault="00F6018D" w:rsidP="00211653">
            <w:pPr>
              <w:pStyle w:val="NormalWeb"/>
              <w:spacing w:before="0" w:after="0"/>
              <w:ind w:firstLine="373"/>
              <w:jc w:val="both"/>
              <w:rPr>
                <w:sz w:val="28"/>
                <w:szCs w:val="28"/>
                <w:lang w:val="ro-MO"/>
              </w:rPr>
            </w:pPr>
            <w:r w:rsidRPr="00F6018D">
              <w:rPr>
                <w:sz w:val="28"/>
                <w:szCs w:val="28"/>
                <w:lang w:val="ro-MO"/>
              </w:rPr>
              <w:t xml:space="preserve">În prezent, în privința serviciilor publice impuse de lege, în special actele permisive, se constată o serie de deficiențe cu privire la calitatea reglementării procedurale și materiale a acestora, dar și modalitatea de respectare a reglementărilor de către autoritățile emitente de acte permisive. În urma reformării întregului cadru legislativ cu </w:t>
            </w:r>
            <w:r w:rsidRPr="00F6018D">
              <w:rPr>
                <w:sz w:val="28"/>
                <w:szCs w:val="28"/>
                <w:lang w:val="ro-MO"/>
              </w:rPr>
              <w:lastRenderedPageBreak/>
              <w:t xml:space="preserve">privire la actele permisive pentru mediul de afaceri (licențe, autorizații, certificate), în baza Legii nr.185/2017 pentru modificarea şi completarea unor acte legislative, a fost necesar un exercițiu amplu de ajustare și completare a cadrului normativ subsidiar, fapt care nu a avut loc în mare parte, nici pînă în prezent.  </w:t>
            </w:r>
          </w:p>
          <w:p w14:paraId="5A837B06" w14:textId="77777777" w:rsidR="00F6018D" w:rsidRPr="00F6018D" w:rsidRDefault="00F6018D" w:rsidP="00211653">
            <w:pPr>
              <w:pStyle w:val="NormalWeb"/>
              <w:spacing w:before="0" w:after="0"/>
              <w:ind w:firstLine="572"/>
              <w:jc w:val="both"/>
              <w:rPr>
                <w:sz w:val="28"/>
                <w:szCs w:val="28"/>
                <w:lang w:val="ro-MO"/>
              </w:rPr>
            </w:pPr>
            <w:r w:rsidRPr="00F6018D">
              <w:rPr>
                <w:sz w:val="28"/>
                <w:szCs w:val="28"/>
                <w:lang w:val="ro-MO"/>
              </w:rPr>
              <w:t xml:space="preserve">În conformitate cu Legea nr.185/2017 a fost instituit sistemul informaţional de gestionare şi eliberare a actelor permisive (SIA GEAP) pentru solicitarea și emiterea actelor permisive, cu scopul diminuării, efortului pentru obținere, abuzurilor și elementelor de corupție în această privință. SIA GEAP este funcţional din luna iulie a anului 2018. </w:t>
            </w:r>
          </w:p>
          <w:p w14:paraId="01138B6C" w14:textId="77777777" w:rsidR="00F6018D" w:rsidRPr="00F6018D" w:rsidRDefault="00F6018D" w:rsidP="00211653">
            <w:pPr>
              <w:spacing w:after="0" w:line="240" w:lineRule="auto"/>
              <w:ind w:firstLine="572"/>
              <w:jc w:val="both"/>
              <w:rPr>
                <w:rFonts w:ascii="Times New Roman" w:hAnsi="Times New Roman" w:cs="Times New Roman"/>
                <w:sz w:val="28"/>
                <w:szCs w:val="28"/>
                <w:lang w:val="ro-MO"/>
              </w:rPr>
            </w:pPr>
            <w:r w:rsidRPr="00F6018D">
              <w:rPr>
                <w:rFonts w:ascii="Times New Roman" w:hAnsi="Times New Roman" w:cs="Times New Roman"/>
                <w:sz w:val="28"/>
                <w:szCs w:val="28"/>
                <w:lang w:val="ro-MO"/>
              </w:rPr>
              <w:t>Totuși, o problemă majoră constă în reticența autorităților publice conexe (la nivel central și local) în cadrul implementării reformei privind optimizarea actelor permisive, precum şi implementarea soluţiilor de Ghişeu Unic.</w:t>
            </w:r>
          </w:p>
          <w:p w14:paraId="65D85379" w14:textId="77777777" w:rsidR="00F6018D" w:rsidRPr="00F6018D" w:rsidRDefault="00F6018D" w:rsidP="00211653">
            <w:pPr>
              <w:spacing w:after="0" w:line="240" w:lineRule="auto"/>
              <w:ind w:firstLine="572"/>
              <w:jc w:val="both"/>
              <w:rPr>
                <w:rFonts w:ascii="Times New Roman" w:hAnsi="Times New Roman" w:cs="Times New Roman"/>
                <w:sz w:val="28"/>
                <w:szCs w:val="28"/>
                <w:lang w:val="ro-MO"/>
              </w:rPr>
            </w:pPr>
          </w:p>
          <w:p w14:paraId="37072D5D" w14:textId="77777777" w:rsidR="00F6018D" w:rsidRPr="00F6018D" w:rsidRDefault="00F6018D" w:rsidP="00211653">
            <w:pPr>
              <w:pStyle w:val="NormalWeb"/>
              <w:spacing w:before="0" w:after="0"/>
              <w:ind w:firstLine="572"/>
              <w:jc w:val="both"/>
              <w:rPr>
                <w:sz w:val="28"/>
                <w:szCs w:val="28"/>
              </w:rPr>
            </w:pPr>
            <w:r w:rsidRPr="00F6018D">
              <w:rPr>
                <w:i/>
                <w:sz w:val="28"/>
                <w:szCs w:val="28"/>
                <w:lang w:val="ro-MO"/>
              </w:rPr>
              <w:t>d)</w:t>
            </w:r>
            <w:r w:rsidRPr="00F6018D">
              <w:rPr>
                <w:sz w:val="28"/>
                <w:szCs w:val="28"/>
                <w:lang w:val="ro-MO"/>
              </w:rPr>
              <w:t xml:space="preserve"> </w:t>
            </w:r>
            <w:r w:rsidRPr="00F6018D">
              <w:rPr>
                <w:i/>
                <w:sz w:val="28"/>
                <w:szCs w:val="28"/>
                <w:u w:val="single"/>
                <w:lang w:val="ro-MO"/>
              </w:rPr>
              <w:t>Calitatea sistemului judecătoresc și eficacitatea funcționării procesului de urmărire penală</w:t>
            </w:r>
          </w:p>
          <w:p w14:paraId="29641703" w14:textId="77777777" w:rsidR="00F6018D" w:rsidRPr="00F6018D" w:rsidRDefault="00F6018D" w:rsidP="00211653">
            <w:pPr>
              <w:spacing w:after="0" w:line="240" w:lineRule="auto"/>
              <w:ind w:firstLine="567"/>
              <w:jc w:val="both"/>
              <w:rPr>
                <w:rFonts w:ascii="Times New Roman" w:hAnsi="Times New Roman" w:cs="Times New Roman"/>
                <w:color w:val="26282A"/>
                <w:sz w:val="28"/>
                <w:szCs w:val="28"/>
                <w:lang w:val="ro-MO"/>
              </w:rPr>
            </w:pPr>
            <w:r w:rsidRPr="00F6018D">
              <w:rPr>
                <w:rFonts w:ascii="Times New Roman" w:hAnsi="Times New Roman" w:cs="Times New Roman"/>
                <w:color w:val="26282A"/>
                <w:sz w:val="28"/>
                <w:szCs w:val="28"/>
                <w:lang w:val="ro-MO"/>
              </w:rPr>
              <w:t>O serie de probleme esențiale pot fi deduse și în cadrul procesului penal, în raport cu agenții economici. Organele de drept intervin frecvent în activitatea de business în mod exagerat, neproporțional, abuziv, cu încălcări ale legislației și/sau folosindu-se de prevederile procedurale și componentele de infracțiuni existente.</w:t>
            </w:r>
          </w:p>
          <w:p w14:paraId="7FD399D7" w14:textId="77777777" w:rsidR="00F6018D" w:rsidRPr="00F6018D" w:rsidRDefault="00F6018D" w:rsidP="00211653">
            <w:pPr>
              <w:spacing w:after="0" w:line="240" w:lineRule="auto"/>
              <w:ind w:firstLine="567"/>
              <w:jc w:val="both"/>
              <w:rPr>
                <w:rFonts w:ascii="Times New Roman" w:hAnsi="Times New Roman" w:cs="Times New Roman"/>
                <w:sz w:val="28"/>
                <w:szCs w:val="28"/>
                <w:lang w:val="ro-MO"/>
              </w:rPr>
            </w:pPr>
            <w:r w:rsidRPr="00F6018D">
              <w:rPr>
                <w:rFonts w:ascii="Times New Roman" w:hAnsi="Times New Roman" w:cs="Times New Roman"/>
                <w:sz w:val="28"/>
                <w:szCs w:val="28"/>
                <w:lang w:val="ro-MO"/>
              </w:rPr>
              <w:t>În prezent, o mare parte din mediul de afaceri activ încearcă să vină cu o contribuție reală la calitatea procesului de reglementare a activității de întreprinzător prin intermediul asociațiilor de business.</w:t>
            </w:r>
          </w:p>
          <w:p w14:paraId="73C1BF71" w14:textId="77777777" w:rsidR="00F6018D" w:rsidRPr="00F6018D" w:rsidRDefault="00F6018D" w:rsidP="00211653">
            <w:pPr>
              <w:pStyle w:val="NormalWeb"/>
              <w:spacing w:before="0" w:after="0"/>
              <w:ind w:firstLine="572"/>
              <w:jc w:val="both"/>
              <w:rPr>
                <w:sz w:val="28"/>
                <w:szCs w:val="28"/>
                <w:lang w:val="ro-MO"/>
              </w:rPr>
            </w:pPr>
            <w:r w:rsidRPr="00F6018D">
              <w:rPr>
                <w:sz w:val="28"/>
                <w:szCs w:val="28"/>
                <w:lang w:val="ro-MO"/>
              </w:rPr>
              <w:t>Totodată, este important de menționat că legiuitorul nu atribuie asociațiilor de întreprinzător unele drepturi mai speciale, altele decât cele atribuite unei asociații obștești. În lipsa acestor atribuții și drepturi, capacitatea asociațiilor de a influența autoritățile publice rămâne a fi destul de incipientă.</w:t>
            </w:r>
          </w:p>
          <w:p w14:paraId="6ADA594B" w14:textId="77777777" w:rsidR="00F6018D" w:rsidRPr="00F6018D" w:rsidRDefault="00F6018D" w:rsidP="00211653">
            <w:pPr>
              <w:spacing w:after="0" w:line="240" w:lineRule="auto"/>
              <w:ind w:firstLine="567"/>
              <w:jc w:val="both"/>
              <w:rPr>
                <w:rFonts w:ascii="Times New Roman" w:hAnsi="Times New Roman" w:cs="Times New Roman"/>
                <w:sz w:val="28"/>
                <w:szCs w:val="28"/>
                <w:lang w:val="ro-MO"/>
              </w:rPr>
            </w:pPr>
            <w:r w:rsidRPr="00F6018D">
              <w:rPr>
                <w:rFonts w:ascii="Times New Roman" w:hAnsi="Times New Roman" w:cs="Times New Roman"/>
                <w:sz w:val="28"/>
                <w:szCs w:val="28"/>
                <w:lang w:val="ro-MO"/>
              </w:rPr>
              <w:t>În multe state guvernele au creat entități care se preocupă de protejarea drepturilor fundamentale ale întreprinzătorilor, menite să depisteze problemele sistemice în cadrul normativ și să vină cu o contribuție importantă pentru eliminarea acestora. Un accent deosebit fiind pus pe susținerea antreprenorilor mici, micro și de familie, care sunt în mare măsură defavorizați în raport cu alte categorii de întreprinzători. Exemple de ombudsman în raport cu mediul de afaceri sunt expuse în Analiza de impact asupra proiectului de lege.</w:t>
            </w:r>
          </w:p>
          <w:p w14:paraId="55A08D34" w14:textId="77777777" w:rsidR="00F6018D" w:rsidRPr="00F6018D" w:rsidRDefault="00F6018D" w:rsidP="00211653">
            <w:pPr>
              <w:spacing w:after="0" w:line="240" w:lineRule="auto"/>
              <w:ind w:firstLine="567"/>
              <w:rPr>
                <w:rFonts w:ascii="Times New Roman" w:hAnsi="Times New Roman" w:cs="Times New Roman"/>
                <w:sz w:val="28"/>
                <w:szCs w:val="28"/>
                <w:lang w:val="ro-MO"/>
              </w:rPr>
            </w:pPr>
          </w:p>
        </w:tc>
      </w:tr>
      <w:tr w:rsidR="00F6018D" w:rsidRPr="00F6018D" w14:paraId="14EB6B8C" w14:textId="77777777" w:rsidTr="001C51FE">
        <w:trPr>
          <w:trHeight w:val="672"/>
        </w:trPr>
        <w:tc>
          <w:tcPr>
            <w:tcW w:w="10142" w:type="dxa"/>
            <w:tcBorders>
              <w:top w:val="single" w:sz="4" w:space="0" w:color="666666"/>
              <w:left w:val="single" w:sz="4" w:space="0" w:color="666666"/>
              <w:bottom w:val="single" w:sz="4" w:space="0" w:color="666666"/>
              <w:right w:val="single" w:sz="4" w:space="0" w:color="666666"/>
            </w:tcBorders>
            <w:shd w:val="clear" w:color="auto" w:fill="ACB9CA"/>
            <w:tcMar>
              <w:top w:w="0" w:type="dxa"/>
              <w:left w:w="108" w:type="dxa"/>
              <w:bottom w:w="0" w:type="dxa"/>
              <w:right w:w="108" w:type="dxa"/>
            </w:tcMar>
          </w:tcPr>
          <w:p w14:paraId="78955BB0" w14:textId="77777777" w:rsidR="00F6018D" w:rsidRPr="00F6018D" w:rsidRDefault="00F6018D" w:rsidP="00F6018D">
            <w:pPr>
              <w:spacing w:after="0" w:line="276" w:lineRule="auto"/>
              <w:ind w:firstLine="567"/>
              <w:rPr>
                <w:rFonts w:ascii="Times New Roman" w:hAnsi="Times New Roman" w:cs="Times New Roman"/>
                <w:b/>
                <w:bCs/>
                <w:color w:val="000000"/>
                <w:sz w:val="28"/>
                <w:szCs w:val="28"/>
                <w:lang w:val="ro-MO"/>
              </w:rPr>
            </w:pPr>
            <w:r w:rsidRPr="00F6018D">
              <w:rPr>
                <w:rFonts w:ascii="Times New Roman" w:hAnsi="Times New Roman" w:cs="Times New Roman"/>
                <w:b/>
                <w:bCs/>
                <w:color w:val="000000"/>
                <w:sz w:val="28"/>
                <w:szCs w:val="28"/>
                <w:lang w:val="ro-MO"/>
              </w:rPr>
              <w:lastRenderedPageBreak/>
              <w:t>III. Descrierea gradului de compatibilitate pentru proiectele care au ca scop armonizarea legislației naționale cu legislația Uniunii Europene</w:t>
            </w:r>
          </w:p>
        </w:tc>
      </w:tr>
      <w:tr w:rsidR="00F6018D" w:rsidRPr="00F6018D" w14:paraId="483DE776" w14:textId="77777777" w:rsidTr="001C51FE">
        <w:trPr>
          <w:trHeight w:val="672"/>
        </w:trPr>
        <w:tc>
          <w:tcPr>
            <w:tcW w:w="10142"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tcPr>
          <w:p w14:paraId="26899009" w14:textId="77777777" w:rsidR="00F6018D" w:rsidRPr="00F6018D" w:rsidRDefault="00F6018D" w:rsidP="00211653">
            <w:pPr>
              <w:spacing w:after="0" w:line="240" w:lineRule="auto"/>
              <w:ind w:firstLine="567"/>
              <w:jc w:val="both"/>
              <w:rPr>
                <w:rFonts w:ascii="Times New Roman" w:hAnsi="Times New Roman" w:cs="Times New Roman"/>
                <w:bCs/>
                <w:color w:val="000000"/>
                <w:sz w:val="28"/>
                <w:szCs w:val="28"/>
                <w:lang w:val="ro-MO"/>
              </w:rPr>
            </w:pPr>
            <w:r w:rsidRPr="00F6018D">
              <w:rPr>
                <w:rFonts w:ascii="Times New Roman" w:hAnsi="Times New Roman" w:cs="Times New Roman"/>
                <w:bCs/>
                <w:color w:val="000000"/>
                <w:sz w:val="28"/>
                <w:szCs w:val="28"/>
                <w:lang w:val="ro-MO"/>
              </w:rPr>
              <w:t>Proiectul de lege nu are drept scop armonizarea legislației naționale cu legislația Uniunii Europene.</w:t>
            </w:r>
          </w:p>
          <w:p w14:paraId="06676943" w14:textId="77777777" w:rsidR="00F6018D" w:rsidRPr="00F6018D" w:rsidRDefault="00F6018D" w:rsidP="00211653">
            <w:pPr>
              <w:spacing w:after="0" w:line="240" w:lineRule="auto"/>
              <w:ind w:firstLine="567"/>
              <w:jc w:val="both"/>
              <w:rPr>
                <w:rFonts w:ascii="Times New Roman" w:hAnsi="Times New Roman" w:cs="Times New Roman"/>
                <w:bCs/>
                <w:color w:val="000000"/>
                <w:sz w:val="28"/>
                <w:szCs w:val="28"/>
                <w:lang w:val="ro-MO"/>
              </w:rPr>
            </w:pPr>
          </w:p>
        </w:tc>
      </w:tr>
      <w:tr w:rsidR="00F6018D" w:rsidRPr="00F6018D" w14:paraId="42DC9531" w14:textId="77777777" w:rsidTr="001C51FE">
        <w:tc>
          <w:tcPr>
            <w:tcW w:w="10142" w:type="dxa"/>
            <w:tcBorders>
              <w:top w:val="single" w:sz="4" w:space="0" w:color="666666"/>
              <w:left w:val="single" w:sz="4" w:space="0" w:color="666666"/>
              <w:bottom w:val="single" w:sz="4" w:space="0" w:color="666666"/>
              <w:right w:val="single" w:sz="4" w:space="0" w:color="666666"/>
            </w:tcBorders>
            <w:shd w:val="clear" w:color="auto" w:fill="ACB9CA"/>
            <w:tcMar>
              <w:top w:w="0" w:type="dxa"/>
              <w:left w:w="108" w:type="dxa"/>
              <w:bottom w:w="0" w:type="dxa"/>
              <w:right w:w="108" w:type="dxa"/>
            </w:tcMar>
          </w:tcPr>
          <w:p w14:paraId="09E57595" w14:textId="77777777" w:rsidR="00F6018D" w:rsidRPr="00F6018D" w:rsidRDefault="00F6018D" w:rsidP="00D044A3">
            <w:pPr>
              <w:spacing w:after="0" w:line="276" w:lineRule="auto"/>
              <w:ind w:firstLine="567"/>
              <w:jc w:val="both"/>
              <w:rPr>
                <w:rFonts w:ascii="Times New Roman" w:hAnsi="Times New Roman" w:cs="Times New Roman"/>
                <w:b/>
                <w:bCs/>
                <w:color w:val="000000"/>
                <w:sz w:val="28"/>
                <w:szCs w:val="28"/>
                <w:lang w:val="ro-MO"/>
              </w:rPr>
            </w:pPr>
            <w:r w:rsidRPr="00F6018D">
              <w:rPr>
                <w:rFonts w:ascii="Times New Roman" w:hAnsi="Times New Roman" w:cs="Times New Roman"/>
                <w:b/>
                <w:bCs/>
                <w:color w:val="000000"/>
                <w:sz w:val="28"/>
                <w:szCs w:val="28"/>
                <w:lang w:val="ro-MO"/>
              </w:rPr>
              <w:t>IV. Principalele prevederi ale proiectului și evidențierea elementelor noi</w:t>
            </w:r>
          </w:p>
        </w:tc>
      </w:tr>
      <w:tr w:rsidR="00F6018D" w:rsidRPr="00F6018D" w14:paraId="09E31F5A" w14:textId="77777777" w:rsidTr="001C51FE">
        <w:tc>
          <w:tcPr>
            <w:tcW w:w="10142"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tcPr>
          <w:p w14:paraId="23545E41" w14:textId="77777777" w:rsidR="00F6018D" w:rsidRPr="00F6018D" w:rsidRDefault="00F6018D" w:rsidP="00211653">
            <w:pPr>
              <w:spacing w:after="0" w:line="240" w:lineRule="auto"/>
              <w:ind w:firstLine="432"/>
              <w:jc w:val="both"/>
              <w:rPr>
                <w:rFonts w:ascii="Times New Roman" w:hAnsi="Times New Roman" w:cs="Times New Roman"/>
                <w:sz w:val="28"/>
                <w:szCs w:val="28"/>
                <w:lang w:val="ro-MO"/>
              </w:rPr>
            </w:pPr>
            <w:r w:rsidRPr="00F6018D">
              <w:rPr>
                <w:rFonts w:ascii="Times New Roman" w:hAnsi="Times New Roman" w:cs="Times New Roman"/>
                <w:sz w:val="28"/>
                <w:szCs w:val="28"/>
                <w:lang w:val="ro-MO"/>
              </w:rPr>
              <w:t xml:space="preserve">Proiectul de lege instituie funcția de demnitate publică - Avocatul Poporului pentru drepturile antreprenorilor, care va fi numit de Parlament și va activa în mod autonom față de Avocatul Poporului și Avocatul Poporului pentru drepturile copilului. </w:t>
            </w:r>
          </w:p>
          <w:p w14:paraId="76B0BB34" w14:textId="77777777" w:rsidR="00F6018D" w:rsidRPr="00F6018D" w:rsidRDefault="00F6018D" w:rsidP="00211653">
            <w:pPr>
              <w:spacing w:after="0" w:line="240" w:lineRule="auto"/>
              <w:ind w:firstLine="432"/>
              <w:jc w:val="both"/>
              <w:rPr>
                <w:rFonts w:ascii="Times New Roman" w:hAnsi="Times New Roman" w:cs="Times New Roman"/>
                <w:sz w:val="28"/>
                <w:szCs w:val="28"/>
                <w:lang w:val="ro-MO"/>
              </w:rPr>
            </w:pPr>
            <w:r w:rsidRPr="00F6018D">
              <w:rPr>
                <w:rFonts w:ascii="Times New Roman" w:hAnsi="Times New Roman" w:cs="Times New Roman"/>
                <w:sz w:val="28"/>
                <w:szCs w:val="28"/>
                <w:lang w:val="ro-MO"/>
              </w:rPr>
              <w:t xml:space="preserve">Avocatul Poporului pentru drepturile antreprenorilor va fi specializat în problemele </w:t>
            </w:r>
            <w:r w:rsidRPr="00F6018D">
              <w:rPr>
                <w:rFonts w:ascii="Times New Roman" w:hAnsi="Times New Roman" w:cs="Times New Roman"/>
                <w:sz w:val="28"/>
                <w:szCs w:val="28"/>
                <w:lang w:val="ro-MO"/>
              </w:rPr>
              <w:lastRenderedPageBreak/>
              <w:t>de protecţie a drepturilor antreprenorilor.</w:t>
            </w:r>
          </w:p>
          <w:p w14:paraId="750AA0B0" w14:textId="77777777" w:rsidR="00F6018D" w:rsidRPr="00F6018D" w:rsidRDefault="00F6018D" w:rsidP="00211653">
            <w:pPr>
              <w:spacing w:after="0" w:line="240" w:lineRule="auto"/>
              <w:ind w:firstLine="572"/>
              <w:jc w:val="both"/>
              <w:rPr>
                <w:rFonts w:ascii="Times New Roman" w:hAnsi="Times New Roman" w:cs="Times New Roman"/>
                <w:sz w:val="28"/>
                <w:szCs w:val="28"/>
                <w:lang w:val="ro-MO"/>
              </w:rPr>
            </w:pPr>
            <w:r w:rsidRPr="00F6018D">
              <w:rPr>
                <w:rFonts w:ascii="Times New Roman" w:hAnsi="Times New Roman" w:cs="Times New Roman"/>
                <w:sz w:val="28"/>
                <w:szCs w:val="28"/>
                <w:lang w:val="ro-MO"/>
              </w:rPr>
              <w:t xml:space="preserve">Rolul Avocatului Poporului pentru drepturile antreprenorilor va rezida în asigurarea respectării drepturilor şi intereselor legitime ale antreprenorilor de către autoritățile publice, de către organizațiile şi întreprinderile, indiferent de tipul de proprietate şi forma juridică de organizare, de către organizaţiile necomerciale şi de către persoanele cu funcţii de răspundere de toate nivelurile. </w:t>
            </w:r>
          </w:p>
          <w:p w14:paraId="33C3883C" w14:textId="77777777" w:rsidR="00F6018D" w:rsidRPr="00F6018D" w:rsidRDefault="00F6018D" w:rsidP="00211653">
            <w:pPr>
              <w:spacing w:after="0" w:line="240" w:lineRule="auto"/>
              <w:ind w:firstLine="432"/>
              <w:jc w:val="both"/>
              <w:rPr>
                <w:rFonts w:ascii="Times New Roman" w:hAnsi="Times New Roman" w:cs="Times New Roman"/>
                <w:sz w:val="28"/>
                <w:szCs w:val="28"/>
              </w:rPr>
            </w:pPr>
            <w:r w:rsidRPr="00F6018D">
              <w:rPr>
                <w:rFonts w:ascii="Times New Roman" w:hAnsi="Times New Roman" w:cs="Times New Roman"/>
                <w:sz w:val="28"/>
                <w:szCs w:val="28"/>
                <w:lang w:val="ro-MO"/>
              </w:rPr>
              <w:t xml:space="preserve">Modul de numire a Avocatului Poporului pentru drepturile antreprenorilor va fi similar cu cel de numire a Avocatului Poporului și Avocatului Poporului pentru drepturile copilului, reglementat </w:t>
            </w:r>
            <w:r w:rsidRPr="00D044A3">
              <w:rPr>
                <w:rFonts w:ascii="Times New Roman" w:hAnsi="Times New Roman" w:cs="Times New Roman"/>
                <w:sz w:val="28"/>
                <w:szCs w:val="28"/>
                <w:lang w:val="ro-MO"/>
              </w:rPr>
              <w:t xml:space="preserve">de </w:t>
            </w:r>
            <w:hyperlink r:id="rId8" w:history="1">
              <w:r w:rsidRPr="00D044A3">
                <w:rPr>
                  <w:rStyle w:val="Hyperlink"/>
                  <w:rFonts w:ascii="Times New Roman" w:hAnsi="Times New Roman" w:cs="Times New Roman"/>
                  <w:color w:val="auto"/>
                  <w:sz w:val="28"/>
                  <w:szCs w:val="28"/>
                  <w:u w:val="none"/>
                  <w:lang w:val="ro-MO"/>
                </w:rPr>
                <w:t>Legea nr.52/2014</w:t>
              </w:r>
            </w:hyperlink>
            <w:r w:rsidRPr="00F6018D">
              <w:rPr>
                <w:rFonts w:ascii="Times New Roman" w:hAnsi="Times New Roman" w:cs="Times New Roman"/>
                <w:sz w:val="28"/>
                <w:szCs w:val="28"/>
                <w:lang w:val="ro-MO"/>
              </w:rPr>
              <w:t xml:space="preserve"> cu privire la Avocatul Poporului (Ombudsmanul). </w:t>
            </w:r>
          </w:p>
          <w:p w14:paraId="6F4E28DB" w14:textId="77777777" w:rsidR="00F6018D" w:rsidRPr="00F6018D" w:rsidRDefault="00F6018D" w:rsidP="00211653">
            <w:pPr>
              <w:spacing w:after="0" w:line="240" w:lineRule="auto"/>
              <w:ind w:firstLine="432"/>
              <w:jc w:val="both"/>
              <w:rPr>
                <w:rFonts w:ascii="Times New Roman" w:hAnsi="Times New Roman" w:cs="Times New Roman"/>
                <w:sz w:val="28"/>
                <w:szCs w:val="28"/>
                <w:lang w:val="ro-MO"/>
              </w:rPr>
            </w:pPr>
            <w:r w:rsidRPr="00F6018D">
              <w:rPr>
                <w:rFonts w:ascii="Times New Roman" w:hAnsi="Times New Roman" w:cs="Times New Roman"/>
                <w:sz w:val="28"/>
                <w:szCs w:val="28"/>
                <w:lang w:val="ro-MO"/>
              </w:rPr>
              <w:t xml:space="preserve">Concomitent, în componența Comisiei parlamentare speciale ce va derula concursul în acest scop, se propune prezența reprezentanților Comisiei economie, buget și finanțe. </w:t>
            </w:r>
          </w:p>
          <w:p w14:paraId="24824934" w14:textId="77777777" w:rsidR="00F6018D" w:rsidRPr="00F6018D" w:rsidRDefault="00F6018D" w:rsidP="00211653">
            <w:pPr>
              <w:spacing w:after="0" w:line="240" w:lineRule="auto"/>
              <w:ind w:firstLine="432"/>
              <w:jc w:val="both"/>
              <w:rPr>
                <w:rFonts w:ascii="Times New Roman" w:hAnsi="Times New Roman" w:cs="Times New Roman"/>
                <w:sz w:val="28"/>
                <w:szCs w:val="28"/>
                <w:lang w:val="ro-MO"/>
              </w:rPr>
            </w:pPr>
            <w:r w:rsidRPr="00F6018D">
              <w:rPr>
                <w:rFonts w:ascii="Times New Roman" w:hAnsi="Times New Roman" w:cs="Times New Roman"/>
                <w:sz w:val="28"/>
                <w:szCs w:val="28"/>
                <w:lang w:val="ro-MO"/>
              </w:rPr>
              <w:t>De asemenea, proiectul de lege prevede atribuțiile Avocatului Poporului pentru drepturile antreprenorilor.</w:t>
            </w:r>
          </w:p>
          <w:p w14:paraId="353F1C18" w14:textId="77777777" w:rsidR="00F6018D" w:rsidRPr="00F6018D" w:rsidRDefault="00F6018D" w:rsidP="00211653">
            <w:pPr>
              <w:spacing w:after="0" w:line="240" w:lineRule="auto"/>
              <w:ind w:firstLine="432"/>
              <w:jc w:val="both"/>
              <w:rPr>
                <w:rFonts w:ascii="Times New Roman" w:hAnsi="Times New Roman" w:cs="Times New Roman"/>
                <w:sz w:val="28"/>
                <w:szCs w:val="28"/>
                <w:lang w:val="ro-MO"/>
              </w:rPr>
            </w:pPr>
            <w:r w:rsidRPr="00F6018D">
              <w:rPr>
                <w:rFonts w:ascii="Times New Roman" w:hAnsi="Times New Roman" w:cs="Times New Roman"/>
                <w:sz w:val="28"/>
                <w:szCs w:val="28"/>
                <w:lang w:val="ro-MO"/>
              </w:rPr>
              <w:t>Proiectul propune modificarea a mai multor acte normative care reglementează anumite aspecte conexe activității Avocatului Poporului pentru drepturile antreprenorilor (salarizarea acestuia, statutul de demnitar public, dreptul de a sesiza Curtea Constituțională, drepturile procesuale civile și penale, dreptul de a prezenta propuneri de amendare a cadrului normativ etc.)</w:t>
            </w:r>
          </w:p>
          <w:p w14:paraId="51259424" w14:textId="77777777" w:rsidR="00F6018D" w:rsidRPr="00F6018D" w:rsidRDefault="00F6018D" w:rsidP="00211653">
            <w:pPr>
              <w:spacing w:after="0" w:line="240" w:lineRule="auto"/>
              <w:ind w:firstLine="432"/>
              <w:jc w:val="both"/>
              <w:rPr>
                <w:rFonts w:ascii="Times New Roman" w:hAnsi="Times New Roman" w:cs="Times New Roman"/>
                <w:sz w:val="28"/>
                <w:szCs w:val="28"/>
                <w:lang w:val="ro-MO"/>
              </w:rPr>
            </w:pPr>
            <w:r w:rsidRPr="00F6018D">
              <w:rPr>
                <w:rFonts w:ascii="Times New Roman" w:hAnsi="Times New Roman" w:cs="Times New Roman"/>
                <w:sz w:val="28"/>
                <w:szCs w:val="28"/>
                <w:lang w:val="ro-MO"/>
              </w:rPr>
              <w:t xml:space="preserve">Instituirea unei noi funcții de Avocat al Poporului pentru drepturile antreprenorilor este menită să asiste agenții economici în contracararea abuzurilor comise, în special, de autorități și instituții publice, și eliminarea carențelor din cadrul normativ. Această asistență în cel mai direct mod va duce la scăderea cheltuielilor existente pentru desfășurarea afacerii și, corespunzător, creșterea veniturilor. </w:t>
            </w:r>
          </w:p>
          <w:p w14:paraId="29B11799" w14:textId="77777777" w:rsidR="00F6018D" w:rsidRPr="00F6018D" w:rsidRDefault="00F6018D" w:rsidP="00211653">
            <w:pPr>
              <w:spacing w:after="0" w:line="240" w:lineRule="auto"/>
              <w:ind w:firstLine="572"/>
              <w:jc w:val="both"/>
              <w:rPr>
                <w:rFonts w:ascii="Times New Roman" w:hAnsi="Times New Roman" w:cs="Times New Roman"/>
                <w:bCs/>
                <w:sz w:val="28"/>
                <w:szCs w:val="28"/>
                <w:lang w:val="ro-MO"/>
              </w:rPr>
            </w:pPr>
          </w:p>
        </w:tc>
      </w:tr>
      <w:tr w:rsidR="00F6018D" w:rsidRPr="00F6018D" w14:paraId="6AE15A27" w14:textId="77777777" w:rsidTr="001C51FE">
        <w:tc>
          <w:tcPr>
            <w:tcW w:w="10142" w:type="dxa"/>
            <w:tcBorders>
              <w:top w:val="single" w:sz="4" w:space="0" w:color="666666"/>
              <w:left w:val="single" w:sz="4" w:space="0" w:color="666666"/>
              <w:bottom w:val="single" w:sz="4" w:space="0" w:color="666666"/>
              <w:right w:val="single" w:sz="4" w:space="0" w:color="666666"/>
            </w:tcBorders>
            <w:shd w:val="clear" w:color="auto" w:fill="ACB9CA"/>
            <w:tcMar>
              <w:top w:w="0" w:type="dxa"/>
              <w:left w:w="108" w:type="dxa"/>
              <w:bottom w:w="0" w:type="dxa"/>
              <w:right w:w="108" w:type="dxa"/>
            </w:tcMar>
          </w:tcPr>
          <w:p w14:paraId="69368035" w14:textId="77777777" w:rsidR="00F6018D" w:rsidRPr="00F6018D" w:rsidRDefault="00F6018D" w:rsidP="00F6018D">
            <w:pPr>
              <w:spacing w:after="0" w:line="276" w:lineRule="auto"/>
              <w:ind w:firstLine="567"/>
              <w:rPr>
                <w:rFonts w:ascii="Times New Roman" w:hAnsi="Times New Roman" w:cs="Times New Roman"/>
                <w:sz w:val="28"/>
                <w:szCs w:val="28"/>
              </w:rPr>
            </w:pPr>
            <w:r w:rsidRPr="00F6018D">
              <w:rPr>
                <w:rFonts w:ascii="Times New Roman" w:hAnsi="Times New Roman" w:cs="Times New Roman"/>
                <w:b/>
                <w:bCs/>
                <w:color w:val="000000"/>
                <w:sz w:val="28"/>
                <w:szCs w:val="28"/>
                <w:lang w:val="ro-MO"/>
              </w:rPr>
              <w:lastRenderedPageBreak/>
              <w:t>V. Fundamentarea economico-financiară</w:t>
            </w:r>
          </w:p>
        </w:tc>
      </w:tr>
      <w:tr w:rsidR="00F6018D" w:rsidRPr="00F6018D" w14:paraId="5908C859" w14:textId="77777777" w:rsidTr="001C51FE">
        <w:tc>
          <w:tcPr>
            <w:tcW w:w="10142"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tcPr>
          <w:p w14:paraId="624C6F65" w14:textId="77777777" w:rsidR="00F6018D" w:rsidRPr="00F6018D" w:rsidRDefault="00F6018D" w:rsidP="00211653">
            <w:pPr>
              <w:spacing w:after="0" w:line="240" w:lineRule="auto"/>
              <w:ind w:firstLine="572"/>
              <w:jc w:val="both"/>
              <w:rPr>
                <w:rFonts w:ascii="Times New Roman" w:hAnsi="Times New Roman" w:cs="Times New Roman"/>
                <w:sz w:val="28"/>
                <w:szCs w:val="28"/>
              </w:rPr>
            </w:pPr>
            <w:r w:rsidRPr="00F6018D">
              <w:rPr>
                <w:rFonts w:ascii="Times New Roman" w:hAnsi="Times New Roman" w:cs="Times New Roman"/>
                <w:sz w:val="28"/>
                <w:szCs w:val="28"/>
                <w:lang w:val="ro-MO" w:eastAsia="ru-RU"/>
              </w:rPr>
              <w:t xml:space="preserve">Implementarea proiectului de lege va genera cheltuieli suplimentare la bugetul de stat, deoarece se propune majorarea efectivului limită al Oficiului Avocatului Poporului cu 11 unități, aceste unități vor asista </w:t>
            </w:r>
            <w:r w:rsidRPr="00F6018D">
              <w:rPr>
                <w:rFonts w:ascii="Times New Roman" w:hAnsi="Times New Roman" w:cs="Times New Roman"/>
                <w:sz w:val="28"/>
                <w:szCs w:val="28"/>
                <w:lang w:val="ro-MO"/>
              </w:rPr>
              <w:t xml:space="preserve">Avocatul Poporului pentru drepturile antreprenorilor. </w:t>
            </w:r>
          </w:p>
          <w:p w14:paraId="295A5ED1" w14:textId="77777777" w:rsidR="00F6018D" w:rsidRPr="00F6018D" w:rsidRDefault="00F6018D" w:rsidP="00211653">
            <w:pPr>
              <w:spacing w:after="0" w:line="240" w:lineRule="auto"/>
              <w:ind w:firstLine="572"/>
              <w:jc w:val="both"/>
              <w:rPr>
                <w:rFonts w:ascii="Times New Roman" w:hAnsi="Times New Roman" w:cs="Times New Roman"/>
                <w:sz w:val="28"/>
                <w:szCs w:val="28"/>
                <w:lang w:val="ro-MO" w:eastAsia="ru-RU"/>
              </w:rPr>
            </w:pPr>
            <w:r w:rsidRPr="00F6018D">
              <w:rPr>
                <w:rFonts w:ascii="Times New Roman" w:hAnsi="Times New Roman" w:cs="Times New Roman"/>
                <w:sz w:val="28"/>
                <w:szCs w:val="28"/>
                <w:lang w:val="ro-MO" w:eastAsia="ru-RU"/>
              </w:rPr>
              <w:t>Calculul privind cheltuielile operaționale respective sunt expuse în Analiza de impact.</w:t>
            </w:r>
          </w:p>
          <w:p w14:paraId="0AF44BB3" w14:textId="77777777" w:rsidR="00F6018D" w:rsidRPr="00F6018D" w:rsidRDefault="00F6018D" w:rsidP="00211653">
            <w:pPr>
              <w:spacing w:after="0" w:line="240" w:lineRule="auto"/>
              <w:ind w:firstLine="572"/>
              <w:rPr>
                <w:rFonts w:ascii="Times New Roman" w:hAnsi="Times New Roman" w:cs="Times New Roman"/>
                <w:sz w:val="28"/>
                <w:szCs w:val="28"/>
                <w:lang w:val="ro-MO" w:eastAsia="ru-RU"/>
              </w:rPr>
            </w:pPr>
          </w:p>
        </w:tc>
      </w:tr>
      <w:tr w:rsidR="00F6018D" w:rsidRPr="00F6018D" w14:paraId="763A9400" w14:textId="77777777" w:rsidTr="001C51FE">
        <w:tc>
          <w:tcPr>
            <w:tcW w:w="10142" w:type="dxa"/>
            <w:tcBorders>
              <w:top w:val="single" w:sz="4" w:space="0" w:color="666666"/>
              <w:left w:val="single" w:sz="4" w:space="0" w:color="666666"/>
              <w:bottom w:val="single" w:sz="4" w:space="0" w:color="666666"/>
              <w:right w:val="single" w:sz="4" w:space="0" w:color="666666"/>
            </w:tcBorders>
            <w:shd w:val="clear" w:color="auto" w:fill="ACB9CA"/>
            <w:tcMar>
              <w:top w:w="0" w:type="dxa"/>
              <w:left w:w="108" w:type="dxa"/>
              <w:bottom w:w="0" w:type="dxa"/>
              <w:right w:w="108" w:type="dxa"/>
            </w:tcMar>
          </w:tcPr>
          <w:p w14:paraId="40FAF29F" w14:textId="77777777" w:rsidR="00F6018D" w:rsidRPr="00F6018D" w:rsidRDefault="00F6018D" w:rsidP="00F6018D">
            <w:pPr>
              <w:spacing w:after="0" w:line="276" w:lineRule="auto"/>
              <w:ind w:firstLine="567"/>
              <w:rPr>
                <w:rFonts w:ascii="Times New Roman" w:hAnsi="Times New Roman" w:cs="Times New Roman"/>
                <w:b/>
                <w:bCs/>
                <w:color w:val="000000"/>
                <w:sz w:val="28"/>
                <w:szCs w:val="28"/>
                <w:lang w:val="ro-MO" w:eastAsia="ru-RU"/>
              </w:rPr>
            </w:pPr>
            <w:r w:rsidRPr="00F6018D">
              <w:rPr>
                <w:rFonts w:ascii="Times New Roman" w:hAnsi="Times New Roman" w:cs="Times New Roman"/>
                <w:b/>
                <w:bCs/>
                <w:color w:val="000000"/>
                <w:sz w:val="28"/>
                <w:szCs w:val="28"/>
                <w:lang w:val="ro-MO" w:eastAsia="ru-RU"/>
              </w:rPr>
              <w:t>VI. Modul de încorporare a actului în cadrul normativ în vigoare</w:t>
            </w:r>
          </w:p>
        </w:tc>
      </w:tr>
      <w:tr w:rsidR="00F6018D" w:rsidRPr="00F6018D" w14:paraId="796177DF" w14:textId="77777777" w:rsidTr="001C51FE">
        <w:tc>
          <w:tcPr>
            <w:tcW w:w="10142"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tcPr>
          <w:p w14:paraId="404CC6D3" w14:textId="77777777" w:rsidR="00F6018D" w:rsidRPr="00F6018D" w:rsidRDefault="00F6018D" w:rsidP="00211653">
            <w:pPr>
              <w:spacing w:after="0" w:line="240" w:lineRule="auto"/>
              <w:ind w:firstLine="432"/>
              <w:jc w:val="both"/>
              <w:rPr>
                <w:rFonts w:ascii="Times New Roman" w:hAnsi="Times New Roman" w:cs="Times New Roman"/>
                <w:sz w:val="28"/>
                <w:szCs w:val="28"/>
              </w:rPr>
            </w:pPr>
            <w:r w:rsidRPr="00F6018D">
              <w:rPr>
                <w:rFonts w:ascii="Times New Roman" w:hAnsi="Times New Roman" w:cs="Times New Roman"/>
                <w:bCs/>
                <w:sz w:val="28"/>
                <w:szCs w:val="28"/>
                <w:lang w:val="ro-MO"/>
              </w:rPr>
              <w:t xml:space="preserve">Proiectul de lege prevede </w:t>
            </w:r>
            <w:r w:rsidRPr="00F6018D">
              <w:rPr>
                <w:rFonts w:ascii="Times New Roman" w:hAnsi="Times New Roman" w:cs="Times New Roman"/>
                <w:sz w:val="28"/>
                <w:szCs w:val="28"/>
                <w:lang w:val="ro-MO"/>
              </w:rPr>
              <w:t xml:space="preserve">instituirea funcției de demnitate publică - Avocatul Poporului pentru drepturile antreprenorilor, precum și modifică în mod corespunzător, mai multe acte normative care reglementează anumite aspecte conexe activității acestuia. </w:t>
            </w:r>
          </w:p>
          <w:p w14:paraId="5C746C09" w14:textId="77777777" w:rsidR="00F6018D" w:rsidRPr="00F6018D" w:rsidRDefault="00F6018D" w:rsidP="00211653">
            <w:pPr>
              <w:spacing w:after="0" w:line="240" w:lineRule="auto"/>
              <w:rPr>
                <w:rFonts w:ascii="Times New Roman" w:hAnsi="Times New Roman" w:cs="Times New Roman"/>
                <w:bCs/>
                <w:color w:val="000000"/>
                <w:sz w:val="28"/>
                <w:szCs w:val="28"/>
                <w:lang w:val="ro-MO"/>
              </w:rPr>
            </w:pPr>
          </w:p>
        </w:tc>
      </w:tr>
      <w:tr w:rsidR="00F6018D" w:rsidRPr="00F6018D" w14:paraId="6A6EDB23" w14:textId="77777777" w:rsidTr="001C51FE">
        <w:tc>
          <w:tcPr>
            <w:tcW w:w="10142" w:type="dxa"/>
            <w:tcBorders>
              <w:top w:val="single" w:sz="4" w:space="0" w:color="666666"/>
              <w:left w:val="single" w:sz="4" w:space="0" w:color="666666"/>
              <w:bottom w:val="single" w:sz="4" w:space="0" w:color="666666"/>
              <w:right w:val="single" w:sz="4" w:space="0" w:color="666666"/>
            </w:tcBorders>
            <w:shd w:val="clear" w:color="auto" w:fill="ACB9CA"/>
            <w:tcMar>
              <w:top w:w="0" w:type="dxa"/>
              <w:left w:w="108" w:type="dxa"/>
              <w:bottom w:w="0" w:type="dxa"/>
              <w:right w:w="108" w:type="dxa"/>
            </w:tcMar>
          </w:tcPr>
          <w:p w14:paraId="2B40A7B7" w14:textId="77777777" w:rsidR="00F6018D" w:rsidRPr="00F6018D" w:rsidRDefault="00F6018D" w:rsidP="00F6018D">
            <w:pPr>
              <w:spacing w:after="0" w:line="276" w:lineRule="auto"/>
              <w:ind w:firstLine="567"/>
              <w:rPr>
                <w:rFonts w:ascii="Times New Roman" w:hAnsi="Times New Roman" w:cs="Times New Roman"/>
                <w:b/>
                <w:bCs/>
                <w:color w:val="000000"/>
                <w:sz w:val="28"/>
                <w:szCs w:val="28"/>
                <w:lang w:val="ro-MO"/>
              </w:rPr>
            </w:pPr>
            <w:r w:rsidRPr="00F6018D">
              <w:rPr>
                <w:rFonts w:ascii="Times New Roman" w:hAnsi="Times New Roman" w:cs="Times New Roman"/>
                <w:b/>
                <w:bCs/>
                <w:color w:val="000000"/>
                <w:sz w:val="28"/>
                <w:szCs w:val="28"/>
                <w:lang w:val="ro-MO"/>
              </w:rPr>
              <w:t>VII. Avizarea și consultarea publică a proiectului</w:t>
            </w:r>
          </w:p>
        </w:tc>
      </w:tr>
      <w:tr w:rsidR="00F6018D" w:rsidRPr="00F6018D" w14:paraId="05394630" w14:textId="77777777" w:rsidTr="001C51FE">
        <w:tc>
          <w:tcPr>
            <w:tcW w:w="10142"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tcPr>
          <w:p w14:paraId="39D9CEBE" w14:textId="77777777" w:rsidR="00F6018D" w:rsidRPr="00F6018D" w:rsidRDefault="00F6018D" w:rsidP="00211653">
            <w:pPr>
              <w:spacing w:after="0" w:line="240" w:lineRule="auto"/>
              <w:ind w:firstLine="567"/>
              <w:jc w:val="both"/>
              <w:rPr>
                <w:rFonts w:ascii="Times New Roman" w:hAnsi="Times New Roman" w:cs="Times New Roman"/>
                <w:sz w:val="28"/>
                <w:szCs w:val="28"/>
              </w:rPr>
            </w:pPr>
            <w:r w:rsidRPr="00F6018D">
              <w:rPr>
                <w:rFonts w:ascii="Times New Roman" w:hAnsi="Times New Roman" w:cs="Times New Roman"/>
                <w:bCs/>
                <w:color w:val="000000"/>
                <w:sz w:val="28"/>
                <w:szCs w:val="28"/>
                <w:lang w:val="ro-MO" w:eastAsia="ru-RU"/>
              </w:rPr>
              <w:t xml:space="preserve">În conformitate cu procedurile stabilite pentru transparența în procesul decizional şi în vederea elaborării actelor normative, proiectul de lege, nota informativă şi analiza de impact asupra proiectului de lege, urmare anunțării în cadrul şedinţei secretarilor generali de stat au fost plasate pentru </w:t>
            </w:r>
            <w:r w:rsidRPr="00F6018D">
              <w:rPr>
                <w:rFonts w:ascii="Times New Roman" w:hAnsi="Times New Roman" w:cs="Times New Roman"/>
                <w:sz w:val="28"/>
                <w:szCs w:val="28"/>
                <w:lang w:val="ro-MO"/>
              </w:rPr>
              <w:t xml:space="preserve"> avizare/expertizare și consultare publică,</w:t>
            </w:r>
            <w:r w:rsidRPr="00F6018D">
              <w:rPr>
                <w:rFonts w:ascii="Times New Roman" w:hAnsi="Times New Roman" w:cs="Times New Roman"/>
                <w:bCs/>
                <w:color w:val="000000"/>
                <w:sz w:val="28"/>
                <w:szCs w:val="28"/>
                <w:lang w:val="ro-MO" w:eastAsia="ru-RU"/>
              </w:rPr>
              <w:t xml:space="preserve"> pe </w:t>
            </w:r>
            <w:r w:rsidRPr="00F6018D">
              <w:rPr>
                <w:rFonts w:ascii="Times New Roman" w:hAnsi="Times New Roman" w:cs="Times New Roman"/>
                <w:bCs/>
                <w:color w:val="000000"/>
                <w:sz w:val="28"/>
                <w:szCs w:val="28"/>
                <w:lang w:val="ro-MO" w:eastAsia="ru-RU"/>
              </w:rPr>
              <w:lastRenderedPageBreak/>
              <w:t xml:space="preserve">pagina web oficială a Ministerului Economiei şi Infrastructurii </w:t>
            </w:r>
            <w:r w:rsidRPr="00F6018D">
              <w:rPr>
                <w:rFonts w:ascii="Times New Roman" w:hAnsi="Times New Roman" w:cs="Times New Roman"/>
                <w:i/>
                <w:sz w:val="28"/>
                <w:szCs w:val="28"/>
                <w:lang w:val="ro-MO"/>
              </w:rPr>
              <w:t>(</w:t>
            </w:r>
            <w:hyperlink r:id="rId9" w:history="1">
              <w:r w:rsidRPr="00F6018D">
                <w:rPr>
                  <w:rStyle w:val="Hyperlink"/>
                  <w:rFonts w:ascii="Times New Roman" w:hAnsi="Times New Roman" w:cs="Times New Roman"/>
                  <w:i/>
                  <w:sz w:val="28"/>
                  <w:szCs w:val="28"/>
                  <w:lang w:val="ro-MO"/>
                </w:rPr>
                <w:t>www.mei.gov.md</w:t>
              </w:r>
            </w:hyperlink>
            <w:r w:rsidRPr="00F6018D">
              <w:rPr>
                <w:rStyle w:val="Hyperlink"/>
                <w:rFonts w:ascii="Times New Roman" w:hAnsi="Times New Roman" w:cs="Times New Roman"/>
                <w:i/>
                <w:sz w:val="28"/>
                <w:szCs w:val="28"/>
                <w:lang w:val="ro-MO"/>
              </w:rPr>
              <w:t>)</w:t>
            </w:r>
            <w:r w:rsidRPr="00F6018D">
              <w:rPr>
                <w:rFonts w:ascii="Times New Roman" w:hAnsi="Times New Roman" w:cs="Times New Roman"/>
                <w:bCs/>
                <w:sz w:val="28"/>
                <w:szCs w:val="28"/>
                <w:lang w:val="ro-MO" w:eastAsia="ru-RU"/>
              </w:rPr>
              <w:t xml:space="preserve">, </w:t>
            </w:r>
            <w:r w:rsidRPr="00F6018D">
              <w:rPr>
                <w:rFonts w:ascii="Times New Roman" w:hAnsi="Times New Roman" w:cs="Times New Roman"/>
                <w:sz w:val="28"/>
                <w:szCs w:val="28"/>
                <w:lang w:val="ro-MO"/>
              </w:rPr>
              <w:t>rubrica Transparența/Anunțuri privind consultările publice, precum şi pe pagina web a Cancelariei de Stat (</w:t>
            </w:r>
            <w:hyperlink r:id="rId10" w:history="1">
              <w:r w:rsidRPr="00F6018D">
                <w:rPr>
                  <w:rStyle w:val="Hyperlink"/>
                  <w:rFonts w:ascii="Times New Roman" w:hAnsi="Times New Roman" w:cs="Times New Roman"/>
                  <w:i/>
                  <w:sz w:val="28"/>
                  <w:szCs w:val="28"/>
                  <w:lang w:val="ro-MO"/>
                </w:rPr>
                <w:t>www.particip.gov.md</w:t>
              </w:r>
            </w:hyperlink>
            <w:r w:rsidRPr="00F6018D">
              <w:rPr>
                <w:rFonts w:ascii="Times New Roman" w:hAnsi="Times New Roman" w:cs="Times New Roman"/>
                <w:sz w:val="28"/>
                <w:szCs w:val="28"/>
                <w:lang w:val="ro-MO"/>
              </w:rPr>
              <w:t>).</w:t>
            </w:r>
          </w:p>
          <w:p w14:paraId="73DD209E" w14:textId="77777777" w:rsidR="00F6018D" w:rsidRPr="00F6018D" w:rsidRDefault="00F6018D" w:rsidP="00211653">
            <w:pPr>
              <w:spacing w:after="0" w:line="240" w:lineRule="auto"/>
              <w:ind w:firstLine="567"/>
              <w:rPr>
                <w:rFonts w:ascii="Times New Roman" w:hAnsi="Times New Roman" w:cs="Times New Roman"/>
                <w:sz w:val="28"/>
                <w:szCs w:val="28"/>
                <w:lang w:val="ro-MO"/>
              </w:rPr>
            </w:pPr>
          </w:p>
        </w:tc>
      </w:tr>
      <w:tr w:rsidR="00F6018D" w:rsidRPr="00F6018D" w14:paraId="00C8399E" w14:textId="77777777" w:rsidTr="001C51FE">
        <w:tc>
          <w:tcPr>
            <w:tcW w:w="10142" w:type="dxa"/>
            <w:tcBorders>
              <w:top w:val="single" w:sz="4" w:space="0" w:color="666666"/>
              <w:left w:val="single" w:sz="4" w:space="0" w:color="666666"/>
              <w:bottom w:val="single" w:sz="4" w:space="0" w:color="666666"/>
              <w:right w:val="single" w:sz="4" w:space="0" w:color="666666"/>
            </w:tcBorders>
            <w:shd w:val="clear" w:color="auto" w:fill="ACB9CA"/>
            <w:tcMar>
              <w:top w:w="0" w:type="dxa"/>
              <w:left w:w="108" w:type="dxa"/>
              <w:bottom w:w="0" w:type="dxa"/>
              <w:right w:w="108" w:type="dxa"/>
            </w:tcMar>
          </w:tcPr>
          <w:p w14:paraId="01464B6D" w14:textId="77777777" w:rsidR="00F6018D" w:rsidRPr="00F6018D" w:rsidRDefault="00F6018D" w:rsidP="00D044A3">
            <w:pPr>
              <w:spacing w:after="0" w:line="276" w:lineRule="auto"/>
              <w:ind w:firstLine="567"/>
              <w:jc w:val="both"/>
              <w:rPr>
                <w:rFonts w:ascii="Times New Roman" w:hAnsi="Times New Roman" w:cs="Times New Roman"/>
                <w:sz w:val="28"/>
                <w:szCs w:val="28"/>
              </w:rPr>
            </w:pPr>
            <w:r w:rsidRPr="00F6018D">
              <w:rPr>
                <w:rFonts w:ascii="Times New Roman" w:hAnsi="Times New Roman" w:cs="Times New Roman"/>
                <w:b/>
                <w:bCs/>
                <w:color w:val="000000"/>
                <w:sz w:val="28"/>
                <w:szCs w:val="28"/>
                <w:lang w:val="ro-MO"/>
              </w:rPr>
              <w:lastRenderedPageBreak/>
              <w:t>VIII. Constatările expertizei anticorupție</w:t>
            </w:r>
          </w:p>
        </w:tc>
      </w:tr>
      <w:tr w:rsidR="00F6018D" w:rsidRPr="00F6018D" w14:paraId="233F29FC" w14:textId="77777777" w:rsidTr="001C51FE">
        <w:trPr>
          <w:trHeight w:val="384"/>
        </w:trPr>
        <w:tc>
          <w:tcPr>
            <w:tcW w:w="10142"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tcPr>
          <w:p w14:paraId="1C570B8A" w14:textId="77777777" w:rsidR="00F6018D" w:rsidRPr="00F6018D" w:rsidRDefault="00F6018D" w:rsidP="00211653">
            <w:pPr>
              <w:tabs>
                <w:tab w:val="left" w:pos="317"/>
              </w:tabs>
              <w:spacing w:after="0" w:line="240" w:lineRule="auto"/>
              <w:ind w:firstLine="567"/>
              <w:jc w:val="both"/>
              <w:rPr>
                <w:rFonts w:ascii="Times New Roman" w:hAnsi="Times New Roman" w:cs="Times New Roman"/>
                <w:sz w:val="28"/>
                <w:szCs w:val="28"/>
                <w:lang w:val="ro-MO" w:eastAsia="ro-RO"/>
              </w:rPr>
            </w:pPr>
            <w:r w:rsidRPr="00F6018D">
              <w:rPr>
                <w:rFonts w:ascii="Times New Roman" w:hAnsi="Times New Roman" w:cs="Times New Roman"/>
                <w:sz w:val="28"/>
                <w:szCs w:val="28"/>
                <w:lang w:val="ro-MO" w:eastAsia="ro-RO"/>
              </w:rPr>
              <w:t>Informaţia privind rezultatele expertizei anticorupţie va fi inclusă după recepţionarea raportului de expertiză anticorupţie.</w:t>
            </w:r>
          </w:p>
          <w:p w14:paraId="52626164" w14:textId="77777777" w:rsidR="00F6018D" w:rsidRPr="00F6018D" w:rsidRDefault="00F6018D" w:rsidP="00211653">
            <w:pPr>
              <w:tabs>
                <w:tab w:val="left" w:pos="317"/>
              </w:tabs>
              <w:spacing w:after="0" w:line="240" w:lineRule="auto"/>
              <w:ind w:firstLine="567"/>
              <w:jc w:val="both"/>
              <w:rPr>
                <w:rFonts w:ascii="Times New Roman" w:hAnsi="Times New Roman" w:cs="Times New Roman"/>
                <w:bCs/>
                <w:color w:val="000000"/>
                <w:sz w:val="28"/>
                <w:szCs w:val="28"/>
                <w:lang w:val="ro-MO"/>
              </w:rPr>
            </w:pPr>
            <w:r w:rsidRPr="00F6018D">
              <w:rPr>
                <w:rFonts w:ascii="Times New Roman" w:hAnsi="Times New Roman" w:cs="Times New Roman"/>
                <w:bCs/>
                <w:color w:val="000000"/>
                <w:sz w:val="28"/>
                <w:szCs w:val="28"/>
                <w:lang w:val="ro-MO"/>
              </w:rPr>
              <w:t xml:space="preserve"> </w:t>
            </w:r>
          </w:p>
        </w:tc>
      </w:tr>
      <w:tr w:rsidR="00F6018D" w:rsidRPr="00F6018D" w14:paraId="6258BC47" w14:textId="77777777" w:rsidTr="001C51FE">
        <w:trPr>
          <w:trHeight w:val="384"/>
        </w:trPr>
        <w:tc>
          <w:tcPr>
            <w:tcW w:w="10142" w:type="dxa"/>
            <w:tcBorders>
              <w:top w:val="single" w:sz="4" w:space="0" w:color="666666"/>
              <w:left w:val="single" w:sz="4" w:space="0" w:color="666666"/>
              <w:bottom w:val="single" w:sz="4" w:space="0" w:color="666666"/>
              <w:right w:val="single" w:sz="4" w:space="0" w:color="666666"/>
            </w:tcBorders>
            <w:shd w:val="clear" w:color="auto" w:fill="ACB9CA"/>
            <w:tcMar>
              <w:top w:w="0" w:type="dxa"/>
              <w:left w:w="108" w:type="dxa"/>
              <w:bottom w:w="0" w:type="dxa"/>
              <w:right w:w="108" w:type="dxa"/>
            </w:tcMar>
          </w:tcPr>
          <w:p w14:paraId="493A72F3" w14:textId="77777777" w:rsidR="00F6018D" w:rsidRPr="00F6018D" w:rsidRDefault="00F6018D" w:rsidP="00F6018D">
            <w:pPr>
              <w:tabs>
                <w:tab w:val="left" w:pos="317"/>
              </w:tabs>
              <w:spacing w:after="0" w:line="276" w:lineRule="auto"/>
              <w:ind w:firstLine="567"/>
              <w:rPr>
                <w:rFonts w:ascii="Times New Roman" w:hAnsi="Times New Roman" w:cs="Times New Roman"/>
                <w:b/>
                <w:bCs/>
                <w:color w:val="000000"/>
                <w:sz w:val="28"/>
                <w:szCs w:val="28"/>
                <w:lang w:val="ro-MO"/>
              </w:rPr>
            </w:pPr>
            <w:r w:rsidRPr="00F6018D">
              <w:rPr>
                <w:rFonts w:ascii="Times New Roman" w:hAnsi="Times New Roman" w:cs="Times New Roman"/>
                <w:b/>
                <w:bCs/>
                <w:color w:val="000000"/>
                <w:sz w:val="28"/>
                <w:szCs w:val="28"/>
                <w:lang w:val="ro-MO"/>
              </w:rPr>
              <w:t>IX. Constatările expertizei de compatibilitate</w:t>
            </w:r>
          </w:p>
        </w:tc>
      </w:tr>
      <w:tr w:rsidR="00F6018D" w:rsidRPr="00F6018D" w14:paraId="64014882" w14:textId="77777777" w:rsidTr="001C51FE">
        <w:trPr>
          <w:trHeight w:val="384"/>
        </w:trPr>
        <w:tc>
          <w:tcPr>
            <w:tcW w:w="10142"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tcPr>
          <w:p w14:paraId="013BCE22" w14:textId="77777777" w:rsidR="00F6018D" w:rsidRPr="00F6018D" w:rsidRDefault="00F6018D" w:rsidP="00211653">
            <w:pPr>
              <w:tabs>
                <w:tab w:val="left" w:pos="317"/>
              </w:tabs>
              <w:spacing w:after="0" w:line="240" w:lineRule="auto"/>
              <w:ind w:firstLine="567"/>
              <w:jc w:val="both"/>
              <w:rPr>
                <w:rFonts w:ascii="Times New Roman" w:hAnsi="Times New Roman" w:cs="Times New Roman"/>
                <w:bCs/>
                <w:color w:val="000000"/>
                <w:sz w:val="28"/>
                <w:szCs w:val="28"/>
                <w:lang w:val="ro-MO"/>
              </w:rPr>
            </w:pPr>
            <w:r w:rsidRPr="00F6018D">
              <w:rPr>
                <w:rFonts w:ascii="Times New Roman" w:hAnsi="Times New Roman" w:cs="Times New Roman"/>
                <w:bCs/>
                <w:color w:val="000000"/>
                <w:sz w:val="28"/>
                <w:szCs w:val="28"/>
                <w:lang w:val="ro-MO"/>
              </w:rPr>
              <w:t>Proiectul de lege nu conține norme privind armonizarea legislației naționale cu legislația Uniunii Europene.</w:t>
            </w:r>
          </w:p>
          <w:p w14:paraId="6E5F95C3" w14:textId="77777777" w:rsidR="00F6018D" w:rsidRPr="00F6018D" w:rsidRDefault="00F6018D" w:rsidP="00211653">
            <w:pPr>
              <w:tabs>
                <w:tab w:val="left" w:pos="317"/>
              </w:tabs>
              <w:spacing w:after="0" w:line="240" w:lineRule="auto"/>
              <w:ind w:firstLine="567"/>
              <w:rPr>
                <w:rFonts w:ascii="Times New Roman" w:hAnsi="Times New Roman" w:cs="Times New Roman"/>
                <w:bCs/>
                <w:color w:val="000000"/>
                <w:sz w:val="28"/>
                <w:szCs w:val="28"/>
                <w:lang w:val="ro-MO"/>
              </w:rPr>
            </w:pPr>
          </w:p>
        </w:tc>
      </w:tr>
      <w:tr w:rsidR="00F6018D" w:rsidRPr="00F6018D" w14:paraId="74EE604E" w14:textId="77777777" w:rsidTr="001C51FE">
        <w:trPr>
          <w:trHeight w:val="384"/>
        </w:trPr>
        <w:tc>
          <w:tcPr>
            <w:tcW w:w="10142" w:type="dxa"/>
            <w:tcBorders>
              <w:top w:val="single" w:sz="4" w:space="0" w:color="666666"/>
              <w:left w:val="single" w:sz="4" w:space="0" w:color="666666"/>
              <w:bottom w:val="single" w:sz="4" w:space="0" w:color="666666"/>
              <w:right w:val="single" w:sz="4" w:space="0" w:color="666666"/>
            </w:tcBorders>
            <w:shd w:val="clear" w:color="auto" w:fill="ACB9CA"/>
            <w:tcMar>
              <w:top w:w="0" w:type="dxa"/>
              <w:left w:w="108" w:type="dxa"/>
              <w:bottom w:w="0" w:type="dxa"/>
              <w:right w:w="108" w:type="dxa"/>
            </w:tcMar>
          </w:tcPr>
          <w:p w14:paraId="20479365" w14:textId="77777777" w:rsidR="00F6018D" w:rsidRPr="00F6018D" w:rsidRDefault="00F6018D" w:rsidP="00F6018D">
            <w:pPr>
              <w:tabs>
                <w:tab w:val="left" w:pos="317"/>
              </w:tabs>
              <w:spacing w:after="0" w:line="276" w:lineRule="auto"/>
              <w:ind w:firstLine="567"/>
              <w:rPr>
                <w:rFonts w:ascii="Times New Roman" w:hAnsi="Times New Roman" w:cs="Times New Roman"/>
                <w:b/>
                <w:bCs/>
                <w:color w:val="000000"/>
                <w:sz w:val="28"/>
                <w:szCs w:val="28"/>
                <w:lang w:val="ro-MO"/>
              </w:rPr>
            </w:pPr>
            <w:r w:rsidRPr="00F6018D">
              <w:rPr>
                <w:rFonts w:ascii="Times New Roman" w:hAnsi="Times New Roman" w:cs="Times New Roman"/>
                <w:b/>
                <w:bCs/>
                <w:color w:val="000000"/>
                <w:sz w:val="28"/>
                <w:szCs w:val="28"/>
                <w:lang w:val="ro-MO"/>
              </w:rPr>
              <w:t>X. Constatările expertizei juridice</w:t>
            </w:r>
          </w:p>
        </w:tc>
      </w:tr>
      <w:tr w:rsidR="00F6018D" w:rsidRPr="00F6018D" w14:paraId="37E0D47C" w14:textId="77777777" w:rsidTr="001C51FE">
        <w:trPr>
          <w:trHeight w:val="384"/>
        </w:trPr>
        <w:tc>
          <w:tcPr>
            <w:tcW w:w="10142"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tcPr>
          <w:p w14:paraId="77F18FA3" w14:textId="77777777" w:rsidR="00F6018D" w:rsidRPr="00F6018D" w:rsidRDefault="00F6018D" w:rsidP="00211653">
            <w:pPr>
              <w:spacing w:after="0" w:line="240" w:lineRule="auto"/>
              <w:ind w:firstLine="545"/>
              <w:jc w:val="both"/>
              <w:rPr>
                <w:rFonts w:ascii="Times New Roman" w:hAnsi="Times New Roman" w:cs="Times New Roman"/>
                <w:sz w:val="28"/>
                <w:szCs w:val="28"/>
                <w:lang w:val="ro-MO" w:eastAsia="ro-RO"/>
              </w:rPr>
            </w:pPr>
            <w:r w:rsidRPr="00F6018D">
              <w:rPr>
                <w:rFonts w:ascii="Times New Roman" w:hAnsi="Times New Roman" w:cs="Times New Roman"/>
                <w:sz w:val="28"/>
                <w:szCs w:val="28"/>
                <w:lang w:val="ro-MO" w:eastAsia="ro-RO"/>
              </w:rPr>
              <w:t>Informaţia referitoare la concluziile expertizei privind compatibilitatea proiectului cu alte acte normative în vigoare, precum şi respectarea normelor de tehnică legislativă va fi inclusă după recepţionarea avizului Ministerului Justiției.</w:t>
            </w:r>
          </w:p>
          <w:p w14:paraId="0920516F" w14:textId="77777777" w:rsidR="00F6018D" w:rsidRPr="00F6018D" w:rsidRDefault="00F6018D" w:rsidP="00211653">
            <w:pPr>
              <w:spacing w:after="0" w:line="240" w:lineRule="auto"/>
              <w:ind w:firstLine="545"/>
              <w:rPr>
                <w:rFonts w:ascii="Times New Roman" w:hAnsi="Times New Roman" w:cs="Times New Roman"/>
                <w:bCs/>
                <w:color w:val="000000"/>
                <w:sz w:val="28"/>
                <w:szCs w:val="28"/>
                <w:lang w:val="ro-MO"/>
              </w:rPr>
            </w:pPr>
          </w:p>
        </w:tc>
      </w:tr>
      <w:tr w:rsidR="00F6018D" w:rsidRPr="00F6018D" w14:paraId="25FB7707" w14:textId="77777777" w:rsidTr="001C51FE">
        <w:trPr>
          <w:trHeight w:val="384"/>
        </w:trPr>
        <w:tc>
          <w:tcPr>
            <w:tcW w:w="10142" w:type="dxa"/>
            <w:tcBorders>
              <w:top w:val="single" w:sz="4" w:space="0" w:color="666666"/>
              <w:left w:val="single" w:sz="4" w:space="0" w:color="666666"/>
              <w:bottom w:val="single" w:sz="4" w:space="0" w:color="666666"/>
              <w:right w:val="single" w:sz="4" w:space="0" w:color="666666"/>
            </w:tcBorders>
            <w:shd w:val="clear" w:color="auto" w:fill="ACB9CA"/>
            <w:tcMar>
              <w:top w:w="0" w:type="dxa"/>
              <w:left w:w="108" w:type="dxa"/>
              <w:bottom w:w="0" w:type="dxa"/>
              <w:right w:w="108" w:type="dxa"/>
            </w:tcMar>
          </w:tcPr>
          <w:p w14:paraId="474465A0" w14:textId="77777777" w:rsidR="00F6018D" w:rsidRPr="00F6018D" w:rsidRDefault="00F6018D" w:rsidP="00F6018D">
            <w:pPr>
              <w:tabs>
                <w:tab w:val="left" w:pos="317"/>
              </w:tabs>
              <w:spacing w:after="0" w:line="276" w:lineRule="auto"/>
              <w:ind w:firstLine="567"/>
              <w:rPr>
                <w:rFonts w:ascii="Times New Roman" w:hAnsi="Times New Roman" w:cs="Times New Roman"/>
                <w:b/>
                <w:bCs/>
                <w:color w:val="000000"/>
                <w:sz w:val="28"/>
                <w:szCs w:val="28"/>
                <w:lang w:val="ro-MO"/>
              </w:rPr>
            </w:pPr>
            <w:r w:rsidRPr="00F6018D">
              <w:rPr>
                <w:rFonts w:ascii="Times New Roman" w:hAnsi="Times New Roman" w:cs="Times New Roman"/>
                <w:b/>
                <w:bCs/>
                <w:color w:val="000000"/>
                <w:sz w:val="28"/>
                <w:szCs w:val="28"/>
                <w:lang w:val="ro-MO"/>
              </w:rPr>
              <w:t>XI. Constatările altor expertize</w:t>
            </w:r>
          </w:p>
        </w:tc>
      </w:tr>
      <w:tr w:rsidR="00F6018D" w:rsidRPr="00F6018D" w14:paraId="419A5E25" w14:textId="77777777" w:rsidTr="001C51FE">
        <w:trPr>
          <w:trHeight w:val="384"/>
        </w:trPr>
        <w:tc>
          <w:tcPr>
            <w:tcW w:w="10142"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tcPr>
          <w:p w14:paraId="3B122175" w14:textId="77777777" w:rsidR="00F6018D" w:rsidRPr="00F6018D" w:rsidRDefault="00F6018D" w:rsidP="00211653">
            <w:pPr>
              <w:tabs>
                <w:tab w:val="left" w:pos="5"/>
              </w:tabs>
              <w:spacing w:after="0" w:line="240" w:lineRule="auto"/>
              <w:ind w:firstLine="567"/>
              <w:jc w:val="both"/>
              <w:rPr>
                <w:rFonts w:ascii="Times New Roman" w:hAnsi="Times New Roman" w:cs="Times New Roman"/>
                <w:sz w:val="28"/>
                <w:szCs w:val="28"/>
              </w:rPr>
            </w:pPr>
            <w:r w:rsidRPr="00F6018D">
              <w:rPr>
                <w:rFonts w:ascii="Times New Roman" w:hAnsi="Times New Roman" w:cs="Times New Roman"/>
                <w:bCs/>
                <w:color w:val="000000"/>
                <w:sz w:val="28"/>
                <w:szCs w:val="28"/>
                <w:lang w:val="ro-MO"/>
              </w:rPr>
              <w:t>În conformitate prevederile</w:t>
            </w:r>
            <w:r w:rsidRPr="00F6018D">
              <w:rPr>
                <w:rFonts w:ascii="Times New Roman" w:hAnsi="Times New Roman" w:cs="Times New Roman"/>
                <w:color w:val="333333"/>
                <w:sz w:val="28"/>
                <w:szCs w:val="28"/>
                <w:shd w:val="clear" w:color="auto" w:fill="FFFFFF"/>
                <w:lang w:val="ro-MO"/>
              </w:rPr>
              <w:t xml:space="preserve"> </w:t>
            </w:r>
            <w:r w:rsidRPr="00F6018D">
              <w:rPr>
                <w:rFonts w:ascii="Times New Roman" w:hAnsi="Times New Roman" w:cs="Times New Roman"/>
                <w:sz w:val="28"/>
                <w:szCs w:val="28"/>
                <w:lang w:val="ro-MO"/>
              </w:rPr>
              <w:t>pct.11 subpct.2</w:t>
            </w:r>
            <w:r w:rsidRPr="00F6018D">
              <w:rPr>
                <w:rFonts w:ascii="Times New Roman" w:hAnsi="Times New Roman" w:cs="Times New Roman"/>
                <w:sz w:val="28"/>
                <w:szCs w:val="28"/>
                <w:vertAlign w:val="superscript"/>
                <w:lang w:val="ro-MO"/>
              </w:rPr>
              <w:t>1</w:t>
            </w:r>
            <w:r w:rsidRPr="00F6018D">
              <w:rPr>
                <w:rFonts w:ascii="Times New Roman" w:hAnsi="Times New Roman" w:cs="Times New Roman"/>
                <w:sz w:val="28"/>
                <w:szCs w:val="28"/>
                <w:lang w:val="ro-MO"/>
              </w:rPr>
              <w:t xml:space="preserve"> lit. a) şi lit. b) din </w:t>
            </w:r>
            <w:r w:rsidRPr="00F6018D">
              <w:rPr>
                <w:rFonts w:ascii="Times New Roman" w:hAnsi="Times New Roman" w:cs="Times New Roman"/>
                <w:bCs/>
                <w:sz w:val="28"/>
                <w:szCs w:val="28"/>
                <w:lang w:val="ro-MO"/>
              </w:rPr>
              <w:t xml:space="preserve">Metodologia de analiză a impactului în procesul de fundamentare a proiectelor de acte normative, aprobată prin </w:t>
            </w:r>
            <w:r w:rsidRPr="00F6018D">
              <w:rPr>
                <w:rFonts w:ascii="Times New Roman" w:hAnsi="Times New Roman" w:cs="Times New Roman"/>
                <w:sz w:val="28"/>
                <w:szCs w:val="28"/>
                <w:lang w:val="ro-MO"/>
              </w:rPr>
              <w:t>Hotărîrea Guvernului nr.23/2019</w:t>
            </w:r>
            <w:r w:rsidRPr="00F6018D">
              <w:rPr>
                <w:rFonts w:ascii="Times New Roman" w:hAnsi="Times New Roman" w:cs="Times New Roman"/>
                <w:bCs/>
                <w:sz w:val="28"/>
                <w:szCs w:val="28"/>
                <w:lang w:val="ro-MO"/>
              </w:rPr>
              <w:t>,</w:t>
            </w:r>
            <w:r w:rsidRPr="00F6018D">
              <w:rPr>
                <w:rFonts w:ascii="Times New Roman" w:hAnsi="Times New Roman" w:cs="Times New Roman"/>
                <w:sz w:val="28"/>
                <w:szCs w:val="28"/>
                <w:lang w:val="ro-MO"/>
              </w:rPr>
              <w:t xml:space="preserve"> a fost elaborată Analiza impactului asupra p</w:t>
            </w:r>
            <w:r w:rsidRPr="00F6018D">
              <w:rPr>
                <w:rFonts w:ascii="Times New Roman" w:hAnsi="Times New Roman" w:cs="Times New Roman"/>
                <w:color w:val="000000"/>
                <w:sz w:val="28"/>
                <w:szCs w:val="28"/>
                <w:lang w:val="ro-MO"/>
              </w:rPr>
              <w:t>roiectului de lege</w:t>
            </w:r>
            <w:r w:rsidRPr="00F6018D">
              <w:rPr>
                <w:rFonts w:ascii="Times New Roman" w:hAnsi="Times New Roman" w:cs="Times New Roman"/>
                <w:i/>
                <w:color w:val="000000"/>
                <w:sz w:val="28"/>
                <w:szCs w:val="28"/>
                <w:lang w:val="ro-MO"/>
              </w:rPr>
              <w:t xml:space="preserve">, </w:t>
            </w:r>
            <w:r w:rsidRPr="00F6018D">
              <w:rPr>
                <w:rFonts w:ascii="Times New Roman" w:hAnsi="Times New Roman" w:cs="Times New Roman"/>
                <w:sz w:val="28"/>
                <w:szCs w:val="28"/>
                <w:lang w:val="ro-MO"/>
              </w:rPr>
              <w:t>care a fost consultată cu Cancelaria de Stat şi cu Ministerul Finanţelor.</w:t>
            </w:r>
          </w:p>
        </w:tc>
      </w:tr>
    </w:tbl>
    <w:p w14:paraId="5A1A86B5" w14:textId="77777777" w:rsidR="00F6018D" w:rsidRDefault="00F6018D" w:rsidP="00F6018D">
      <w:pPr>
        <w:spacing w:line="276" w:lineRule="auto"/>
        <w:rPr>
          <w:rFonts w:ascii="Times New Roman" w:hAnsi="Times New Roman" w:cs="Times New Roman"/>
          <w:sz w:val="28"/>
          <w:szCs w:val="28"/>
          <w:lang w:val="ro-MO"/>
        </w:rPr>
      </w:pPr>
    </w:p>
    <w:p w14:paraId="3BE68D5C" w14:textId="77777777" w:rsidR="00D044A3" w:rsidRPr="00F6018D" w:rsidRDefault="00D044A3" w:rsidP="00F6018D">
      <w:pPr>
        <w:spacing w:line="276" w:lineRule="auto"/>
        <w:rPr>
          <w:rFonts w:ascii="Times New Roman" w:hAnsi="Times New Roman" w:cs="Times New Roman"/>
          <w:sz w:val="28"/>
          <w:szCs w:val="28"/>
          <w:lang w:val="ro-MO"/>
        </w:rPr>
      </w:pPr>
    </w:p>
    <w:p w14:paraId="16B6AAF9" w14:textId="1F35AC93" w:rsidR="00F6018D" w:rsidRDefault="00F6018D" w:rsidP="00F6018D">
      <w:pPr>
        <w:spacing w:line="276" w:lineRule="auto"/>
        <w:rPr>
          <w:rFonts w:ascii="Times New Roman" w:hAnsi="Times New Roman" w:cs="Times New Roman"/>
          <w:b/>
          <w:sz w:val="28"/>
          <w:szCs w:val="28"/>
          <w:lang w:val="ro-MO"/>
        </w:rPr>
      </w:pPr>
      <w:r w:rsidRPr="00F6018D">
        <w:rPr>
          <w:rFonts w:ascii="Times New Roman" w:hAnsi="Times New Roman" w:cs="Times New Roman"/>
          <w:b/>
          <w:sz w:val="28"/>
          <w:szCs w:val="28"/>
          <w:lang w:val="ro-MO"/>
        </w:rPr>
        <w:t>Secretar general</w:t>
      </w:r>
      <w:r w:rsidRPr="00F6018D">
        <w:rPr>
          <w:rFonts w:ascii="Times New Roman" w:hAnsi="Times New Roman" w:cs="Times New Roman"/>
          <w:b/>
          <w:sz w:val="28"/>
          <w:szCs w:val="28"/>
          <w:lang w:val="ro-MO"/>
        </w:rPr>
        <w:tab/>
      </w:r>
      <w:r w:rsidRPr="00F6018D">
        <w:rPr>
          <w:rFonts w:ascii="Times New Roman" w:hAnsi="Times New Roman" w:cs="Times New Roman"/>
          <w:b/>
          <w:sz w:val="28"/>
          <w:szCs w:val="28"/>
          <w:lang w:val="ro-MO"/>
        </w:rPr>
        <w:tab/>
      </w:r>
      <w:r w:rsidRPr="00F6018D">
        <w:rPr>
          <w:rFonts w:ascii="Times New Roman" w:hAnsi="Times New Roman" w:cs="Times New Roman"/>
          <w:b/>
          <w:sz w:val="28"/>
          <w:szCs w:val="28"/>
          <w:lang w:val="ro-MO"/>
        </w:rPr>
        <w:tab/>
      </w:r>
      <w:r w:rsidR="007A58D7">
        <w:rPr>
          <w:rFonts w:ascii="Times New Roman" w:hAnsi="Times New Roman" w:cs="Times New Roman"/>
          <w:b/>
          <w:sz w:val="28"/>
          <w:szCs w:val="28"/>
          <w:lang w:val="ro-MO"/>
        </w:rPr>
        <w:tab/>
      </w:r>
      <w:r w:rsidR="007A58D7">
        <w:rPr>
          <w:rFonts w:ascii="Times New Roman" w:hAnsi="Times New Roman" w:cs="Times New Roman"/>
          <w:b/>
          <w:sz w:val="28"/>
          <w:szCs w:val="28"/>
          <w:lang w:val="ro-MO"/>
        </w:rPr>
        <w:tab/>
      </w:r>
      <w:bookmarkStart w:id="0" w:name="_GoBack"/>
      <w:bookmarkEnd w:id="0"/>
      <w:r w:rsidRPr="00F6018D">
        <w:rPr>
          <w:rFonts w:ascii="Times New Roman" w:hAnsi="Times New Roman" w:cs="Times New Roman"/>
          <w:i/>
          <w:sz w:val="28"/>
          <w:szCs w:val="28"/>
          <w:lang w:val="ro-MO"/>
        </w:rPr>
        <w:tab/>
      </w:r>
      <w:r w:rsidRPr="00F6018D">
        <w:rPr>
          <w:rFonts w:ascii="Times New Roman" w:hAnsi="Times New Roman" w:cs="Times New Roman"/>
          <w:i/>
          <w:sz w:val="28"/>
          <w:szCs w:val="28"/>
          <w:lang w:val="ro-MO"/>
        </w:rPr>
        <w:tab/>
      </w:r>
      <w:r w:rsidRPr="00F6018D">
        <w:rPr>
          <w:rFonts w:ascii="Times New Roman" w:hAnsi="Times New Roman" w:cs="Times New Roman"/>
          <w:b/>
          <w:sz w:val="28"/>
          <w:szCs w:val="28"/>
          <w:lang w:val="ro-MO"/>
        </w:rPr>
        <w:t>Lilia PALII</w:t>
      </w:r>
    </w:p>
    <w:p w14:paraId="78C9D55D" w14:textId="0DD6CAE2" w:rsidR="00F6018D" w:rsidRPr="00211653" w:rsidRDefault="00F6018D" w:rsidP="001C51FE">
      <w:pPr>
        <w:spacing w:after="0" w:line="240" w:lineRule="auto"/>
        <w:jc w:val="center"/>
        <w:rPr>
          <w:rFonts w:ascii="Times New Roman" w:hAnsi="Times New Roman" w:cs="Times New Roman"/>
          <w:sz w:val="28"/>
          <w:szCs w:val="28"/>
        </w:rPr>
      </w:pPr>
    </w:p>
    <w:sectPr w:rsidR="00F6018D" w:rsidRPr="00211653" w:rsidSect="001C51FE">
      <w:pgSz w:w="11906" w:h="16838"/>
      <w:pgMar w:top="1134" w:right="850" w:bottom="1134" w:left="81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F47797" w14:textId="77777777" w:rsidR="00BF270B" w:rsidRDefault="00BF270B" w:rsidP="00736F61">
      <w:pPr>
        <w:spacing w:after="0" w:line="240" w:lineRule="auto"/>
      </w:pPr>
      <w:r>
        <w:separator/>
      </w:r>
    </w:p>
  </w:endnote>
  <w:endnote w:type="continuationSeparator" w:id="0">
    <w:p w14:paraId="6DDA658F" w14:textId="77777777" w:rsidR="00BF270B" w:rsidRDefault="00BF270B" w:rsidP="00736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4B4EF" w14:textId="77777777" w:rsidR="00BF270B" w:rsidRDefault="00BF270B" w:rsidP="00736F61">
      <w:pPr>
        <w:spacing w:after="0" w:line="240" w:lineRule="auto"/>
      </w:pPr>
      <w:r>
        <w:separator/>
      </w:r>
    </w:p>
  </w:footnote>
  <w:footnote w:type="continuationSeparator" w:id="0">
    <w:p w14:paraId="632A3D4B" w14:textId="77777777" w:rsidR="00BF270B" w:rsidRDefault="00BF270B" w:rsidP="00736F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01B"/>
    <w:rsid w:val="00027584"/>
    <w:rsid w:val="000A60F8"/>
    <w:rsid w:val="000B1781"/>
    <w:rsid w:val="000B6B9D"/>
    <w:rsid w:val="000B7C31"/>
    <w:rsid w:val="000C3B4A"/>
    <w:rsid w:val="000E1673"/>
    <w:rsid w:val="000F1D2D"/>
    <w:rsid w:val="000F790A"/>
    <w:rsid w:val="00100502"/>
    <w:rsid w:val="00103040"/>
    <w:rsid w:val="00111006"/>
    <w:rsid w:val="00142DFB"/>
    <w:rsid w:val="0016086A"/>
    <w:rsid w:val="00165DEE"/>
    <w:rsid w:val="001A4BEC"/>
    <w:rsid w:val="001C51FE"/>
    <w:rsid w:val="001D39D9"/>
    <w:rsid w:val="001D4823"/>
    <w:rsid w:val="001E36A0"/>
    <w:rsid w:val="00211653"/>
    <w:rsid w:val="00214F12"/>
    <w:rsid w:val="00232B36"/>
    <w:rsid w:val="00244CFB"/>
    <w:rsid w:val="00247BB6"/>
    <w:rsid w:val="00296964"/>
    <w:rsid w:val="002A575A"/>
    <w:rsid w:val="002C0E78"/>
    <w:rsid w:val="002E096E"/>
    <w:rsid w:val="00305248"/>
    <w:rsid w:val="00307792"/>
    <w:rsid w:val="00365849"/>
    <w:rsid w:val="00366998"/>
    <w:rsid w:val="00386B78"/>
    <w:rsid w:val="003B3B01"/>
    <w:rsid w:val="003D769E"/>
    <w:rsid w:val="00436182"/>
    <w:rsid w:val="0044772B"/>
    <w:rsid w:val="00451B8F"/>
    <w:rsid w:val="00465690"/>
    <w:rsid w:val="0049589E"/>
    <w:rsid w:val="00497586"/>
    <w:rsid w:val="004A1D68"/>
    <w:rsid w:val="004C5473"/>
    <w:rsid w:val="004E2221"/>
    <w:rsid w:val="004E35ED"/>
    <w:rsid w:val="00505CE6"/>
    <w:rsid w:val="0051176D"/>
    <w:rsid w:val="00517DC5"/>
    <w:rsid w:val="00560007"/>
    <w:rsid w:val="0056046C"/>
    <w:rsid w:val="00565A48"/>
    <w:rsid w:val="00571F73"/>
    <w:rsid w:val="00595878"/>
    <w:rsid w:val="00595E1B"/>
    <w:rsid w:val="005A2A86"/>
    <w:rsid w:val="005B10F8"/>
    <w:rsid w:val="005B7822"/>
    <w:rsid w:val="005C4B37"/>
    <w:rsid w:val="005F1790"/>
    <w:rsid w:val="0061252A"/>
    <w:rsid w:val="006357D3"/>
    <w:rsid w:val="0064497C"/>
    <w:rsid w:val="0065357A"/>
    <w:rsid w:val="00690AC2"/>
    <w:rsid w:val="006A3FE1"/>
    <w:rsid w:val="006E4E2E"/>
    <w:rsid w:val="006F0482"/>
    <w:rsid w:val="006F6467"/>
    <w:rsid w:val="00736F61"/>
    <w:rsid w:val="007627EE"/>
    <w:rsid w:val="007679E5"/>
    <w:rsid w:val="007A4666"/>
    <w:rsid w:val="007A58D7"/>
    <w:rsid w:val="007B27D9"/>
    <w:rsid w:val="007B5312"/>
    <w:rsid w:val="007F1047"/>
    <w:rsid w:val="008134A8"/>
    <w:rsid w:val="008433B7"/>
    <w:rsid w:val="00845887"/>
    <w:rsid w:val="008522B5"/>
    <w:rsid w:val="008627FD"/>
    <w:rsid w:val="0086482A"/>
    <w:rsid w:val="008713F4"/>
    <w:rsid w:val="008B210F"/>
    <w:rsid w:val="008E53A2"/>
    <w:rsid w:val="008F1D35"/>
    <w:rsid w:val="00921CC7"/>
    <w:rsid w:val="00943EFD"/>
    <w:rsid w:val="009646DD"/>
    <w:rsid w:val="00984FD3"/>
    <w:rsid w:val="009A7C47"/>
    <w:rsid w:val="009D16E9"/>
    <w:rsid w:val="00A420C6"/>
    <w:rsid w:val="00A51520"/>
    <w:rsid w:val="00A57D45"/>
    <w:rsid w:val="00A73E35"/>
    <w:rsid w:val="00A9699C"/>
    <w:rsid w:val="00AA0259"/>
    <w:rsid w:val="00AA4246"/>
    <w:rsid w:val="00AE4FF5"/>
    <w:rsid w:val="00B0091E"/>
    <w:rsid w:val="00B11724"/>
    <w:rsid w:val="00B12FDF"/>
    <w:rsid w:val="00B31488"/>
    <w:rsid w:val="00B51D02"/>
    <w:rsid w:val="00B74F4F"/>
    <w:rsid w:val="00B84687"/>
    <w:rsid w:val="00B85869"/>
    <w:rsid w:val="00BB1612"/>
    <w:rsid w:val="00BE0333"/>
    <w:rsid w:val="00BF270B"/>
    <w:rsid w:val="00C01AF4"/>
    <w:rsid w:val="00C238C8"/>
    <w:rsid w:val="00C33BFB"/>
    <w:rsid w:val="00C71ECE"/>
    <w:rsid w:val="00C808AA"/>
    <w:rsid w:val="00C84BC4"/>
    <w:rsid w:val="00CF4D96"/>
    <w:rsid w:val="00D00D40"/>
    <w:rsid w:val="00D044A3"/>
    <w:rsid w:val="00D152F8"/>
    <w:rsid w:val="00D3501B"/>
    <w:rsid w:val="00D43F94"/>
    <w:rsid w:val="00D51533"/>
    <w:rsid w:val="00D93453"/>
    <w:rsid w:val="00DC391E"/>
    <w:rsid w:val="00E051A9"/>
    <w:rsid w:val="00E15D99"/>
    <w:rsid w:val="00E468DE"/>
    <w:rsid w:val="00E47A7A"/>
    <w:rsid w:val="00E81909"/>
    <w:rsid w:val="00EB19D6"/>
    <w:rsid w:val="00EB4D0B"/>
    <w:rsid w:val="00EC0CCD"/>
    <w:rsid w:val="00ED3C81"/>
    <w:rsid w:val="00ED6195"/>
    <w:rsid w:val="00EE2B27"/>
    <w:rsid w:val="00EE3852"/>
    <w:rsid w:val="00EE51A3"/>
    <w:rsid w:val="00F3295B"/>
    <w:rsid w:val="00F35152"/>
    <w:rsid w:val="00F6018D"/>
    <w:rsid w:val="00F71B52"/>
    <w:rsid w:val="00F80C39"/>
    <w:rsid w:val="00F819BF"/>
    <w:rsid w:val="00F85026"/>
    <w:rsid w:val="00F930D5"/>
    <w:rsid w:val="00FA573E"/>
    <w:rsid w:val="00FA6F0E"/>
    <w:rsid w:val="00FD1A06"/>
    <w:rsid w:val="00FD4C28"/>
    <w:rsid w:val="00FF6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E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673"/>
    <w:rPr>
      <w:rFonts w:ascii="Segoe UI" w:hAnsi="Segoe UI" w:cs="Segoe UI"/>
      <w:sz w:val="18"/>
      <w:szCs w:val="18"/>
    </w:rPr>
  </w:style>
  <w:style w:type="character" w:styleId="Hyperlink">
    <w:name w:val="Hyperlink"/>
    <w:uiPriority w:val="99"/>
    <w:rsid w:val="00FD4C28"/>
    <w:rPr>
      <w:color w:val="0000FF"/>
      <w:u w:val="single"/>
    </w:rPr>
  </w:style>
  <w:style w:type="paragraph" w:styleId="Header">
    <w:name w:val="header"/>
    <w:basedOn w:val="Normal"/>
    <w:link w:val="HeaderChar"/>
    <w:uiPriority w:val="99"/>
    <w:unhideWhenUsed/>
    <w:rsid w:val="00736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61"/>
  </w:style>
  <w:style w:type="paragraph" w:styleId="Footer">
    <w:name w:val="footer"/>
    <w:basedOn w:val="Normal"/>
    <w:link w:val="FooterChar"/>
    <w:uiPriority w:val="99"/>
    <w:unhideWhenUsed/>
    <w:rsid w:val="00736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61"/>
  </w:style>
  <w:style w:type="character" w:styleId="CommentReference">
    <w:name w:val="annotation reference"/>
    <w:basedOn w:val="DefaultParagraphFont"/>
    <w:uiPriority w:val="99"/>
    <w:semiHidden/>
    <w:unhideWhenUsed/>
    <w:rsid w:val="00736F61"/>
    <w:rPr>
      <w:sz w:val="16"/>
      <w:szCs w:val="16"/>
    </w:rPr>
  </w:style>
  <w:style w:type="paragraph" w:styleId="CommentText">
    <w:name w:val="annotation text"/>
    <w:basedOn w:val="Normal"/>
    <w:link w:val="CommentTextChar"/>
    <w:uiPriority w:val="99"/>
    <w:semiHidden/>
    <w:unhideWhenUsed/>
    <w:rsid w:val="00736F61"/>
    <w:pPr>
      <w:spacing w:line="240" w:lineRule="auto"/>
    </w:pPr>
    <w:rPr>
      <w:sz w:val="20"/>
      <w:szCs w:val="20"/>
    </w:rPr>
  </w:style>
  <w:style w:type="character" w:customStyle="1" w:styleId="CommentTextChar">
    <w:name w:val="Comment Text Char"/>
    <w:basedOn w:val="DefaultParagraphFont"/>
    <w:link w:val="CommentText"/>
    <w:uiPriority w:val="99"/>
    <w:semiHidden/>
    <w:rsid w:val="00736F61"/>
    <w:rPr>
      <w:sz w:val="20"/>
      <w:szCs w:val="20"/>
    </w:rPr>
  </w:style>
  <w:style w:type="paragraph" w:styleId="CommentSubject">
    <w:name w:val="annotation subject"/>
    <w:basedOn w:val="CommentText"/>
    <w:next w:val="CommentText"/>
    <w:link w:val="CommentSubjectChar"/>
    <w:uiPriority w:val="99"/>
    <w:semiHidden/>
    <w:unhideWhenUsed/>
    <w:rsid w:val="00736F61"/>
    <w:rPr>
      <w:b/>
      <w:bCs/>
    </w:rPr>
  </w:style>
  <w:style w:type="character" w:customStyle="1" w:styleId="CommentSubjectChar">
    <w:name w:val="Comment Subject Char"/>
    <w:basedOn w:val="CommentTextChar"/>
    <w:link w:val="CommentSubject"/>
    <w:uiPriority w:val="99"/>
    <w:semiHidden/>
    <w:rsid w:val="00736F61"/>
    <w:rPr>
      <w:b/>
      <w:bCs/>
      <w:sz w:val="20"/>
      <w:szCs w:val="20"/>
    </w:rPr>
  </w:style>
  <w:style w:type="table" w:styleId="TableGrid">
    <w:name w:val="Table Grid"/>
    <w:basedOn w:val="TableNormal"/>
    <w:uiPriority w:val="59"/>
    <w:rsid w:val="00B3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F6018D"/>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character" w:customStyle="1" w:styleId="docheader">
    <w:name w:val="doc_header"/>
    <w:basedOn w:val="DefaultParagraphFont"/>
    <w:rsid w:val="00211653"/>
  </w:style>
  <w:style w:type="character" w:styleId="Strong">
    <w:name w:val="Strong"/>
    <w:uiPriority w:val="22"/>
    <w:qFormat/>
    <w:rsid w:val="00211653"/>
    <w:rPr>
      <w:b/>
      <w:bCs/>
    </w:rPr>
  </w:style>
  <w:style w:type="paragraph" w:styleId="ListParagraph">
    <w:name w:val="List Paragraph"/>
    <w:aliases w:val="References,NUMBERED PARAGRAPH,List Paragraph 1,Bullets,List_Paragraph,Multilevel para_II,List Paragraph1"/>
    <w:basedOn w:val="Normal"/>
    <w:link w:val="ListParagraphChar"/>
    <w:uiPriority w:val="34"/>
    <w:qFormat/>
    <w:rsid w:val="00211653"/>
    <w:pPr>
      <w:ind w:left="720"/>
      <w:contextualSpacing/>
    </w:pPr>
  </w:style>
  <w:style w:type="character" w:customStyle="1" w:styleId="ListParagraphChar">
    <w:name w:val="List Paragraph Char"/>
    <w:aliases w:val="References Char,NUMBERED PARAGRAPH Char,List Paragraph 1 Char,Bullets Char,List_Paragraph Char,Multilevel para_II Char,List Paragraph1 Char"/>
    <w:link w:val="ListParagraph"/>
    <w:uiPriority w:val="34"/>
    <w:locked/>
    <w:rsid w:val="002116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673"/>
    <w:rPr>
      <w:rFonts w:ascii="Segoe UI" w:hAnsi="Segoe UI" w:cs="Segoe UI"/>
      <w:sz w:val="18"/>
      <w:szCs w:val="18"/>
    </w:rPr>
  </w:style>
  <w:style w:type="character" w:styleId="Hyperlink">
    <w:name w:val="Hyperlink"/>
    <w:uiPriority w:val="99"/>
    <w:rsid w:val="00FD4C28"/>
    <w:rPr>
      <w:color w:val="0000FF"/>
      <w:u w:val="single"/>
    </w:rPr>
  </w:style>
  <w:style w:type="paragraph" w:styleId="Header">
    <w:name w:val="header"/>
    <w:basedOn w:val="Normal"/>
    <w:link w:val="HeaderChar"/>
    <w:uiPriority w:val="99"/>
    <w:unhideWhenUsed/>
    <w:rsid w:val="00736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61"/>
  </w:style>
  <w:style w:type="paragraph" w:styleId="Footer">
    <w:name w:val="footer"/>
    <w:basedOn w:val="Normal"/>
    <w:link w:val="FooterChar"/>
    <w:uiPriority w:val="99"/>
    <w:unhideWhenUsed/>
    <w:rsid w:val="00736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61"/>
  </w:style>
  <w:style w:type="character" w:styleId="CommentReference">
    <w:name w:val="annotation reference"/>
    <w:basedOn w:val="DefaultParagraphFont"/>
    <w:uiPriority w:val="99"/>
    <w:semiHidden/>
    <w:unhideWhenUsed/>
    <w:rsid w:val="00736F61"/>
    <w:rPr>
      <w:sz w:val="16"/>
      <w:szCs w:val="16"/>
    </w:rPr>
  </w:style>
  <w:style w:type="paragraph" w:styleId="CommentText">
    <w:name w:val="annotation text"/>
    <w:basedOn w:val="Normal"/>
    <w:link w:val="CommentTextChar"/>
    <w:uiPriority w:val="99"/>
    <w:semiHidden/>
    <w:unhideWhenUsed/>
    <w:rsid w:val="00736F61"/>
    <w:pPr>
      <w:spacing w:line="240" w:lineRule="auto"/>
    </w:pPr>
    <w:rPr>
      <w:sz w:val="20"/>
      <w:szCs w:val="20"/>
    </w:rPr>
  </w:style>
  <w:style w:type="character" w:customStyle="1" w:styleId="CommentTextChar">
    <w:name w:val="Comment Text Char"/>
    <w:basedOn w:val="DefaultParagraphFont"/>
    <w:link w:val="CommentText"/>
    <w:uiPriority w:val="99"/>
    <w:semiHidden/>
    <w:rsid w:val="00736F61"/>
    <w:rPr>
      <w:sz w:val="20"/>
      <w:szCs w:val="20"/>
    </w:rPr>
  </w:style>
  <w:style w:type="paragraph" w:styleId="CommentSubject">
    <w:name w:val="annotation subject"/>
    <w:basedOn w:val="CommentText"/>
    <w:next w:val="CommentText"/>
    <w:link w:val="CommentSubjectChar"/>
    <w:uiPriority w:val="99"/>
    <w:semiHidden/>
    <w:unhideWhenUsed/>
    <w:rsid w:val="00736F61"/>
    <w:rPr>
      <w:b/>
      <w:bCs/>
    </w:rPr>
  </w:style>
  <w:style w:type="character" w:customStyle="1" w:styleId="CommentSubjectChar">
    <w:name w:val="Comment Subject Char"/>
    <w:basedOn w:val="CommentTextChar"/>
    <w:link w:val="CommentSubject"/>
    <w:uiPriority w:val="99"/>
    <w:semiHidden/>
    <w:rsid w:val="00736F61"/>
    <w:rPr>
      <w:b/>
      <w:bCs/>
      <w:sz w:val="20"/>
      <w:szCs w:val="20"/>
    </w:rPr>
  </w:style>
  <w:style w:type="table" w:styleId="TableGrid">
    <w:name w:val="Table Grid"/>
    <w:basedOn w:val="TableNormal"/>
    <w:uiPriority w:val="59"/>
    <w:rsid w:val="00B3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F6018D"/>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character" w:customStyle="1" w:styleId="docheader">
    <w:name w:val="doc_header"/>
    <w:basedOn w:val="DefaultParagraphFont"/>
    <w:rsid w:val="00211653"/>
  </w:style>
  <w:style w:type="character" w:styleId="Strong">
    <w:name w:val="Strong"/>
    <w:uiPriority w:val="22"/>
    <w:qFormat/>
    <w:rsid w:val="00211653"/>
    <w:rPr>
      <w:b/>
      <w:bCs/>
    </w:rPr>
  </w:style>
  <w:style w:type="paragraph" w:styleId="ListParagraph">
    <w:name w:val="List Paragraph"/>
    <w:aliases w:val="References,NUMBERED PARAGRAPH,List Paragraph 1,Bullets,List_Paragraph,Multilevel para_II,List Paragraph1"/>
    <w:basedOn w:val="Normal"/>
    <w:link w:val="ListParagraphChar"/>
    <w:uiPriority w:val="34"/>
    <w:qFormat/>
    <w:rsid w:val="00211653"/>
    <w:pPr>
      <w:ind w:left="720"/>
      <w:contextualSpacing/>
    </w:pPr>
  </w:style>
  <w:style w:type="character" w:customStyle="1" w:styleId="ListParagraphChar">
    <w:name w:val="List Paragraph Char"/>
    <w:aliases w:val="References Char,NUMBERED PARAGRAPH Char,List Paragraph 1 Char,Bullets Char,List_Paragraph Char,Multilevel para_II Char,List Paragraph1 Char"/>
    <w:link w:val="ListParagraph"/>
    <w:uiPriority w:val="34"/>
    <w:locked/>
    <w:rsid w:val="00211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07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404035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articip.gov.md" TargetMode="External"/><Relationship Id="rId4" Type="http://schemas.openxmlformats.org/officeDocument/2006/relationships/settings" Target="settings.xml"/><Relationship Id="rId9" Type="http://schemas.openxmlformats.org/officeDocument/2006/relationships/hyperlink" Target="http://www.mei.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DC756-1AC5-4648-9C85-D4DA1FF2B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1995</Words>
  <Characters>11577</Characters>
  <Application>Microsoft Office Word</Application>
  <DocSecurity>0</DocSecurity>
  <Lines>96</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Valentina Chiper</cp:lastModifiedBy>
  <cp:revision>4</cp:revision>
  <cp:lastPrinted>2018-11-22T09:38:00Z</cp:lastPrinted>
  <dcterms:created xsi:type="dcterms:W3CDTF">2020-09-09T09:37:00Z</dcterms:created>
  <dcterms:modified xsi:type="dcterms:W3CDTF">2020-09-09T09:38:00Z</dcterms:modified>
</cp:coreProperties>
</file>