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995" w:rsidRPr="0022238E" w:rsidRDefault="00B84995" w:rsidP="00B84995">
      <w:pPr>
        <w:ind w:firstLine="709"/>
        <w:jc w:val="center"/>
        <w:rPr>
          <w:rFonts w:eastAsiaTheme="minorHAnsi"/>
          <w:b/>
          <w:iCs/>
          <w:sz w:val="28"/>
          <w:szCs w:val="28"/>
          <w:lang w:val="ro-RO" w:eastAsia="en-US"/>
        </w:rPr>
      </w:pPr>
      <w:r w:rsidRPr="0022238E">
        <w:rPr>
          <w:rFonts w:eastAsiaTheme="minorHAnsi"/>
          <w:b/>
          <w:iCs/>
          <w:sz w:val="28"/>
          <w:szCs w:val="28"/>
          <w:lang w:val="ro-RO" w:eastAsia="en-US"/>
        </w:rPr>
        <w:t>Notă Informativă</w:t>
      </w:r>
    </w:p>
    <w:p w:rsidR="00B84995" w:rsidRPr="0022238E" w:rsidRDefault="00B84995" w:rsidP="00B84995">
      <w:pPr>
        <w:ind w:firstLine="709"/>
        <w:jc w:val="center"/>
        <w:rPr>
          <w:rFonts w:eastAsiaTheme="minorHAnsi"/>
          <w:b/>
          <w:bCs/>
          <w:iCs/>
          <w:sz w:val="28"/>
          <w:szCs w:val="28"/>
          <w:lang w:val="ro-RO" w:eastAsia="en-US"/>
        </w:rPr>
      </w:pPr>
      <w:r w:rsidRPr="0022238E">
        <w:rPr>
          <w:rFonts w:eastAsiaTheme="minorHAnsi"/>
          <w:b/>
          <w:bCs/>
          <w:iCs/>
          <w:sz w:val="28"/>
          <w:szCs w:val="28"/>
          <w:lang w:val="ro-RO" w:eastAsia="en-US"/>
        </w:rPr>
        <w:t>la proiectul Hotărârii Guvernului „Cu privire la aprobarea</w:t>
      </w:r>
    </w:p>
    <w:p w:rsidR="00B84995" w:rsidRPr="0022238E" w:rsidRDefault="00B84995" w:rsidP="00B84995">
      <w:pPr>
        <w:ind w:firstLine="709"/>
        <w:jc w:val="center"/>
        <w:rPr>
          <w:rFonts w:eastAsiaTheme="minorHAnsi"/>
          <w:b/>
          <w:bCs/>
          <w:iCs/>
          <w:sz w:val="28"/>
          <w:szCs w:val="28"/>
          <w:lang w:val="ro-RO" w:eastAsia="en-US"/>
        </w:rPr>
      </w:pPr>
      <w:r w:rsidRPr="0022238E">
        <w:rPr>
          <w:rFonts w:eastAsiaTheme="minorHAnsi"/>
          <w:b/>
          <w:bCs/>
          <w:iCs/>
          <w:sz w:val="28"/>
          <w:szCs w:val="28"/>
          <w:lang w:val="ro-RO" w:eastAsia="en-US"/>
        </w:rPr>
        <w:t>modificărilor ce se operează în unele hotărâri ale Guvernului”</w:t>
      </w:r>
    </w:p>
    <w:p w:rsidR="00B84995" w:rsidRPr="0022238E" w:rsidRDefault="00B84995" w:rsidP="00B84995">
      <w:pPr>
        <w:ind w:firstLine="709"/>
        <w:jc w:val="both"/>
        <w:rPr>
          <w:rFonts w:eastAsiaTheme="minorHAnsi"/>
          <w:iCs/>
          <w:sz w:val="28"/>
          <w:szCs w:val="28"/>
          <w:lang w:val="ro-RO" w:eastAsia="en-US"/>
        </w:rPr>
      </w:pPr>
    </w:p>
    <w:tbl>
      <w:tblPr>
        <w:tblStyle w:val="3"/>
        <w:tblW w:w="0" w:type="auto"/>
        <w:tblLook w:val="04A0" w:firstRow="1" w:lastRow="0" w:firstColumn="1" w:lastColumn="0" w:noHBand="0" w:noVBand="1"/>
      </w:tblPr>
      <w:tblGrid>
        <w:gridCol w:w="9571"/>
      </w:tblGrid>
      <w:tr w:rsidR="00B84995" w:rsidRPr="001919A8" w:rsidTr="005153E9">
        <w:tc>
          <w:tcPr>
            <w:tcW w:w="9571" w:type="dxa"/>
          </w:tcPr>
          <w:p w:rsidR="00B84995" w:rsidRPr="0022238E" w:rsidRDefault="00B84995" w:rsidP="005153E9">
            <w:pPr>
              <w:ind w:firstLine="709"/>
              <w:jc w:val="both"/>
              <w:rPr>
                <w:b/>
                <w:iCs/>
                <w:sz w:val="28"/>
                <w:szCs w:val="28"/>
                <w:lang w:val="ro-RO" w:eastAsia="en-US"/>
              </w:rPr>
            </w:pPr>
            <w:r w:rsidRPr="0022238E">
              <w:rPr>
                <w:b/>
                <w:iCs/>
                <w:sz w:val="28"/>
                <w:szCs w:val="28"/>
                <w:lang w:val="ro-RO" w:eastAsia="en-US"/>
              </w:rPr>
              <w:t>1. Denumirea autorului și, după caz, a participanților la elaborarea proiectului</w:t>
            </w:r>
          </w:p>
        </w:tc>
      </w:tr>
      <w:tr w:rsidR="00B84995" w:rsidRPr="001919A8" w:rsidTr="005153E9">
        <w:tc>
          <w:tcPr>
            <w:tcW w:w="9571" w:type="dxa"/>
          </w:tcPr>
          <w:p w:rsidR="00B84995" w:rsidRPr="0022238E" w:rsidRDefault="00B84995" w:rsidP="005153E9">
            <w:pPr>
              <w:ind w:firstLine="709"/>
              <w:jc w:val="both"/>
              <w:rPr>
                <w:b/>
                <w:iCs/>
                <w:sz w:val="28"/>
                <w:szCs w:val="28"/>
                <w:lang w:val="ro-RO" w:eastAsia="en-US"/>
              </w:rPr>
            </w:pPr>
            <w:r w:rsidRPr="0022238E">
              <w:rPr>
                <w:iCs/>
                <w:sz w:val="28"/>
                <w:szCs w:val="28"/>
                <w:lang w:val="ro-RO" w:eastAsia="en-US"/>
              </w:rPr>
              <w:t xml:space="preserve">Proiectul de hotărâre a Guvernului </w:t>
            </w:r>
            <w:r w:rsidRPr="0022238E">
              <w:rPr>
                <w:bCs/>
                <w:iCs/>
                <w:sz w:val="28"/>
                <w:szCs w:val="28"/>
                <w:lang w:val="ro-RO" w:eastAsia="en-US"/>
              </w:rPr>
              <w:t>„Cu privire la aprobarea modificărilor ce se operează în unele hotărâri ale Guvernului”</w:t>
            </w:r>
            <w:r w:rsidRPr="0022238E">
              <w:rPr>
                <w:b/>
                <w:bCs/>
                <w:iCs/>
                <w:sz w:val="28"/>
                <w:szCs w:val="28"/>
                <w:lang w:val="ro-RO" w:eastAsia="en-US"/>
              </w:rPr>
              <w:t xml:space="preserve">  </w:t>
            </w:r>
            <w:r w:rsidRPr="0022238E">
              <w:rPr>
                <w:iCs/>
                <w:sz w:val="28"/>
                <w:szCs w:val="28"/>
                <w:lang w:val="ro-RO" w:eastAsia="en-US"/>
              </w:rPr>
              <w:t xml:space="preserve">este elaborat de către </w:t>
            </w:r>
            <w:r w:rsidRPr="0022238E">
              <w:rPr>
                <w:bCs/>
                <w:iCs/>
                <w:sz w:val="28"/>
                <w:szCs w:val="28"/>
                <w:lang w:val="ro-RO" w:eastAsia="en-US"/>
              </w:rPr>
              <w:t>Ministerul Agriculturii,</w:t>
            </w:r>
            <w:r w:rsidRPr="0022238E">
              <w:rPr>
                <w:iCs/>
                <w:sz w:val="28"/>
                <w:szCs w:val="28"/>
                <w:lang w:val="ro-RO" w:eastAsia="en-US"/>
              </w:rPr>
              <w:t xml:space="preserve"> Dezvoltării Regionale și Mediului.</w:t>
            </w:r>
          </w:p>
        </w:tc>
      </w:tr>
      <w:tr w:rsidR="00B84995" w:rsidRPr="001919A8" w:rsidTr="005153E9">
        <w:tc>
          <w:tcPr>
            <w:tcW w:w="9571" w:type="dxa"/>
          </w:tcPr>
          <w:p w:rsidR="00B84995" w:rsidRPr="0022238E" w:rsidRDefault="00B84995" w:rsidP="005153E9">
            <w:pPr>
              <w:ind w:firstLine="709"/>
              <w:jc w:val="both"/>
              <w:rPr>
                <w:b/>
                <w:iCs/>
                <w:sz w:val="28"/>
                <w:szCs w:val="28"/>
                <w:lang w:val="ro-RO" w:eastAsia="en-US"/>
              </w:rPr>
            </w:pPr>
            <w:r w:rsidRPr="0022238E">
              <w:rPr>
                <w:b/>
                <w:iCs/>
                <w:sz w:val="28"/>
                <w:szCs w:val="28"/>
                <w:lang w:val="ro-RO" w:eastAsia="en-US"/>
              </w:rPr>
              <w:t>2. Condițiile ce au impus elaborarea proiectului de act normativ, finalitățile urmărite</w:t>
            </w:r>
          </w:p>
        </w:tc>
      </w:tr>
      <w:tr w:rsidR="00B84995" w:rsidRPr="001919A8" w:rsidTr="005153E9">
        <w:tc>
          <w:tcPr>
            <w:tcW w:w="9571" w:type="dxa"/>
          </w:tcPr>
          <w:p w:rsidR="00B84995" w:rsidRPr="0022238E" w:rsidRDefault="00B84995" w:rsidP="005153E9">
            <w:pPr>
              <w:ind w:firstLine="709"/>
              <w:jc w:val="both"/>
              <w:rPr>
                <w:iCs/>
                <w:sz w:val="28"/>
                <w:szCs w:val="28"/>
                <w:lang w:val="ro-RO" w:eastAsia="en-US"/>
              </w:rPr>
            </w:pPr>
            <w:r w:rsidRPr="0022238E">
              <w:rPr>
                <w:iCs/>
                <w:sz w:val="28"/>
                <w:szCs w:val="28"/>
                <w:lang w:val="ro-RO" w:eastAsia="en-US"/>
              </w:rPr>
              <w:t>Conform prevederilor Regulamentului cu privire la Serviciul Special pentru Influențe Active asupra Proceselor Hidrometeorologice, aprobat prin Hotărârea Guvernului nr.1120/2005, Serviciul Special este abilitat cu funcții de organ național în domeniul influențelor active asupra</w:t>
            </w:r>
            <w:r w:rsidRPr="0022238E">
              <w:rPr>
                <w:b/>
                <w:iCs/>
                <w:sz w:val="28"/>
                <w:szCs w:val="28"/>
                <w:lang w:val="ro-RO" w:eastAsia="en-US"/>
              </w:rPr>
              <w:t xml:space="preserve"> </w:t>
            </w:r>
            <w:r w:rsidRPr="0022238E">
              <w:rPr>
                <w:iCs/>
                <w:sz w:val="28"/>
                <w:szCs w:val="28"/>
                <w:lang w:val="ro-RO" w:eastAsia="en-US"/>
              </w:rPr>
              <w:t xml:space="preserve">proceselor meteorologice și altor procese geofizice. Activitatea de bază o constituie organizarea și executarea lucrărilor vizând influenta activă asupra norilor în scopul reducerii daunelor cauzate de căderile de grindină culturilor agricole, bunurilor materiale cât și a altor lucrări ce țin de domeniul influențelor active asupra proceselor hidrometeorologice. </w:t>
            </w:r>
          </w:p>
          <w:p w:rsidR="00B84995" w:rsidRPr="0022238E" w:rsidRDefault="00B84995" w:rsidP="005153E9">
            <w:pPr>
              <w:ind w:firstLine="709"/>
              <w:jc w:val="both"/>
              <w:rPr>
                <w:iCs/>
                <w:sz w:val="28"/>
                <w:szCs w:val="28"/>
                <w:lang w:val="ro-RO" w:eastAsia="en-US"/>
              </w:rPr>
            </w:pPr>
            <w:r w:rsidRPr="0022238E">
              <w:rPr>
                <w:iCs/>
                <w:sz w:val="28"/>
                <w:szCs w:val="28"/>
                <w:lang w:val="ro-RO" w:eastAsia="en-US"/>
              </w:rPr>
              <w:t xml:space="preserve">Efectivul-limită al Serviciului Special, este aprobat prin Hotărârea Guvernului nr.1120/2005, în număr de 1160 unități, inclusiv 1075 de unități de personal în unitățile speciale pentru influențe active asupra proceselor hidrometeorologice în teritoriu. La moment în cadrul unităților speciale menționate funcționează 132 puncte rachetare, care execută lucrările de protecție antigrindină a culturilor agricole pe o suprafață de 1665,0 mii ha pe teritoriul a 24 de raioane ale Republicii Moldova. </w:t>
            </w:r>
          </w:p>
          <w:p w:rsidR="00B84995" w:rsidRPr="0022238E" w:rsidRDefault="00B84995" w:rsidP="005153E9">
            <w:pPr>
              <w:ind w:firstLine="709"/>
              <w:jc w:val="both"/>
              <w:rPr>
                <w:iCs/>
                <w:sz w:val="28"/>
                <w:szCs w:val="28"/>
                <w:lang w:val="ro-RO" w:eastAsia="en-US"/>
              </w:rPr>
            </w:pPr>
            <w:r w:rsidRPr="0022238E">
              <w:rPr>
                <w:iCs/>
                <w:sz w:val="28"/>
                <w:szCs w:val="28"/>
                <w:lang w:val="ro-RO" w:eastAsia="en-US"/>
              </w:rPr>
              <w:t>Totodată, ținându</w:t>
            </w:r>
            <w:r>
              <w:rPr>
                <w:iCs/>
                <w:sz w:val="28"/>
                <w:szCs w:val="28"/>
                <w:lang w:val="ro-RO" w:eastAsia="en-US"/>
              </w:rPr>
              <w:t>-se cont de pericolul ce le</w:t>
            </w:r>
            <w:r w:rsidRPr="0022238E">
              <w:rPr>
                <w:iCs/>
                <w:sz w:val="28"/>
                <w:szCs w:val="28"/>
                <w:lang w:val="ro-RO" w:eastAsia="en-US"/>
              </w:rPr>
              <w:t xml:space="preserve"> reprezintă căderile de grindină pentru culturile agricole, de impact negativ asupra venitului agricol, a </w:t>
            </w:r>
            <w:r>
              <w:rPr>
                <w:iCs/>
                <w:sz w:val="28"/>
                <w:szCs w:val="28"/>
                <w:lang w:val="ro-RO" w:eastAsia="en-US"/>
              </w:rPr>
              <w:t>securității</w:t>
            </w:r>
            <w:r w:rsidRPr="0022238E">
              <w:rPr>
                <w:iCs/>
                <w:sz w:val="28"/>
                <w:szCs w:val="28"/>
                <w:lang w:val="ro-RO" w:eastAsia="en-US"/>
              </w:rPr>
              <w:t xml:space="preserve"> alimentare, a capacității de dezvoltare și de atragere a investițiilor în agricultură, dar și asupra competitivității sectorului agricol, este imperioasă extinderea ariei de protecție antigrindină.</w:t>
            </w:r>
          </w:p>
          <w:p w:rsidR="00B84995" w:rsidRPr="0022238E" w:rsidRDefault="00B84995" w:rsidP="005153E9">
            <w:pPr>
              <w:ind w:firstLine="709"/>
              <w:jc w:val="both"/>
              <w:rPr>
                <w:iCs/>
                <w:sz w:val="28"/>
                <w:szCs w:val="28"/>
                <w:lang w:val="ro-RO" w:eastAsia="en-US"/>
              </w:rPr>
            </w:pPr>
            <w:r w:rsidRPr="0022238E">
              <w:rPr>
                <w:iCs/>
                <w:sz w:val="28"/>
                <w:szCs w:val="28"/>
                <w:lang w:val="ro-RO" w:eastAsia="en-US"/>
              </w:rPr>
              <w:t>Astfel, începând cu anul 1999 și până în prezent, suprafața raionului Ștefan Vodă, în marea majoritate, nu a fost supusă protecției antigrindină, din care motiv, anual, au fost generate pierderi considerabile atât în sectorul agrar, cât și în cel social. În perioada anilor 2013 – 2018, spre exemplu, pe teritoriul neprotejat al raionului Ștefan Vodă au fost înregistrate căderi masive de grindină cu afectarea culturilor agricole pe un teritoriu de 3511,8 mii ha, provocând prejudicii financiare considerabile.</w:t>
            </w:r>
          </w:p>
          <w:p w:rsidR="00B84995" w:rsidRPr="0022238E" w:rsidRDefault="00B84995" w:rsidP="005153E9">
            <w:pPr>
              <w:ind w:firstLine="709"/>
              <w:jc w:val="both"/>
              <w:rPr>
                <w:iCs/>
                <w:sz w:val="28"/>
                <w:szCs w:val="28"/>
                <w:lang w:val="ro-RO" w:eastAsia="en-US"/>
              </w:rPr>
            </w:pPr>
            <w:r w:rsidRPr="0022238E">
              <w:rPr>
                <w:iCs/>
                <w:sz w:val="28"/>
                <w:szCs w:val="28"/>
                <w:lang w:val="ro-RO" w:eastAsia="en-US"/>
              </w:rPr>
              <w:t xml:space="preserve">Experiența ne demonstrează că teritoriile protejate, sunt afectate de căderile de grindină în proporție de până 10 la sută. Datele statistice din ultimii 10 ani demonstrează că eficacitatea lucrărilor antigrindină constituie, anual, 85-90%, ceea ce arată că în 90 dintr-o 100 de situații, aplicarea metodei </w:t>
            </w:r>
            <w:r>
              <w:rPr>
                <w:iCs/>
                <w:sz w:val="28"/>
                <w:szCs w:val="28"/>
                <w:lang w:val="ro-RO" w:eastAsia="en-US"/>
              </w:rPr>
              <w:t xml:space="preserve">de </w:t>
            </w:r>
            <w:r w:rsidRPr="0022238E">
              <w:rPr>
                <w:iCs/>
                <w:sz w:val="28"/>
                <w:szCs w:val="28"/>
                <w:lang w:val="ro-RO" w:eastAsia="en-US"/>
              </w:rPr>
              <w:t>rachetare permite, efectiv, de a combate fenomenul antigrindină.</w:t>
            </w:r>
          </w:p>
          <w:p w:rsidR="00B84995" w:rsidRPr="0022238E" w:rsidRDefault="00B84995" w:rsidP="005153E9">
            <w:pPr>
              <w:ind w:firstLine="709"/>
              <w:jc w:val="both"/>
              <w:rPr>
                <w:b/>
                <w:iCs/>
                <w:sz w:val="28"/>
                <w:szCs w:val="28"/>
                <w:lang w:val="ro-RO" w:eastAsia="en-US"/>
              </w:rPr>
            </w:pPr>
          </w:p>
        </w:tc>
      </w:tr>
      <w:tr w:rsidR="00B84995" w:rsidRPr="001919A8" w:rsidTr="005153E9">
        <w:tc>
          <w:tcPr>
            <w:tcW w:w="9571" w:type="dxa"/>
          </w:tcPr>
          <w:p w:rsidR="00B84995" w:rsidRPr="0022238E" w:rsidRDefault="00B84995" w:rsidP="005153E9">
            <w:pPr>
              <w:ind w:firstLine="709"/>
              <w:jc w:val="both"/>
              <w:rPr>
                <w:b/>
                <w:iCs/>
                <w:sz w:val="28"/>
                <w:szCs w:val="28"/>
                <w:lang w:val="ro-RO" w:eastAsia="en-US"/>
              </w:rPr>
            </w:pPr>
            <w:r w:rsidRPr="0022238E">
              <w:rPr>
                <w:b/>
                <w:iCs/>
                <w:sz w:val="28"/>
                <w:szCs w:val="28"/>
                <w:lang w:val="ro-RO" w:eastAsia="en-US"/>
              </w:rPr>
              <w:t xml:space="preserve">3. Descrierea gradului de compatibilitate, pentru proiectele care au ca scop armonizarea legislației naționale cu legislația Uniunii Europene </w:t>
            </w:r>
          </w:p>
        </w:tc>
      </w:tr>
      <w:tr w:rsidR="00B84995" w:rsidRPr="001919A8" w:rsidTr="005153E9">
        <w:tc>
          <w:tcPr>
            <w:tcW w:w="9571" w:type="dxa"/>
          </w:tcPr>
          <w:p w:rsidR="00B84995" w:rsidRPr="0022238E" w:rsidRDefault="00B84995" w:rsidP="005153E9">
            <w:pPr>
              <w:ind w:firstLine="709"/>
              <w:jc w:val="both"/>
              <w:rPr>
                <w:iCs/>
                <w:sz w:val="28"/>
                <w:szCs w:val="28"/>
                <w:lang w:val="ro-RO" w:eastAsia="en-US"/>
              </w:rPr>
            </w:pPr>
            <w:r w:rsidRPr="0022238E">
              <w:rPr>
                <w:iCs/>
                <w:sz w:val="28"/>
                <w:szCs w:val="28"/>
                <w:lang w:val="ro-RO" w:eastAsia="en-US"/>
              </w:rPr>
              <w:t>Prezentul proiect de act normativ nu contravine legislației Uniunii Europene.</w:t>
            </w:r>
          </w:p>
        </w:tc>
      </w:tr>
      <w:tr w:rsidR="00B84995" w:rsidRPr="001919A8" w:rsidTr="005153E9">
        <w:tc>
          <w:tcPr>
            <w:tcW w:w="9571" w:type="dxa"/>
          </w:tcPr>
          <w:p w:rsidR="00B84995" w:rsidRPr="0022238E" w:rsidRDefault="00B84995" w:rsidP="005153E9">
            <w:pPr>
              <w:ind w:firstLine="709"/>
              <w:jc w:val="both"/>
              <w:rPr>
                <w:b/>
                <w:iCs/>
                <w:sz w:val="28"/>
                <w:szCs w:val="28"/>
                <w:lang w:val="ro-RO" w:eastAsia="en-US"/>
              </w:rPr>
            </w:pPr>
            <w:r w:rsidRPr="0022238E">
              <w:rPr>
                <w:b/>
                <w:iCs/>
                <w:sz w:val="28"/>
                <w:szCs w:val="28"/>
                <w:lang w:val="ro-RO" w:eastAsia="en-US"/>
              </w:rPr>
              <w:t>4. Principalele prevederi ale proiectului și evidențierea elementelor noi</w:t>
            </w:r>
          </w:p>
        </w:tc>
      </w:tr>
      <w:tr w:rsidR="00B84995" w:rsidRPr="001919A8" w:rsidTr="005153E9">
        <w:tc>
          <w:tcPr>
            <w:tcW w:w="9571" w:type="dxa"/>
          </w:tcPr>
          <w:p w:rsidR="00B84995" w:rsidRPr="0022238E" w:rsidRDefault="00B84995" w:rsidP="005153E9">
            <w:pPr>
              <w:ind w:firstLine="709"/>
              <w:jc w:val="both"/>
              <w:rPr>
                <w:iCs/>
                <w:sz w:val="28"/>
                <w:szCs w:val="28"/>
                <w:lang w:val="ro-RO" w:eastAsia="en-US"/>
              </w:rPr>
            </w:pPr>
            <w:r w:rsidRPr="0022238E">
              <w:rPr>
                <w:iCs/>
                <w:sz w:val="28"/>
                <w:szCs w:val="28"/>
                <w:lang w:val="ro-RO" w:eastAsia="en-US"/>
              </w:rPr>
              <w:lastRenderedPageBreak/>
              <w:t xml:space="preserve">Proiectul hotărârii Guvernului </w:t>
            </w:r>
            <w:r w:rsidRPr="0022238E">
              <w:rPr>
                <w:bCs/>
                <w:iCs/>
                <w:sz w:val="28"/>
                <w:szCs w:val="28"/>
                <w:lang w:val="ro-RO" w:eastAsia="en-US"/>
              </w:rPr>
              <w:t>„Cu privire la aprobarea modificărilor ce se operează în unele hotărâri ale Guvernului”</w:t>
            </w:r>
            <w:r w:rsidRPr="0022238E">
              <w:rPr>
                <w:b/>
                <w:bCs/>
                <w:iCs/>
                <w:sz w:val="28"/>
                <w:szCs w:val="28"/>
                <w:lang w:val="ro-RO" w:eastAsia="en-US"/>
              </w:rPr>
              <w:t xml:space="preserve"> </w:t>
            </w:r>
            <w:r w:rsidRPr="0022238E">
              <w:rPr>
                <w:iCs/>
                <w:sz w:val="28"/>
                <w:szCs w:val="28"/>
                <w:lang w:val="ro-RO" w:eastAsia="en-US"/>
              </w:rPr>
              <w:t xml:space="preserve">este elaborat având drept scop final extinderea suprafeței de protecție antigrindină a culturilor agricole în zona centrală și de sud-est a Republicii Moldova prin crearea infrastructurii necesare în aceste zone. </w:t>
            </w:r>
          </w:p>
          <w:p w:rsidR="00B84995" w:rsidRPr="0022238E" w:rsidRDefault="00B84995" w:rsidP="005153E9">
            <w:pPr>
              <w:ind w:firstLine="709"/>
              <w:jc w:val="both"/>
              <w:rPr>
                <w:iCs/>
                <w:sz w:val="28"/>
                <w:szCs w:val="28"/>
                <w:lang w:val="ro-RO" w:eastAsia="en-US"/>
              </w:rPr>
            </w:pPr>
            <w:r w:rsidRPr="0022238E">
              <w:rPr>
                <w:iCs/>
                <w:sz w:val="28"/>
                <w:szCs w:val="28"/>
                <w:lang w:val="ro-RO" w:eastAsia="en-US"/>
              </w:rPr>
              <w:t>Astfel, proiectul de hotărâre prevede majorarea cu 128 de unități de personal a efectivului-limită al Serviciului Special pentru Influențe Active asupra Proceselor Hidrometeorologice, necesare pentru deschiderea a 18 puncte rachetare suplimentare, 3 din care vor fi amplasate în raionul Hîncești, 11 puncte rachetare - pe teritoriul raionului Ștefan Vodă și Căușeni și 4 puncte rachetare - în unitatea specială Sîngerei, pe teritoriul raionului Șoldănești.</w:t>
            </w:r>
          </w:p>
          <w:p w:rsidR="00B84995" w:rsidRPr="0022238E" w:rsidRDefault="00B84995" w:rsidP="005153E9">
            <w:pPr>
              <w:ind w:firstLine="709"/>
              <w:jc w:val="both"/>
              <w:rPr>
                <w:iCs/>
                <w:sz w:val="28"/>
                <w:szCs w:val="28"/>
                <w:lang w:val="ro-RO" w:eastAsia="en-US"/>
              </w:rPr>
            </w:pPr>
            <w:r w:rsidRPr="0022238E">
              <w:rPr>
                <w:iCs/>
                <w:sz w:val="28"/>
                <w:szCs w:val="28"/>
                <w:lang w:val="ro-RO" w:eastAsia="en-US"/>
              </w:rPr>
              <w:t xml:space="preserve">Conform proiectului, se propune aprobarea majorării efectivului-limită al Serviciului Special pentru Influențe Active asupra Proceselor Hidrometeorologice până la 1288 unități de personal în total, inclusiv </w:t>
            </w:r>
            <w:r w:rsidRPr="0022238E">
              <w:rPr>
                <w:color w:val="000000"/>
                <w:sz w:val="28"/>
                <w:szCs w:val="28"/>
                <w:lang w:val="ro-RO"/>
              </w:rPr>
              <w:t>1203</w:t>
            </w:r>
            <w:r w:rsidRPr="0022238E">
              <w:rPr>
                <w:iCs/>
                <w:sz w:val="28"/>
                <w:szCs w:val="28"/>
                <w:lang w:val="ro-RO" w:eastAsia="en-US"/>
              </w:rPr>
              <w:t xml:space="preserve"> unități de personal  pentru unitățile speciale din teritoriu.</w:t>
            </w:r>
          </w:p>
          <w:p w:rsidR="00B84995" w:rsidRPr="0022238E" w:rsidRDefault="00B84995" w:rsidP="005153E9">
            <w:pPr>
              <w:ind w:firstLine="709"/>
              <w:jc w:val="both"/>
              <w:rPr>
                <w:iCs/>
                <w:sz w:val="28"/>
                <w:szCs w:val="28"/>
                <w:lang w:val="ro-RO" w:eastAsia="en-US"/>
              </w:rPr>
            </w:pPr>
            <w:r w:rsidRPr="0022238E">
              <w:rPr>
                <w:iCs/>
                <w:sz w:val="28"/>
                <w:szCs w:val="28"/>
                <w:lang w:val="ro-RO" w:eastAsia="en-US"/>
              </w:rPr>
              <w:t xml:space="preserve">Modificările respective se propun a fi operate atât în Hotărârea Guvernului nr.1120/ 2005 </w:t>
            </w:r>
            <w:r w:rsidRPr="0022238E">
              <w:rPr>
                <w:bCs/>
                <w:iCs/>
                <w:sz w:val="28"/>
                <w:szCs w:val="28"/>
                <w:lang w:val="ro-RO" w:eastAsia="en-US"/>
              </w:rPr>
              <w:t xml:space="preserve">cu privire la unele măsuri de eficientizare a lucrărilor de combatere a căderilor de grindină, cât și în Hotărârea Guvernului </w:t>
            </w:r>
            <w:r w:rsidRPr="0022238E">
              <w:rPr>
                <w:iCs/>
                <w:sz w:val="28"/>
                <w:szCs w:val="28"/>
                <w:lang w:val="ro-RO" w:eastAsia="en-US"/>
              </w:rPr>
              <w:t>nr. 384/2003 „Cu privire la aprobarea efectivului-limită al personalului serviciilor publice create pe lângă Ministerul Agriculturii și Industriei Alimentare”.</w:t>
            </w:r>
          </w:p>
          <w:p w:rsidR="00B84995" w:rsidRPr="0022238E" w:rsidRDefault="00B84995" w:rsidP="005153E9">
            <w:pPr>
              <w:ind w:firstLine="709"/>
              <w:jc w:val="both"/>
              <w:rPr>
                <w:iCs/>
                <w:sz w:val="28"/>
                <w:szCs w:val="28"/>
                <w:lang w:val="ro-RO" w:eastAsia="en-US"/>
              </w:rPr>
            </w:pPr>
            <w:r w:rsidRPr="0022238E">
              <w:rPr>
                <w:iCs/>
                <w:sz w:val="28"/>
                <w:szCs w:val="28"/>
                <w:lang w:val="ro-RO" w:eastAsia="en-US"/>
              </w:rPr>
              <w:t xml:space="preserve">Deschiderea a 18 puncte rachetare noi va permite extinderea lucrărilor de combatere a căderilor de grindină și a altor lucrări vizând influențele active asupra proceselor meteorologice și altor procese geofizice, iar suprafața de protecție antigrindină în zona centrală și de sud-est a Republicii Moldova va fi majorată cu circa 250 mii ha. </w:t>
            </w:r>
          </w:p>
          <w:p w:rsidR="00B84995" w:rsidRPr="0022238E" w:rsidRDefault="00B84995" w:rsidP="005153E9">
            <w:pPr>
              <w:ind w:firstLine="709"/>
              <w:jc w:val="both"/>
              <w:rPr>
                <w:iCs/>
                <w:sz w:val="28"/>
                <w:szCs w:val="28"/>
                <w:lang w:val="ro-RO" w:eastAsia="en-US"/>
              </w:rPr>
            </w:pPr>
            <w:r w:rsidRPr="0022238E">
              <w:rPr>
                <w:iCs/>
                <w:sz w:val="28"/>
                <w:szCs w:val="28"/>
                <w:lang w:val="ro-RO" w:eastAsia="en-US"/>
              </w:rPr>
              <w:t>Drept rezultat, aceasta va favoriza majorarea recoltei agricole, va contribui la dezvoltarea durabilă rurală și la sporirea veniturilor populației, contribuind, totodată la minimalizarea riscului de eroziune a solului.</w:t>
            </w:r>
          </w:p>
          <w:p w:rsidR="00B84995" w:rsidRPr="0022238E" w:rsidRDefault="00B84995" w:rsidP="005153E9">
            <w:pPr>
              <w:ind w:firstLine="709"/>
              <w:jc w:val="both"/>
              <w:rPr>
                <w:iCs/>
                <w:sz w:val="28"/>
                <w:szCs w:val="28"/>
                <w:lang w:val="ro-RO" w:eastAsia="en-US"/>
              </w:rPr>
            </w:pPr>
            <w:r w:rsidRPr="0022238E">
              <w:rPr>
                <w:iCs/>
                <w:sz w:val="28"/>
                <w:szCs w:val="28"/>
                <w:lang w:val="ro-RO" w:eastAsia="en-US"/>
              </w:rPr>
              <w:t>Conform proiectului de hotărâre se prevede majorarea de la 62 lei la 75 lei a  tarifului pentru lucrările de protecție antigrindină a unui hectar de terenuri agricole, condiționată de majorarea cheltuielilor necesare pentru protejarea antigrindină a unui ha de suprafață, inclusiv a cheltuielilor de personal.</w:t>
            </w:r>
          </w:p>
          <w:p w:rsidR="00B84995" w:rsidRPr="0022238E" w:rsidRDefault="00B84995" w:rsidP="005153E9">
            <w:pPr>
              <w:ind w:firstLine="709"/>
              <w:jc w:val="both"/>
              <w:rPr>
                <w:iCs/>
                <w:sz w:val="28"/>
                <w:szCs w:val="28"/>
                <w:lang w:val="ro-RO" w:eastAsia="en-US"/>
              </w:rPr>
            </w:pPr>
            <w:r w:rsidRPr="0022238E">
              <w:rPr>
                <w:iCs/>
                <w:sz w:val="28"/>
                <w:szCs w:val="28"/>
                <w:lang w:val="ro-RO" w:eastAsia="en-US"/>
              </w:rPr>
              <w:t>Conform calculelor prezentate la Cadrul Bugetar pe Termen Mediu pe anii 2020-2022 (CBTM), Serviciul Special a înaintat propuneri de cheltuieli suplimentare pentru deschiderea a 11 puncte rachetare în unitatea specială Ștefan-Vodă (Formular nr.1s), în sumă de 11377,9 mii lei, din care 3613,7 mii lei – cheltuieli de personal pentru 74 de unități (2834,3 mii lei –pentru remunerarea angajaților conform statelor; 651,9 – contribuții de asigurări sociale; 127,5 – prime de asigurare obligatoriu de asistență medicală). Aria de protejare a culturilor agricole contra căderilor de grindină de către aceste 11 puncte rachetare constituie 151,8 mii ha, reieșind din aria medie de protecție de către un punct rachetar de circa 13,8 hectare.</w:t>
            </w:r>
          </w:p>
          <w:p w:rsidR="00B84995" w:rsidRPr="0022238E" w:rsidRDefault="00B84995" w:rsidP="005153E9">
            <w:pPr>
              <w:ind w:firstLine="709"/>
              <w:jc w:val="both"/>
              <w:rPr>
                <w:iCs/>
                <w:sz w:val="28"/>
                <w:szCs w:val="28"/>
                <w:lang w:val="ro-RO" w:eastAsia="en-US"/>
              </w:rPr>
            </w:pPr>
            <w:r w:rsidRPr="0022238E">
              <w:rPr>
                <w:iCs/>
                <w:sz w:val="28"/>
                <w:szCs w:val="28"/>
                <w:lang w:val="ro-RO" w:eastAsia="en-US"/>
              </w:rPr>
              <w:t>Astfel, costul de întreținere a lucrărilor de combatere a grindinei de către punctele rachetare constituie, în mediu 75 lei pentru protejarea unui hectar de terenuri agricole (11377,9 mii lei : 151,8 mii ha = 74,95 lei).</w:t>
            </w:r>
          </w:p>
          <w:p w:rsidR="00B84995" w:rsidRPr="0022238E" w:rsidRDefault="00B84995" w:rsidP="005153E9">
            <w:pPr>
              <w:ind w:firstLine="709"/>
              <w:jc w:val="both"/>
              <w:rPr>
                <w:iCs/>
                <w:sz w:val="28"/>
                <w:szCs w:val="28"/>
                <w:lang w:val="ro-RO" w:eastAsia="en-US"/>
              </w:rPr>
            </w:pPr>
            <w:r w:rsidRPr="0022238E">
              <w:rPr>
                <w:iCs/>
                <w:sz w:val="28"/>
                <w:szCs w:val="28"/>
                <w:lang w:val="ro-RO" w:eastAsia="en-US"/>
              </w:rPr>
              <w:t xml:space="preserve">De asemenea, întru realizarea </w:t>
            </w:r>
            <w:r w:rsidRPr="0022238E">
              <w:rPr>
                <w:bCs/>
                <w:iCs/>
                <w:sz w:val="28"/>
                <w:szCs w:val="28"/>
                <w:lang w:val="ro-RO" w:eastAsia="en-US"/>
              </w:rPr>
              <w:t>Hotărârii Guvernului n</w:t>
            </w:r>
            <w:r w:rsidRPr="0022238E">
              <w:rPr>
                <w:iCs/>
                <w:sz w:val="28"/>
                <w:szCs w:val="28"/>
                <w:lang w:val="ro-RO" w:eastAsia="en-US"/>
              </w:rPr>
              <w:t xml:space="preserve">r. 1231 din 12.12.2018 </w:t>
            </w:r>
            <w:r w:rsidRPr="0022238E">
              <w:rPr>
                <w:bCs/>
                <w:iCs/>
                <w:sz w:val="28"/>
                <w:szCs w:val="28"/>
                <w:lang w:val="ro-RO" w:eastAsia="en-US"/>
              </w:rPr>
              <w:t>pentru punerea în aplicare a prevederilor Legii nr. 270/2018 privind sistemul unitar de salarizare în sectorul bugetar</w:t>
            </w:r>
            <w:r w:rsidRPr="0022238E">
              <w:rPr>
                <w:iCs/>
                <w:sz w:val="28"/>
                <w:szCs w:val="28"/>
                <w:lang w:val="ro-RO" w:eastAsia="en-US"/>
              </w:rPr>
              <w:t xml:space="preserve"> (Anexa nr.5),</w:t>
            </w:r>
            <w:r w:rsidRPr="0022238E">
              <w:rPr>
                <w:bCs/>
                <w:iCs/>
                <w:sz w:val="28"/>
                <w:szCs w:val="28"/>
                <w:lang w:val="ro-RO" w:eastAsia="en-US"/>
              </w:rPr>
              <w:t xml:space="preserve"> conform proiectului hotărârii se </w:t>
            </w:r>
            <w:r w:rsidRPr="0022238E">
              <w:rPr>
                <w:bCs/>
                <w:iCs/>
                <w:sz w:val="28"/>
                <w:szCs w:val="28"/>
                <w:lang w:val="ro-RO" w:eastAsia="en-US"/>
              </w:rPr>
              <w:lastRenderedPageBreak/>
              <w:t xml:space="preserve">prevede </w:t>
            </w:r>
            <w:r w:rsidRPr="0022238E">
              <w:rPr>
                <w:iCs/>
                <w:sz w:val="28"/>
                <w:szCs w:val="28"/>
                <w:lang w:val="ro-RO" w:eastAsia="en-US"/>
              </w:rPr>
              <w:t xml:space="preserve"> majorarea de la 40 de lei la 90 de lei a salariului pentru o oră (unitate de timp) pentru personalul antrenat în activitatea didactică, de instruire prin cursuri a specialiștilor privind bazele influențelor active asupra proceselor de grindină. </w:t>
            </w:r>
          </w:p>
        </w:tc>
      </w:tr>
      <w:tr w:rsidR="00B84995" w:rsidRPr="0022238E" w:rsidTr="005153E9">
        <w:tc>
          <w:tcPr>
            <w:tcW w:w="9571" w:type="dxa"/>
          </w:tcPr>
          <w:p w:rsidR="00B84995" w:rsidRPr="0022238E" w:rsidRDefault="00B84995" w:rsidP="005153E9">
            <w:pPr>
              <w:ind w:firstLine="709"/>
              <w:jc w:val="both"/>
              <w:rPr>
                <w:b/>
                <w:iCs/>
                <w:sz w:val="28"/>
                <w:szCs w:val="28"/>
                <w:lang w:val="ro-RO" w:eastAsia="en-US"/>
              </w:rPr>
            </w:pPr>
            <w:r w:rsidRPr="0022238E">
              <w:rPr>
                <w:b/>
                <w:iCs/>
                <w:sz w:val="28"/>
                <w:szCs w:val="28"/>
                <w:lang w:val="ro-RO" w:eastAsia="en-US"/>
              </w:rPr>
              <w:lastRenderedPageBreak/>
              <w:t xml:space="preserve">5. Fundamentarea economico-financiară </w:t>
            </w:r>
          </w:p>
        </w:tc>
      </w:tr>
      <w:tr w:rsidR="00B84995" w:rsidRPr="001919A8" w:rsidTr="005153E9">
        <w:tc>
          <w:tcPr>
            <w:tcW w:w="9571" w:type="dxa"/>
          </w:tcPr>
          <w:p w:rsidR="00B84995" w:rsidRPr="0022238E" w:rsidRDefault="00B84995" w:rsidP="005153E9">
            <w:pPr>
              <w:ind w:firstLine="709"/>
              <w:jc w:val="both"/>
              <w:rPr>
                <w:b/>
                <w:iCs/>
                <w:sz w:val="28"/>
                <w:szCs w:val="28"/>
                <w:lang w:val="ro-RO" w:eastAsia="en-US"/>
              </w:rPr>
            </w:pPr>
            <w:r w:rsidRPr="0022238E">
              <w:rPr>
                <w:iCs/>
                <w:sz w:val="28"/>
                <w:szCs w:val="28"/>
                <w:lang w:val="ro-RO" w:eastAsia="en-US"/>
              </w:rPr>
              <w:t xml:space="preserve">Adoptarea proiectului de hotărâre necesită cheltuieli financiare suplimentare asupra bugetului public național pentru întreținerea a 128 de unități de personal în sumă de 6920,60 mii lei, inclusiv:  5427,92 mii lei  – cheltuieli de salariu, 1248,42 mii lei - contribuții de asigurări sociale de stat obligatorii; 244,26 mii lei - prime de asigurare obligatorie de asistența medicală. </w:t>
            </w:r>
          </w:p>
        </w:tc>
      </w:tr>
      <w:tr w:rsidR="00B84995" w:rsidRPr="001919A8" w:rsidTr="005153E9">
        <w:tc>
          <w:tcPr>
            <w:tcW w:w="9571" w:type="dxa"/>
          </w:tcPr>
          <w:p w:rsidR="00B84995" w:rsidRPr="0022238E" w:rsidRDefault="00B84995" w:rsidP="005153E9">
            <w:pPr>
              <w:ind w:firstLine="709"/>
              <w:jc w:val="both"/>
              <w:rPr>
                <w:b/>
                <w:iCs/>
                <w:sz w:val="28"/>
                <w:szCs w:val="28"/>
                <w:lang w:val="ro-RO" w:eastAsia="en-US"/>
              </w:rPr>
            </w:pPr>
            <w:r w:rsidRPr="0022238E">
              <w:rPr>
                <w:b/>
                <w:iCs/>
                <w:sz w:val="28"/>
                <w:szCs w:val="28"/>
                <w:lang w:val="ro-RO" w:eastAsia="en-US"/>
              </w:rPr>
              <w:t xml:space="preserve">6. Avizarea și consultarea publică a proiectului </w:t>
            </w:r>
          </w:p>
        </w:tc>
      </w:tr>
      <w:tr w:rsidR="00B84995" w:rsidRPr="001919A8" w:rsidTr="005153E9">
        <w:tc>
          <w:tcPr>
            <w:tcW w:w="9571" w:type="dxa"/>
          </w:tcPr>
          <w:p w:rsidR="00B84995" w:rsidRPr="0022238E" w:rsidRDefault="00B84995" w:rsidP="005153E9">
            <w:pPr>
              <w:ind w:firstLine="709"/>
              <w:jc w:val="both"/>
              <w:rPr>
                <w:b/>
                <w:iCs/>
                <w:sz w:val="28"/>
                <w:szCs w:val="28"/>
                <w:lang w:val="ro-RO" w:eastAsia="en-US"/>
              </w:rPr>
            </w:pPr>
            <w:r w:rsidRPr="0022238E">
              <w:rPr>
                <w:iCs/>
                <w:sz w:val="28"/>
                <w:szCs w:val="28"/>
                <w:lang w:val="ro-RO" w:eastAsia="en-US"/>
              </w:rPr>
              <w:t xml:space="preserve">În scopul respectării prevederilor Legii nr.239/2008 privind transparența în procesul decizional, proiectul hotărârii Guvernului </w:t>
            </w:r>
            <w:r w:rsidRPr="0022238E">
              <w:rPr>
                <w:bCs/>
                <w:iCs/>
                <w:sz w:val="28"/>
                <w:szCs w:val="28"/>
                <w:lang w:val="ro-RO" w:eastAsia="en-US"/>
              </w:rPr>
              <w:t>„Cu privire la aprobarea modificărilor ce se operează în unele hotărâri ale Guvernului”</w:t>
            </w:r>
            <w:r w:rsidRPr="0022238E">
              <w:rPr>
                <w:b/>
                <w:bCs/>
                <w:iCs/>
                <w:sz w:val="28"/>
                <w:szCs w:val="28"/>
                <w:lang w:val="ro-RO" w:eastAsia="en-US"/>
              </w:rPr>
              <w:t xml:space="preserve"> </w:t>
            </w:r>
            <w:r w:rsidRPr="0022238E">
              <w:rPr>
                <w:iCs/>
                <w:sz w:val="28"/>
                <w:szCs w:val="28"/>
                <w:lang w:val="ro-RO" w:eastAsia="en-US"/>
              </w:rPr>
              <w:t xml:space="preserve"> este publicat pe pagina web oficială a Ministerului </w:t>
            </w:r>
            <w:r w:rsidRPr="0022238E">
              <w:rPr>
                <w:bCs/>
                <w:iCs/>
                <w:sz w:val="28"/>
                <w:szCs w:val="28"/>
                <w:lang w:val="ro-RO" w:eastAsia="en-US"/>
              </w:rPr>
              <w:t>Agriculturii,</w:t>
            </w:r>
            <w:r w:rsidRPr="0022238E">
              <w:rPr>
                <w:iCs/>
                <w:sz w:val="28"/>
                <w:szCs w:val="28"/>
                <w:lang w:val="ro-RO" w:eastAsia="en-US"/>
              </w:rPr>
              <w:t xml:space="preserve"> Dezvoltării Regionale și Mediului (</w:t>
            </w:r>
            <w:hyperlink r:id="rId4" w:history="1">
              <w:r w:rsidRPr="0022238E">
                <w:rPr>
                  <w:iCs/>
                  <w:color w:val="0563C1" w:themeColor="hyperlink"/>
                  <w:sz w:val="28"/>
                  <w:szCs w:val="28"/>
                  <w:u w:val="single"/>
                  <w:lang w:val="ro-RO" w:eastAsia="en-US"/>
                </w:rPr>
                <w:t>www.madrm.gov.md</w:t>
              </w:r>
            </w:hyperlink>
            <w:r w:rsidRPr="0022238E">
              <w:rPr>
                <w:iCs/>
                <w:sz w:val="28"/>
                <w:szCs w:val="28"/>
                <w:lang w:val="ro-RO" w:eastAsia="en-US"/>
              </w:rPr>
              <w:t>), directoriul „Transparența decizională”, secțiunea „Proiecte de documente” și pe site-ul particip.gov.md.</w:t>
            </w:r>
          </w:p>
        </w:tc>
      </w:tr>
    </w:tbl>
    <w:p w:rsidR="00B84995" w:rsidRPr="0022238E" w:rsidRDefault="00B84995" w:rsidP="00B84995">
      <w:pPr>
        <w:ind w:firstLine="709"/>
        <w:jc w:val="both"/>
        <w:rPr>
          <w:b/>
          <w:bCs/>
          <w:color w:val="000000"/>
          <w:sz w:val="22"/>
          <w:szCs w:val="22"/>
          <w:lang w:val="ro-RO"/>
        </w:rPr>
      </w:pPr>
    </w:p>
    <w:p w:rsidR="00B84995" w:rsidRPr="0022238E" w:rsidRDefault="00B84995" w:rsidP="00B84995">
      <w:pPr>
        <w:ind w:firstLine="709"/>
        <w:jc w:val="both"/>
        <w:rPr>
          <w:b/>
          <w:bCs/>
          <w:color w:val="000000"/>
          <w:sz w:val="22"/>
          <w:szCs w:val="22"/>
          <w:lang w:val="ro-RO"/>
        </w:rPr>
      </w:pPr>
    </w:p>
    <w:p w:rsidR="00B84995" w:rsidRPr="0022238E" w:rsidRDefault="00B84995" w:rsidP="00B84995">
      <w:pPr>
        <w:ind w:firstLine="709"/>
        <w:jc w:val="both"/>
        <w:rPr>
          <w:rFonts w:eastAsiaTheme="minorHAnsi"/>
          <w:b/>
          <w:iCs/>
          <w:sz w:val="28"/>
          <w:szCs w:val="28"/>
          <w:lang w:val="ro-RO" w:eastAsia="en-US"/>
        </w:rPr>
      </w:pPr>
    </w:p>
    <w:p w:rsidR="00B84995" w:rsidRPr="0022238E" w:rsidRDefault="00B84995" w:rsidP="00B84995">
      <w:pPr>
        <w:jc w:val="both"/>
        <w:rPr>
          <w:rFonts w:eastAsiaTheme="minorHAnsi"/>
          <w:b/>
          <w:iCs/>
          <w:sz w:val="28"/>
          <w:szCs w:val="28"/>
          <w:lang w:val="ro-RO" w:eastAsia="en-US"/>
        </w:rPr>
      </w:pPr>
      <w:r w:rsidRPr="0022238E">
        <w:rPr>
          <w:rFonts w:eastAsiaTheme="minorHAnsi"/>
          <w:b/>
          <w:iCs/>
          <w:sz w:val="28"/>
          <w:szCs w:val="28"/>
          <w:lang w:val="ro-RO" w:eastAsia="en-US"/>
        </w:rPr>
        <w:t>Ministru</w:t>
      </w:r>
      <w:r w:rsidRPr="0022238E">
        <w:rPr>
          <w:rFonts w:eastAsiaTheme="minorHAnsi"/>
          <w:b/>
          <w:iCs/>
          <w:sz w:val="28"/>
          <w:szCs w:val="28"/>
          <w:lang w:val="ro-RO" w:eastAsia="en-US"/>
        </w:rPr>
        <w:tab/>
      </w:r>
      <w:r w:rsidRPr="0022238E">
        <w:rPr>
          <w:rFonts w:eastAsiaTheme="minorHAnsi"/>
          <w:b/>
          <w:iCs/>
          <w:sz w:val="28"/>
          <w:szCs w:val="28"/>
          <w:lang w:val="ro-RO" w:eastAsia="en-US"/>
        </w:rPr>
        <w:tab/>
      </w:r>
      <w:r>
        <w:rPr>
          <w:rFonts w:eastAsiaTheme="minorHAnsi"/>
          <w:b/>
          <w:iCs/>
          <w:sz w:val="28"/>
          <w:szCs w:val="28"/>
          <w:lang w:val="ro-RO" w:eastAsia="en-US"/>
        </w:rPr>
        <w:tab/>
      </w:r>
      <w:r>
        <w:rPr>
          <w:rFonts w:eastAsiaTheme="minorHAnsi"/>
          <w:b/>
          <w:iCs/>
          <w:sz w:val="28"/>
          <w:szCs w:val="28"/>
          <w:lang w:val="ro-RO" w:eastAsia="en-US"/>
        </w:rPr>
        <w:tab/>
      </w:r>
      <w:r>
        <w:rPr>
          <w:rFonts w:eastAsiaTheme="minorHAnsi"/>
          <w:b/>
          <w:iCs/>
          <w:sz w:val="28"/>
          <w:szCs w:val="28"/>
          <w:lang w:val="ro-RO" w:eastAsia="en-US"/>
        </w:rPr>
        <w:tab/>
      </w:r>
      <w:r w:rsidRPr="0022238E">
        <w:rPr>
          <w:rFonts w:eastAsiaTheme="minorHAnsi"/>
          <w:b/>
          <w:iCs/>
          <w:sz w:val="28"/>
          <w:szCs w:val="28"/>
          <w:lang w:val="ro-RO" w:eastAsia="en-US"/>
        </w:rPr>
        <w:tab/>
      </w:r>
      <w:r w:rsidRPr="0022238E">
        <w:rPr>
          <w:rFonts w:eastAsiaTheme="minorHAnsi"/>
          <w:b/>
          <w:iCs/>
          <w:sz w:val="28"/>
          <w:szCs w:val="28"/>
          <w:lang w:val="ro-RO" w:eastAsia="en-US"/>
        </w:rPr>
        <w:tab/>
      </w:r>
      <w:r w:rsidRPr="0022238E">
        <w:rPr>
          <w:rFonts w:eastAsiaTheme="minorHAnsi"/>
          <w:b/>
          <w:iCs/>
          <w:sz w:val="28"/>
          <w:szCs w:val="28"/>
          <w:lang w:val="ro-RO" w:eastAsia="en-US"/>
        </w:rPr>
        <w:tab/>
      </w:r>
      <w:r w:rsidRPr="0022238E">
        <w:rPr>
          <w:rFonts w:eastAsiaTheme="minorHAnsi"/>
          <w:b/>
          <w:iCs/>
          <w:sz w:val="28"/>
          <w:szCs w:val="28"/>
          <w:lang w:val="ro-RO" w:eastAsia="en-US"/>
        </w:rPr>
        <w:tab/>
        <w:t>Ion PERJU</w:t>
      </w:r>
    </w:p>
    <w:p w:rsidR="00B84995" w:rsidRPr="0022238E" w:rsidRDefault="00B84995" w:rsidP="00B84995">
      <w:pPr>
        <w:ind w:firstLine="709"/>
        <w:jc w:val="both"/>
        <w:rPr>
          <w:rFonts w:eastAsiaTheme="minorHAnsi"/>
          <w:iCs/>
          <w:sz w:val="28"/>
          <w:szCs w:val="28"/>
          <w:lang w:val="ro-RO" w:eastAsia="en-US"/>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E82692" w:rsidRDefault="00B84995" w:rsidP="00B84995">
      <w:pPr>
        <w:rPr>
          <w:sz w:val="28"/>
          <w:szCs w:val="28"/>
          <w:lang w:val="ro-RO"/>
        </w:rPr>
      </w:pPr>
      <w:r w:rsidRPr="00E82692">
        <w:rPr>
          <w:sz w:val="28"/>
          <w:szCs w:val="28"/>
          <w:lang w:val="ro-RO"/>
        </w:rPr>
        <w:t>Coordonat</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Vasile ȘARBAN</w:t>
      </w: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sz w:val="22"/>
          <w:szCs w:val="22"/>
          <w:lang w:val="ro-RO"/>
        </w:rPr>
      </w:pPr>
    </w:p>
    <w:p w:rsidR="00B84995" w:rsidRPr="0022238E" w:rsidRDefault="00B84995" w:rsidP="00B84995">
      <w:pPr>
        <w:rPr>
          <w:i/>
          <w:sz w:val="16"/>
          <w:szCs w:val="16"/>
          <w:lang w:val="ro-RO"/>
        </w:rPr>
      </w:pPr>
      <w:r w:rsidRPr="0022238E">
        <w:rPr>
          <w:i/>
          <w:sz w:val="16"/>
          <w:szCs w:val="16"/>
          <w:lang w:val="ro-RO"/>
        </w:rPr>
        <w:t>Ex: Ghenadie RUSU,</w:t>
      </w:r>
      <w:r w:rsidRPr="0022238E">
        <w:rPr>
          <w:i/>
          <w:sz w:val="16"/>
          <w:szCs w:val="16"/>
          <w:lang w:val="ro-RO"/>
        </w:rPr>
        <w:br/>
        <w:t>tel. 022204573</w:t>
      </w:r>
    </w:p>
    <w:p w:rsidR="00667458" w:rsidRDefault="00667458">
      <w:bookmarkStart w:id="0" w:name="_GoBack"/>
      <w:bookmarkEnd w:id="0"/>
    </w:p>
    <w:sectPr w:rsidR="00667458" w:rsidSect="0036532B">
      <w:pgSz w:w="11906" w:h="16838"/>
      <w:pgMar w:top="851" w:right="567" w:bottom="29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95"/>
    <w:rsid w:val="00667458"/>
    <w:rsid w:val="00B849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44E33-6F95-4A0A-BA94-F04BE0A4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995"/>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3">
    <w:name w:val="Сетка таблицы3"/>
    <w:basedOn w:val="TableNormal"/>
    <w:next w:val="TableGrid"/>
    <w:uiPriority w:val="59"/>
    <w:rsid w:val="00B8499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84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drm.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1185</Words>
  <Characters>6874</Characters>
  <Application>Microsoft Office Word</Application>
  <DocSecurity>0</DocSecurity>
  <Lines>57</Lines>
  <Paragraphs>16</Paragraphs>
  <ScaleCrop>false</ScaleCrop>
  <Company/>
  <LinksUpToDate>false</LinksUpToDate>
  <CharactersWithSpaces>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2020-10-29T14:54:00Z</dcterms:created>
  <dcterms:modified xsi:type="dcterms:W3CDTF">2020-10-29T14:55:00Z</dcterms:modified>
</cp:coreProperties>
</file>