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A70B" w14:textId="77777777" w:rsidR="00187C17" w:rsidRPr="00AB6A5F" w:rsidRDefault="00187C17" w:rsidP="00187C17">
      <w:pPr>
        <w:widowControl w:val="0"/>
        <w:autoSpaceDE w:val="0"/>
        <w:autoSpaceDN w:val="0"/>
        <w:adjustRightInd w:val="0"/>
        <w:jc w:val="center"/>
        <w:rPr>
          <w:b/>
          <w:lang w:val="ro-RO"/>
        </w:rPr>
      </w:pPr>
    </w:p>
    <w:p w14:paraId="18DD139C" w14:textId="77777777" w:rsidR="00187C17" w:rsidRPr="00AB6A5F" w:rsidRDefault="00187C17" w:rsidP="00AB6A5F">
      <w:pPr>
        <w:widowControl w:val="0"/>
        <w:autoSpaceDE w:val="0"/>
        <w:autoSpaceDN w:val="0"/>
        <w:adjustRightInd w:val="0"/>
        <w:jc w:val="center"/>
        <w:rPr>
          <w:b/>
          <w:lang w:val="ro-RO"/>
        </w:rPr>
      </w:pPr>
      <w:r w:rsidRPr="00AB6A5F">
        <w:rPr>
          <w:b/>
          <w:lang w:val="ro-RO"/>
        </w:rPr>
        <w:t>NOTĂ INFORMATIVĂ</w:t>
      </w:r>
    </w:p>
    <w:p w14:paraId="16E08910" w14:textId="77777777" w:rsidR="00A46C6E" w:rsidRPr="00A46C6E" w:rsidRDefault="00187C17" w:rsidP="00A46C6E">
      <w:pPr>
        <w:jc w:val="center"/>
        <w:rPr>
          <w:b/>
          <w:lang w:val="ro-RO"/>
        </w:rPr>
      </w:pPr>
      <w:r w:rsidRPr="00AB6A5F">
        <w:rPr>
          <w:b/>
          <w:lang w:val="ro-RO"/>
        </w:rPr>
        <w:t xml:space="preserve">la proiectul </w:t>
      </w:r>
      <w:r w:rsidR="00CA0073" w:rsidRPr="00AB6A5F">
        <w:rPr>
          <w:b/>
          <w:lang w:val="ro-RO"/>
        </w:rPr>
        <w:t>Hotărîrii de Guvern</w:t>
      </w:r>
      <w:r w:rsidRPr="00AB6A5F">
        <w:rPr>
          <w:b/>
          <w:lang w:val="ro-RO"/>
        </w:rPr>
        <w:t xml:space="preserve"> </w:t>
      </w:r>
      <w:r w:rsidR="00A46C6E" w:rsidRPr="00A46C6E">
        <w:rPr>
          <w:b/>
          <w:lang w:val="ro-RO"/>
        </w:rPr>
        <w:t>pentru modificarea Regulamentului privind eliberarea</w:t>
      </w:r>
    </w:p>
    <w:p w14:paraId="74460D81" w14:textId="1E1C624B" w:rsidR="00187C17" w:rsidRDefault="00A46C6E" w:rsidP="00A46C6E">
      <w:pPr>
        <w:jc w:val="center"/>
        <w:rPr>
          <w:b/>
          <w:lang w:val="ro-RO"/>
        </w:rPr>
      </w:pPr>
      <w:r w:rsidRPr="00A46C6E">
        <w:rPr>
          <w:b/>
          <w:lang w:val="ro-RO"/>
        </w:rPr>
        <w:t>şi utilizarea autorizaţiilor de transporturi rutiere, aprobat prin Hotărârea Guvernului nr. 257/2017</w:t>
      </w:r>
    </w:p>
    <w:p w14:paraId="41F39417" w14:textId="3D2227DC" w:rsidR="00A46C6E" w:rsidRDefault="00A46C6E" w:rsidP="00A46C6E">
      <w:pPr>
        <w:jc w:val="center"/>
        <w:rPr>
          <w:b/>
          <w:lang w:val="ro-RO"/>
        </w:rPr>
      </w:pPr>
    </w:p>
    <w:tbl>
      <w:tblPr>
        <w:tblStyle w:val="TableGrid"/>
        <w:tblW w:w="0" w:type="auto"/>
        <w:tblLook w:val="04A0" w:firstRow="1" w:lastRow="0" w:firstColumn="1" w:lastColumn="0" w:noHBand="0" w:noVBand="1"/>
      </w:tblPr>
      <w:tblGrid>
        <w:gridCol w:w="9345"/>
      </w:tblGrid>
      <w:tr w:rsidR="00A46C6E" w14:paraId="6DEBF011" w14:textId="77777777" w:rsidTr="00A46C6E">
        <w:tc>
          <w:tcPr>
            <w:tcW w:w="9345" w:type="dxa"/>
          </w:tcPr>
          <w:p w14:paraId="18F44446" w14:textId="6BADC97D" w:rsidR="00A46C6E" w:rsidRDefault="00A46C6E" w:rsidP="00A46C6E">
            <w:pPr>
              <w:ind w:firstLine="596"/>
              <w:jc w:val="both"/>
              <w:rPr>
                <w:i/>
                <w:lang w:val="ro-RO"/>
              </w:rPr>
            </w:pPr>
            <w:r>
              <w:rPr>
                <w:b/>
                <w:lang w:val="ro-RO"/>
              </w:rPr>
              <w:t xml:space="preserve">1. </w:t>
            </w:r>
            <w:r w:rsidRPr="00AB6A5F">
              <w:rPr>
                <w:b/>
                <w:lang w:val="ro-RO"/>
              </w:rPr>
              <w:t>Denumirea autorului şi, după caz, a participanților la elaborarea proiectului</w:t>
            </w:r>
          </w:p>
        </w:tc>
      </w:tr>
      <w:tr w:rsidR="00A46C6E" w14:paraId="3CC2279D" w14:textId="77777777" w:rsidTr="00A46C6E">
        <w:tc>
          <w:tcPr>
            <w:tcW w:w="9345" w:type="dxa"/>
          </w:tcPr>
          <w:p w14:paraId="798D4CA4" w14:textId="6DBEE101" w:rsidR="00A46C6E" w:rsidRDefault="00A46C6E" w:rsidP="00A46C6E">
            <w:pPr>
              <w:ind w:firstLine="596"/>
              <w:jc w:val="both"/>
              <w:rPr>
                <w:b/>
                <w:lang w:val="ro-RO"/>
              </w:rPr>
            </w:pPr>
            <w:r w:rsidRPr="00AB6A5F">
              <w:rPr>
                <w:lang w:val="ro-RO"/>
              </w:rPr>
              <w:t>Ministerul Economiei și Infrastructurii, Agenția Națională Transport Auto</w:t>
            </w:r>
          </w:p>
        </w:tc>
      </w:tr>
      <w:tr w:rsidR="00A46C6E" w14:paraId="72331855" w14:textId="77777777" w:rsidTr="00A46C6E">
        <w:tc>
          <w:tcPr>
            <w:tcW w:w="9345" w:type="dxa"/>
          </w:tcPr>
          <w:p w14:paraId="01D56291" w14:textId="0F7427D5" w:rsidR="00A46C6E" w:rsidRDefault="00A46C6E" w:rsidP="00A46C6E">
            <w:pPr>
              <w:ind w:firstLine="596"/>
              <w:jc w:val="both"/>
              <w:rPr>
                <w:b/>
                <w:lang w:val="ro-RO"/>
              </w:rPr>
            </w:pPr>
            <w:r>
              <w:rPr>
                <w:b/>
                <w:lang w:val="ro-RO"/>
              </w:rPr>
              <w:t xml:space="preserve">2. </w:t>
            </w:r>
            <w:r w:rsidRPr="00AB6A5F">
              <w:rPr>
                <w:b/>
                <w:lang w:val="ro-RO"/>
              </w:rPr>
              <w:t>Condiţiile ce au impus elaborarea proiectului actului normativ şi finalitățile urmărite</w:t>
            </w:r>
          </w:p>
        </w:tc>
      </w:tr>
      <w:tr w:rsidR="00A46C6E" w14:paraId="4788E054" w14:textId="77777777" w:rsidTr="00A46C6E">
        <w:tc>
          <w:tcPr>
            <w:tcW w:w="9345" w:type="dxa"/>
          </w:tcPr>
          <w:p w14:paraId="4DFD32CE" w14:textId="77777777" w:rsidR="00DE3002" w:rsidRPr="00A46C6E" w:rsidRDefault="00DE3002" w:rsidP="00DE3002">
            <w:pPr>
              <w:ind w:firstLine="596"/>
              <w:jc w:val="both"/>
              <w:rPr>
                <w:lang w:val="ro-RO"/>
              </w:rPr>
            </w:pPr>
            <w:r w:rsidRPr="00A46C6E">
              <w:rPr>
                <w:lang w:val="ro-RO"/>
              </w:rPr>
              <w:t>Prin legea nr.181/2020 au fost operate modificări ale Codului transporturilor rutiere nr.150/2014 în partea ce ține de regulile de  modul de solicitare, eliberare și utilizare a actelor permisive . Pct. 1 din art. 1 al Legii stabilește că criteriile de atribuire a autorizaţiilor la categoria celor cu stoc limitat, termenele, precum şi categoriile respective se stabilesc de către Guvern.</w:t>
            </w:r>
          </w:p>
          <w:p w14:paraId="0592EB38" w14:textId="77777777" w:rsidR="00DE3002" w:rsidRPr="00A46C6E" w:rsidRDefault="00DE3002" w:rsidP="00DE3002">
            <w:pPr>
              <w:ind w:firstLine="596"/>
              <w:jc w:val="both"/>
              <w:rPr>
                <w:lang w:val="ro-RO"/>
              </w:rPr>
            </w:pPr>
            <w:r w:rsidRPr="00A46C6E">
              <w:rPr>
                <w:lang w:val="ro-RO"/>
              </w:rPr>
              <w:t>Totodată, art. 2 alin. (2) al Legii stabilește obligativitatea Guvernului, în termen de 3 luni de la data publicării legii, de a aduce în concordanță actele sale normative.</w:t>
            </w:r>
          </w:p>
          <w:p w14:paraId="13C6055F" w14:textId="77777777" w:rsidR="00A46C6E" w:rsidRPr="00A46C6E" w:rsidRDefault="00A46C6E" w:rsidP="00A46C6E">
            <w:pPr>
              <w:ind w:firstLine="596"/>
              <w:jc w:val="both"/>
              <w:rPr>
                <w:lang w:val="ro-RO"/>
              </w:rPr>
            </w:pPr>
            <w:r w:rsidRPr="00A46C6E">
              <w:rPr>
                <w:lang w:val="ro-RO"/>
              </w:rPr>
              <w:t>Prin Hotărîrea Guvernului nr. 257/2017 a fost aprobat Regulamentul privind eliberarea și utilizarea autorizațiilor de transporturi rutiere care stabilește principiile şi condiţiile de repartizare, eliberare, utilizare şi restituire a autorizaţiilor din domeniul transporturile rutiere, precum și sancțiunile aplicate pentru nerespectarea condițiilor.</w:t>
            </w:r>
          </w:p>
          <w:p w14:paraId="2EC8C389" w14:textId="6E71A174" w:rsidR="00A46C6E" w:rsidRPr="00A46C6E" w:rsidRDefault="00DE3002" w:rsidP="00A46C6E">
            <w:pPr>
              <w:ind w:firstLine="596"/>
              <w:jc w:val="both"/>
              <w:rPr>
                <w:lang w:val="ro-RO"/>
              </w:rPr>
            </w:pPr>
            <w:r>
              <w:rPr>
                <w:lang w:val="ro-RO"/>
              </w:rPr>
              <w:t>Astfel proiectul urmează să ajusteze prevederile existente ale Regulamentului cu prevederile Codului Transporturilor Rutiere.</w:t>
            </w:r>
          </w:p>
          <w:p w14:paraId="73884F6F" w14:textId="6B2DBBDB" w:rsidR="00A46C6E" w:rsidRPr="00A46C6E" w:rsidRDefault="00A46C6E" w:rsidP="00A46C6E">
            <w:pPr>
              <w:ind w:firstLine="596"/>
              <w:jc w:val="both"/>
              <w:rPr>
                <w:lang w:val="ro-RO"/>
              </w:rPr>
            </w:pPr>
            <w:r w:rsidRPr="00A46C6E">
              <w:rPr>
                <w:lang w:val="ro-RO"/>
              </w:rPr>
              <w:t>La moment este la etapa de testare Sistemul informațional ,,e-Autorizație transport”, sarcina tehnică a căruia a fost elaborată în corespundere cu prevederile Codului transporturilor rutiere, în vigoare pînă la data intrării în vigoare a Legii nr.181/2020.</w:t>
            </w:r>
          </w:p>
          <w:p w14:paraId="106D2DF6" w14:textId="548CB9CB" w:rsidR="00A46C6E" w:rsidRDefault="00A46C6E" w:rsidP="00A46C6E">
            <w:pPr>
              <w:ind w:firstLine="596"/>
              <w:jc w:val="both"/>
              <w:rPr>
                <w:b/>
                <w:lang w:val="ro-RO"/>
              </w:rPr>
            </w:pPr>
            <w:r w:rsidRPr="00A46C6E">
              <w:rPr>
                <w:lang w:val="ro-RO"/>
              </w:rPr>
              <w:t>Prin urmare regulile de business care au stat la baza elaborării Sistemului informațional ,,e-Autorizație transport” care au fost excluse din Codul transporturilor rutiere, urmează a fi prevăzute în Hotărîrea Guvernului nr. 257/2017.</w:t>
            </w:r>
          </w:p>
        </w:tc>
      </w:tr>
      <w:tr w:rsidR="00A46C6E" w14:paraId="6CB6C311" w14:textId="77777777" w:rsidTr="00A46C6E">
        <w:tc>
          <w:tcPr>
            <w:tcW w:w="9345" w:type="dxa"/>
          </w:tcPr>
          <w:p w14:paraId="1032175B" w14:textId="6E9DF695" w:rsidR="00A46C6E" w:rsidRDefault="00A46C6E" w:rsidP="00A46C6E">
            <w:pPr>
              <w:ind w:firstLine="596"/>
              <w:jc w:val="both"/>
              <w:rPr>
                <w:b/>
                <w:lang w:val="ro-RO"/>
              </w:rPr>
            </w:pPr>
            <w:r>
              <w:rPr>
                <w:b/>
                <w:lang w:val="ro-RO"/>
              </w:rPr>
              <w:t xml:space="preserve">3. </w:t>
            </w:r>
            <w:r w:rsidRPr="00AB6A5F">
              <w:rPr>
                <w:b/>
                <w:lang w:val="ro-RO"/>
              </w:rPr>
              <w:t xml:space="preserve">Descrierea gradului de compatibilitate pentru proiectele care au ca scop armonizarea legislației naționale cu legislația Uniunii Europene </w:t>
            </w:r>
          </w:p>
        </w:tc>
      </w:tr>
      <w:tr w:rsidR="00A46C6E" w14:paraId="741E0AB8" w14:textId="77777777" w:rsidTr="00A46C6E">
        <w:tc>
          <w:tcPr>
            <w:tcW w:w="9345" w:type="dxa"/>
          </w:tcPr>
          <w:p w14:paraId="00EBE0DC" w14:textId="21A9C0E8" w:rsidR="00A46C6E" w:rsidRDefault="00A46C6E" w:rsidP="00A46C6E">
            <w:pPr>
              <w:ind w:firstLine="596"/>
              <w:jc w:val="both"/>
              <w:rPr>
                <w:b/>
                <w:lang w:val="ro-RO"/>
              </w:rPr>
            </w:pPr>
            <w:r w:rsidRPr="00AB6A5F">
              <w:rPr>
                <w:b/>
                <w:lang w:val="ro-RO"/>
              </w:rPr>
              <w:t> </w:t>
            </w:r>
            <w:r w:rsidRPr="00AB6A5F">
              <w:rPr>
                <w:color w:val="000000"/>
                <w:lang w:val="ro-RO"/>
              </w:rPr>
              <w:t>Proiectul prezentat respectă prevederile legislației naționale și nu intră în contradicție cu prevederile legislației UE</w:t>
            </w:r>
          </w:p>
        </w:tc>
      </w:tr>
      <w:tr w:rsidR="00A46C6E" w14:paraId="24CBDEB9" w14:textId="77777777" w:rsidTr="00A46C6E">
        <w:tc>
          <w:tcPr>
            <w:tcW w:w="9345" w:type="dxa"/>
          </w:tcPr>
          <w:p w14:paraId="4E76208F" w14:textId="08302C40" w:rsidR="00A46C6E" w:rsidRDefault="00A46C6E" w:rsidP="00A46C6E">
            <w:pPr>
              <w:ind w:firstLine="596"/>
              <w:jc w:val="both"/>
              <w:rPr>
                <w:b/>
                <w:lang w:val="ro-RO"/>
              </w:rPr>
            </w:pPr>
            <w:r>
              <w:rPr>
                <w:b/>
                <w:lang w:val="ro-RO"/>
              </w:rPr>
              <w:t xml:space="preserve">4. </w:t>
            </w:r>
            <w:r w:rsidRPr="00AB6A5F">
              <w:rPr>
                <w:b/>
                <w:lang w:val="ro-RO"/>
              </w:rPr>
              <w:t>Principalele prevederi ale proiectului şi evidențierea elementelor noi</w:t>
            </w:r>
          </w:p>
        </w:tc>
      </w:tr>
      <w:tr w:rsidR="00A46C6E" w14:paraId="4FAAAA03" w14:textId="77777777" w:rsidTr="00A46C6E">
        <w:tc>
          <w:tcPr>
            <w:tcW w:w="9345" w:type="dxa"/>
          </w:tcPr>
          <w:p w14:paraId="0C4FCEA8" w14:textId="77777777" w:rsidR="00A46C6E" w:rsidRPr="00AB6A5F" w:rsidRDefault="00A46C6E" w:rsidP="00A46C6E">
            <w:pPr>
              <w:pStyle w:val="cp"/>
              <w:ind w:firstLine="596"/>
              <w:jc w:val="both"/>
              <w:rPr>
                <w:b w:val="0"/>
                <w:bCs w:val="0"/>
                <w:lang w:val="ro-RO" w:eastAsia="ru-RU"/>
              </w:rPr>
            </w:pPr>
            <w:r w:rsidRPr="00AB6A5F">
              <w:rPr>
                <w:b w:val="0"/>
                <w:bCs w:val="0"/>
                <w:lang w:val="ro-RO" w:eastAsia="ru-RU"/>
              </w:rPr>
              <w:t>Principalele prevederi ale proiectului țin de uniformizarea Regulamentului privind eliberarea și utilizarea autorizațiilor de transporturi rutiere cu prevederile Codului transporturilor rutiere.</w:t>
            </w:r>
          </w:p>
          <w:p w14:paraId="6CB7AB31" w14:textId="77777777" w:rsidR="00A46C6E" w:rsidRPr="00AB6A5F" w:rsidRDefault="00A46C6E" w:rsidP="00A46C6E">
            <w:pPr>
              <w:pStyle w:val="cp"/>
              <w:ind w:firstLine="596"/>
              <w:jc w:val="both"/>
              <w:rPr>
                <w:b w:val="0"/>
                <w:bCs w:val="0"/>
                <w:lang w:val="ro-RO" w:eastAsia="ru-RU"/>
              </w:rPr>
            </w:pPr>
            <w:r w:rsidRPr="00AB6A5F">
              <w:rPr>
                <w:b w:val="0"/>
                <w:bCs w:val="0"/>
                <w:lang w:val="ro-RO" w:eastAsia="ru-RU"/>
              </w:rPr>
              <w:t>Totodată proiectul prevede și elemente noi cum ar fi completarea cu o nouă noțiune:</w:t>
            </w:r>
          </w:p>
          <w:p w14:paraId="5D2F5E6D" w14:textId="77777777" w:rsidR="00A46C6E" w:rsidRPr="00AB6A5F" w:rsidRDefault="00A46C6E" w:rsidP="00A46C6E">
            <w:pPr>
              <w:pStyle w:val="cp"/>
              <w:ind w:firstLine="596"/>
              <w:jc w:val="both"/>
              <w:rPr>
                <w:b w:val="0"/>
                <w:bCs w:val="0"/>
                <w:i/>
                <w:lang w:val="ro-RO" w:eastAsia="ru-RU"/>
              </w:rPr>
            </w:pPr>
            <w:r w:rsidRPr="00AB6A5F">
              <w:rPr>
                <w:b w:val="0"/>
                <w:bCs w:val="0"/>
                <w:i/>
                <w:lang w:val="ro-RO" w:eastAsia="ru-RU"/>
              </w:rPr>
              <w:t>,,parc eligibil real antrenat - totalitatea autovehiculelor deținute de un operator de transport rutier autorizat, care sînt înregistrate în sistemul informaţional „e-Autorizaţie transport” și care pe parcursul ultimelor 12 luni a utilizat autorizații de transport rutier pentru un anumit stat.</w:t>
            </w:r>
          </w:p>
          <w:p w14:paraId="7D465D87" w14:textId="77777777" w:rsidR="00A46C6E" w:rsidRPr="00AB6A5F" w:rsidRDefault="00A46C6E" w:rsidP="00A46C6E">
            <w:pPr>
              <w:pStyle w:val="cp"/>
              <w:ind w:firstLine="596"/>
              <w:jc w:val="both"/>
              <w:rPr>
                <w:b w:val="0"/>
                <w:bCs w:val="0"/>
                <w:i/>
                <w:lang w:val="ro-RO" w:eastAsia="ru-RU"/>
              </w:rPr>
            </w:pPr>
            <w:r w:rsidRPr="00AB6A5F">
              <w:rPr>
                <w:b w:val="0"/>
                <w:bCs w:val="0"/>
                <w:i/>
                <w:lang w:val="ro-RO" w:eastAsia="ru-RU"/>
              </w:rPr>
              <w:t>În continuare proiectul prevede și următoarele completări:</w:t>
            </w:r>
          </w:p>
          <w:p w14:paraId="0F7EED65" w14:textId="77777777" w:rsidR="00A46C6E" w:rsidRPr="00AB6A5F" w:rsidRDefault="00A46C6E" w:rsidP="00A46C6E">
            <w:pPr>
              <w:tabs>
                <w:tab w:val="left" w:pos="567"/>
                <w:tab w:val="left" w:pos="993"/>
              </w:tabs>
              <w:ind w:firstLine="596"/>
              <w:jc w:val="both"/>
              <w:rPr>
                <w:i/>
                <w:lang w:val="ro-RO"/>
              </w:rPr>
            </w:pPr>
            <w:r w:rsidRPr="00AB6A5F">
              <w:rPr>
                <w:i/>
                <w:lang w:val="ro-RO"/>
              </w:rPr>
              <w:t>-  La depunerea solicitării pentru obţinerea autorizaţiilor unitare valabile pe teritoriul statelor membre ale CEMT, parcul eligibil al operatorilor de transport rutier cărora le-au fost repartizate autorizaţii CEMT se diminuează cantitativ cu un număr de autovehicule echivalent cu numărul autorizaţiilor CEMT primite, valabile pe teritoriul statelor respective. Această prevedere nu se aplică în cazul solicitărilor de eliberare a autorizaţiilor unitare pentru statele pentru care autorizațiile CEMT prevăd anumite restricții, inclusiv pentru statele de tranzit.”</w:t>
            </w:r>
          </w:p>
          <w:p w14:paraId="1365FE28" w14:textId="77777777" w:rsidR="00A46C6E" w:rsidRPr="00AB6A5F" w:rsidRDefault="00A46C6E" w:rsidP="00A46C6E">
            <w:pPr>
              <w:ind w:firstLine="596"/>
              <w:jc w:val="both"/>
              <w:rPr>
                <w:i/>
                <w:lang w:val="ro-RO"/>
              </w:rPr>
            </w:pPr>
            <w:r w:rsidRPr="00AB6A5F">
              <w:rPr>
                <w:i/>
                <w:lang w:val="ro-RO"/>
              </w:rPr>
              <w:t xml:space="preserve">-   Pentru operatorii de transport rutier, care solicită autorizații pentru destinații noi se eliberează pentru fiecare autovehicul  din parcul eligibil nu mai mult de o (una) autorizaţie de transport rutier internaţional de mărfuri de același tip pentru fiecare stat. După expirarea  </w:t>
            </w:r>
            <w:r w:rsidRPr="00AB6A5F">
              <w:rPr>
                <w:i/>
                <w:lang w:val="ro-RO"/>
              </w:rPr>
              <w:lastRenderedPageBreak/>
              <w:t xml:space="preserve">perioadei de 90 zile din momentul eliberării unui tip de autorizații, cererile ulterioare vor fi examinate, reieșind din parcul eligibil real antrenat.” </w:t>
            </w:r>
          </w:p>
          <w:p w14:paraId="4AD3FC6D" w14:textId="77777777" w:rsidR="00A46C6E" w:rsidRPr="00AB6A5F" w:rsidRDefault="00A46C6E" w:rsidP="00A46C6E">
            <w:pPr>
              <w:pStyle w:val="NormalWeb"/>
              <w:ind w:firstLine="596"/>
              <w:rPr>
                <w:i/>
                <w:lang w:val="ro-RO"/>
              </w:rPr>
            </w:pPr>
            <w:r w:rsidRPr="00AB6A5F">
              <w:rPr>
                <w:i/>
                <w:lang w:val="ro-RO"/>
              </w:rPr>
              <w:t xml:space="preserve">-  ,,Sunt eliberate autorizații în afara regulilor prevăzute de prezentul Regulament </w:t>
            </w:r>
            <w:r>
              <w:rPr>
                <w:i/>
                <w:lang w:val="ro-RO"/>
              </w:rPr>
              <w:t xml:space="preserve"> în </w:t>
            </w:r>
            <w:r w:rsidRPr="00AB6A5F">
              <w:rPr>
                <w:i/>
                <w:lang w:val="ro-RO"/>
              </w:rPr>
              <w:t xml:space="preserve">următoarele cazuri: </w:t>
            </w:r>
          </w:p>
          <w:p w14:paraId="4187CEC5" w14:textId="77777777" w:rsidR="00A46C6E" w:rsidRPr="00AB6A5F" w:rsidRDefault="00A46C6E" w:rsidP="00A46C6E">
            <w:pPr>
              <w:pStyle w:val="NormalWeb"/>
              <w:ind w:firstLine="596"/>
              <w:rPr>
                <w:i/>
                <w:lang w:val="ro-RO"/>
              </w:rPr>
            </w:pPr>
            <w:r w:rsidRPr="00AB6A5F">
              <w:rPr>
                <w:i/>
                <w:lang w:val="ro-RO"/>
              </w:rPr>
              <w:t xml:space="preserve">  a) la importul vehiculelor rutiere, cu prezentarea documentelor de confirmare a cumpărăturii (factura comercială/contractul de vînzare-cumpărare, dispoziția de plată), inclusiv de către persoane fizice;</w:t>
            </w:r>
          </w:p>
          <w:p w14:paraId="121427FF" w14:textId="77777777" w:rsidR="00A46C6E" w:rsidRPr="00AB6A5F" w:rsidRDefault="00A46C6E" w:rsidP="00A46C6E">
            <w:pPr>
              <w:pStyle w:val="NormalWeb"/>
              <w:tabs>
                <w:tab w:val="left" w:pos="851"/>
              </w:tabs>
              <w:ind w:firstLine="596"/>
              <w:rPr>
                <w:i/>
                <w:lang w:val="ro-RO"/>
              </w:rPr>
            </w:pPr>
            <w:r w:rsidRPr="00AB6A5F">
              <w:rPr>
                <w:i/>
                <w:lang w:val="ro-RO"/>
              </w:rPr>
              <w:t xml:space="preserve">  b) în vederea readucerii în Republica Moldova a vehiculelor rutiere blocate pe teritoriul altor state, în cazul expirării certificatului CEMT al acestora;</w:t>
            </w:r>
          </w:p>
          <w:p w14:paraId="2A4F1F9B" w14:textId="77777777" w:rsidR="00A46C6E" w:rsidRPr="00AB6A5F" w:rsidRDefault="00A46C6E" w:rsidP="00A46C6E">
            <w:pPr>
              <w:pStyle w:val="NormalWeb"/>
              <w:tabs>
                <w:tab w:val="left" w:pos="851"/>
              </w:tabs>
              <w:ind w:firstLine="596"/>
              <w:rPr>
                <w:i/>
                <w:lang w:val="ro-RO"/>
              </w:rPr>
            </w:pPr>
            <w:r w:rsidRPr="00AB6A5F">
              <w:rPr>
                <w:i/>
                <w:lang w:val="ro-RO"/>
              </w:rPr>
              <w:t xml:space="preserve">  c) în cazul stopărilor nejustificate a vehiculelor rutiere pe teritoriul altor state de către autoritățile de control, după stabilirea circumstanțelor în baza   documentelor confirmative, inclusiv în cazul persoanelor fizice.” </w:t>
            </w:r>
          </w:p>
          <w:p w14:paraId="387C391A" w14:textId="77777777" w:rsidR="00A46C6E" w:rsidRPr="00AB6A5F" w:rsidRDefault="00A46C6E" w:rsidP="00A46C6E">
            <w:pPr>
              <w:pStyle w:val="NormalWeb"/>
              <w:tabs>
                <w:tab w:val="left" w:pos="851"/>
              </w:tabs>
              <w:ind w:firstLine="596"/>
              <w:rPr>
                <w:i/>
                <w:lang w:val="ro-RO"/>
              </w:rPr>
            </w:pPr>
            <w:r w:rsidRPr="00AB6A5F">
              <w:rPr>
                <w:i/>
                <w:lang w:val="ro-RO"/>
              </w:rPr>
              <w:t>- ,,În caz de pierdere sau furt al autorizației CEMT, operatorul de transport rutier prezintă la sediul Agenției confirmarea de la organele de poliție unde a fost declarată pierderea sau furtul autorizației CEMT în termen de 5 zile lucrătoare, aceasta fiind înlocuită cu o autorizație din contingentul celor de rezervă pentru perioada rămasă”. </w:t>
            </w:r>
          </w:p>
          <w:p w14:paraId="10A77257" w14:textId="77777777" w:rsidR="00A46C6E" w:rsidRPr="00AB6A5F" w:rsidRDefault="00A46C6E" w:rsidP="00A46C6E">
            <w:pPr>
              <w:pStyle w:val="NormalWeb"/>
              <w:tabs>
                <w:tab w:val="left" w:pos="851"/>
              </w:tabs>
              <w:ind w:firstLine="596"/>
              <w:rPr>
                <w:i/>
                <w:lang w:val="ro-RO"/>
              </w:rPr>
            </w:pPr>
            <w:r w:rsidRPr="00AB6A5F">
              <w:rPr>
                <w:i/>
                <w:lang w:val="ro-RO"/>
              </w:rPr>
              <w:t>-  ,,Operatorul de transport rutier poate solicita un carnet de drum suplimentar în cazul deteriorării carnetului eliberat anterior cu prezentarea dovezii în acest sens”.</w:t>
            </w:r>
          </w:p>
          <w:p w14:paraId="02DA298F" w14:textId="77777777" w:rsidR="00A46C6E" w:rsidRPr="00AB6A5F" w:rsidRDefault="00A46C6E" w:rsidP="00A46C6E">
            <w:pPr>
              <w:pStyle w:val="NormalWeb"/>
              <w:tabs>
                <w:tab w:val="left" w:pos="851"/>
              </w:tabs>
              <w:ind w:firstLine="596"/>
              <w:rPr>
                <w:i/>
                <w:lang w:val="ro-RO"/>
              </w:rPr>
            </w:pPr>
            <w:r w:rsidRPr="00AB6A5F">
              <w:rPr>
                <w:i/>
                <w:lang w:val="ro-RO"/>
              </w:rPr>
              <w:t>- ,,Lunar, pînă la data de 15 a lunii următoare, operatorul de transport rutier prezintă prin intermediul sistemului informațional „e-Autorizație transport” dări de seamă privind utilizarea Carnetelor foii de parcurs INTERBUS”.</w:t>
            </w:r>
          </w:p>
          <w:p w14:paraId="0678FE09" w14:textId="77777777" w:rsidR="00A46C6E" w:rsidRDefault="00A46C6E" w:rsidP="00A46C6E">
            <w:pPr>
              <w:pStyle w:val="ListParagraph"/>
              <w:ind w:left="0" w:firstLine="596"/>
              <w:jc w:val="both"/>
              <w:rPr>
                <w:rFonts w:ascii="Times New Roman" w:eastAsia="Times New Roman" w:hAnsi="Times New Roman"/>
                <w:i/>
                <w:sz w:val="24"/>
                <w:szCs w:val="24"/>
                <w:lang w:val="ro-RO" w:eastAsia="ru-RU"/>
              </w:rPr>
            </w:pPr>
            <w:r w:rsidRPr="00AB6A5F">
              <w:rPr>
                <w:rFonts w:ascii="Times New Roman" w:eastAsia="Times New Roman" w:hAnsi="Times New Roman"/>
                <w:i/>
                <w:sz w:val="24"/>
                <w:szCs w:val="24"/>
                <w:lang w:val="ro-RO" w:eastAsia="ru-RU"/>
              </w:rPr>
              <w:t>- completarea interdicțiilor operatorilor de transport rutier prin interzicerea:</w:t>
            </w:r>
          </w:p>
          <w:p w14:paraId="6AB663C1" w14:textId="77777777" w:rsidR="00A46C6E" w:rsidRDefault="00A46C6E" w:rsidP="00A46C6E">
            <w:pPr>
              <w:pStyle w:val="ListParagraph"/>
              <w:ind w:left="0" w:firstLine="596"/>
              <w:jc w:val="both"/>
              <w:rPr>
                <w:rFonts w:ascii="Times New Roman" w:eastAsia="Times New Roman" w:hAnsi="Times New Roman"/>
                <w:i/>
                <w:sz w:val="24"/>
                <w:szCs w:val="24"/>
                <w:lang w:val="ro-RO" w:eastAsia="ru-RU"/>
              </w:rPr>
            </w:pPr>
            <w:r w:rsidRPr="00AB6A5F">
              <w:rPr>
                <w:rFonts w:ascii="Times New Roman" w:eastAsia="Times New Roman" w:hAnsi="Times New Roman"/>
                <w:i/>
                <w:sz w:val="24"/>
                <w:szCs w:val="24"/>
                <w:lang w:val="ro-RO" w:eastAsia="ru-RU"/>
              </w:rPr>
              <w:t>a) utilizării Carnetelor foii de parcurs INTERBUS de către autobuzele/autocarele care nu corespund criteriilor de utilizare a  Carnetelor INTERBUS;</w:t>
            </w:r>
          </w:p>
          <w:p w14:paraId="721DD4B1" w14:textId="77777777" w:rsidR="00A46C6E" w:rsidRPr="00AB6A5F" w:rsidRDefault="00A46C6E" w:rsidP="00A46C6E">
            <w:pPr>
              <w:pStyle w:val="ListParagraph"/>
              <w:ind w:left="0" w:firstLine="596"/>
              <w:jc w:val="both"/>
              <w:rPr>
                <w:rFonts w:ascii="Times New Roman" w:eastAsia="Times New Roman" w:hAnsi="Times New Roman"/>
                <w:i/>
                <w:sz w:val="24"/>
                <w:szCs w:val="24"/>
                <w:lang w:val="ro-RO" w:eastAsia="ru-RU"/>
              </w:rPr>
            </w:pPr>
            <w:r w:rsidRPr="00AB6A5F">
              <w:rPr>
                <w:rFonts w:ascii="Times New Roman" w:eastAsia="Times New Roman" w:hAnsi="Times New Roman"/>
                <w:i/>
                <w:sz w:val="24"/>
                <w:szCs w:val="24"/>
                <w:lang w:val="ro-RO" w:eastAsia="ru-RU"/>
              </w:rPr>
              <w:t>b) utilizări Carnetelor foii de parcurs INTERBUS de către autobuzele/autocarele care nu sînt înregistrate în Registrul operatorilor de transport rutier.</w:t>
            </w:r>
          </w:p>
          <w:p w14:paraId="3D1AE380" w14:textId="77777777" w:rsidR="00A46C6E" w:rsidRDefault="00A46C6E" w:rsidP="00A46C6E">
            <w:pPr>
              <w:pStyle w:val="ListParagraph"/>
              <w:ind w:left="0" w:firstLine="596"/>
              <w:jc w:val="both"/>
              <w:rPr>
                <w:rFonts w:ascii="Times New Roman" w:eastAsia="Times New Roman" w:hAnsi="Times New Roman"/>
                <w:i/>
                <w:sz w:val="24"/>
                <w:szCs w:val="24"/>
                <w:lang w:val="ro-RO" w:eastAsia="ru-RU"/>
              </w:rPr>
            </w:pPr>
            <w:r w:rsidRPr="00AB6A5F">
              <w:rPr>
                <w:rFonts w:ascii="Times New Roman" w:eastAsia="Times New Roman" w:hAnsi="Times New Roman"/>
                <w:i/>
                <w:sz w:val="24"/>
                <w:szCs w:val="24"/>
                <w:lang w:val="ro-RO" w:eastAsia="ru-RU"/>
              </w:rPr>
              <w:t>-  ,,Se interzice restituirea autorizațiilor neutilizate în termenul de valabilitate al acestora.”</w:t>
            </w:r>
          </w:p>
          <w:p w14:paraId="067B9FB6" w14:textId="08298D35" w:rsidR="00A46C6E" w:rsidRPr="00A46C6E" w:rsidRDefault="00A46C6E" w:rsidP="00A46C6E">
            <w:pPr>
              <w:pStyle w:val="ListParagraph"/>
              <w:ind w:left="0" w:firstLine="59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Completările sunt necesare pentru a</w:t>
            </w:r>
            <w:r w:rsidRPr="00A46C6E">
              <w:rPr>
                <w:rFonts w:ascii="Times New Roman" w:eastAsia="Times New Roman" w:hAnsi="Times New Roman"/>
                <w:sz w:val="24"/>
                <w:szCs w:val="24"/>
                <w:lang w:val="ro-RO" w:eastAsia="ru-RU"/>
              </w:rPr>
              <w:t xml:space="preserve"> facilita gestionarea stocurilor de autorizații disponibile și utilizarea mai eficientă a acestora.</w:t>
            </w:r>
          </w:p>
        </w:tc>
      </w:tr>
      <w:tr w:rsidR="00A46C6E" w14:paraId="2733F849" w14:textId="77777777" w:rsidTr="00A46C6E">
        <w:tc>
          <w:tcPr>
            <w:tcW w:w="9345" w:type="dxa"/>
          </w:tcPr>
          <w:p w14:paraId="49504355" w14:textId="57F31A13" w:rsidR="00A46C6E" w:rsidRPr="00A46C6E" w:rsidRDefault="00A46C6E" w:rsidP="00A46C6E">
            <w:pPr>
              <w:ind w:firstLine="596"/>
              <w:jc w:val="both"/>
              <w:rPr>
                <w:b/>
                <w:lang w:val="ro-RO"/>
              </w:rPr>
            </w:pPr>
            <w:r>
              <w:rPr>
                <w:rFonts w:eastAsia="Calibri"/>
                <w:b/>
                <w:lang w:val="ro-RO"/>
              </w:rPr>
              <w:lastRenderedPageBreak/>
              <w:t xml:space="preserve">5. </w:t>
            </w:r>
            <w:r w:rsidRPr="00A46C6E">
              <w:rPr>
                <w:rFonts w:eastAsia="Calibri"/>
                <w:b/>
                <w:lang w:val="ro-RO"/>
              </w:rPr>
              <w:t>Fundamentarea economico-financiară</w:t>
            </w:r>
          </w:p>
        </w:tc>
      </w:tr>
      <w:tr w:rsidR="00A46C6E" w14:paraId="0B98CCCA" w14:textId="77777777" w:rsidTr="00A46C6E">
        <w:tc>
          <w:tcPr>
            <w:tcW w:w="9345" w:type="dxa"/>
          </w:tcPr>
          <w:p w14:paraId="252B5CEE" w14:textId="50CDAB50" w:rsidR="00A46C6E" w:rsidRDefault="00A46C6E" w:rsidP="00A46C6E">
            <w:pPr>
              <w:ind w:firstLine="596"/>
              <w:jc w:val="both"/>
              <w:rPr>
                <w:b/>
                <w:lang w:val="ro-RO"/>
              </w:rPr>
            </w:pPr>
            <w:r w:rsidRPr="00AB6A5F">
              <w:rPr>
                <w:lang w:val="ro-RO"/>
              </w:rPr>
              <w:t>Implementarea prevederilor proiectului nu va necesita cheltuieli financiare din bugetul de stat.</w:t>
            </w:r>
          </w:p>
        </w:tc>
      </w:tr>
      <w:tr w:rsidR="00A46C6E" w14:paraId="1C109512" w14:textId="77777777" w:rsidTr="00A46C6E">
        <w:tc>
          <w:tcPr>
            <w:tcW w:w="9345" w:type="dxa"/>
          </w:tcPr>
          <w:p w14:paraId="76650227" w14:textId="2E4446CB" w:rsidR="00A46C6E" w:rsidRPr="00A46C6E" w:rsidRDefault="00A46C6E" w:rsidP="00A46C6E">
            <w:pPr>
              <w:ind w:firstLine="596"/>
              <w:jc w:val="both"/>
              <w:rPr>
                <w:b/>
                <w:lang w:val="ro-RO"/>
              </w:rPr>
            </w:pPr>
            <w:r>
              <w:rPr>
                <w:rFonts w:eastAsia="Calibri"/>
                <w:b/>
                <w:lang w:val="ro-RO"/>
              </w:rPr>
              <w:t xml:space="preserve">6. </w:t>
            </w:r>
            <w:r w:rsidRPr="00A46C6E">
              <w:rPr>
                <w:rFonts w:eastAsia="Calibri"/>
                <w:b/>
                <w:lang w:val="ro-RO"/>
              </w:rPr>
              <w:t>Modul de încorporare a actului în cadrul normativ în vigoare</w:t>
            </w:r>
          </w:p>
        </w:tc>
      </w:tr>
      <w:tr w:rsidR="00A46C6E" w14:paraId="522900A5" w14:textId="77777777" w:rsidTr="00A46C6E">
        <w:tc>
          <w:tcPr>
            <w:tcW w:w="9345" w:type="dxa"/>
          </w:tcPr>
          <w:p w14:paraId="2CB26066" w14:textId="3A486D6F" w:rsidR="00A46C6E" w:rsidRDefault="00A46C6E" w:rsidP="00A46C6E">
            <w:pPr>
              <w:ind w:firstLine="596"/>
              <w:jc w:val="both"/>
              <w:rPr>
                <w:b/>
                <w:lang w:val="ro-RO"/>
              </w:rPr>
            </w:pPr>
            <w:r w:rsidRPr="00AB6A5F">
              <w:rPr>
                <w:lang w:val="ro-RO"/>
              </w:rPr>
              <w:t>Proiectul elaborat se încadrează în cadrul normativ în vigoare, iar promovarea acestuia și eventuala sa aprobare nu va genera ca consecință necesitatea amendării altor acte normative.</w:t>
            </w:r>
          </w:p>
        </w:tc>
      </w:tr>
      <w:tr w:rsidR="00A46C6E" w14:paraId="370ACBFE" w14:textId="77777777" w:rsidTr="00A46C6E">
        <w:tc>
          <w:tcPr>
            <w:tcW w:w="9345" w:type="dxa"/>
          </w:tcPr>
          <w:p w14:paraId="54C57AF4" w14:textId="6C4E6C44" w:rsidR="00A46C6E" w:rsidRPr="00A46C6E" w:rsidRDefault="00A46C6E" w:rsidP="00A46C6E">
            <w:pPr>
              <w:ind w:firstLine="596"/>
              <w:jc w:val="both"/>
              <w:rPr>
                <w:b/>
                <w:lang w:val="ro-RO"/>
              </w:rPr>
            </w:pPr>
            <w:r>
              <w:rPr>
                <w:rFonts w:eastAsia="Calibri"/>
                <w:b/>
                <w:lang w:val="ro-RO"/>
              </w:rPr>
              <w:t xml:space="preserve">7. </w:t>
            </w:r>
            <w:r w:rsidRPr="00A46C6E">
              <w:rPr>
                <w:rFonts w:eastAsia="Calibri"/>
                <w:b/>
                <w:lang w:val="ro-RO"/>
              </w:rPr>
              <w:t>Avizarea şi consultarea publică a proiectului</w:t>
            </w:r>
          </w:p>
        </w:tc>
      </w:tr>
      <w:tr w:rsidR="00A46C6E" w14:paraId="14B8DBFA" w14:textId="77777777" w:rsidTr="00A46C6E">
        <w:tc>
          <w:tcPr>
            <w:tcW w:w="9345" w:type="dxa"/>
          </w:tcPr>
          <w:p w14:paraId="629B115E" w14:textId="77777777" w:rsidR="00A46C6E" w:rsidRPr="00AB6A5F" w:rsidRDefault="00A46C6E" w:rsidP="00DE3002">
            <w:pPr>
              <w:pStyle w:val="NoSpacing"/>
              <w:ind w:firstLine="596"/>
              <w:rPr>
                <w:rFonts w:ascii="Times New Roman" w:eastAsia="Times New Roman" w:hAnsi="Times New Roman"/>
                <w:bCs/>
                <w:sz w:val="24"/>
                <w:szCs w:val="24"/>
                <w:lang w:val="ro-RO"/>
              </w:rPr>
            </w:pPr>
            <w:r w:rsidRPr="00AB6A5F">
              <w:rPr>
                <w:rFonts w:ascii="Times New Roman" w:eastAsia="Times New Roman" w:hAnsi="Times New Roman"/>
                <w:bCs/>
                <w:sz w:val="24"/>
                <w:szCs w:val="24"/>
                <w:lang w:val="ro-RO"/>
              </w:rPr>
              <w:t xml:space="preserve">În scopul respectării prevederilor Legii nr. 239/2008 privind transparența în procesul decizional, proiectul hotărîrii de Guvern  va fi plasat pe pagina-web  pe pagina electronică </w:t>
            </w:r>
            <w:hyperlink r:id="rId5" w:history="1">
              <w:r w:rsidRPr="00AB6A5F">
                <w:rPr>
                  <w:rFonts w:ascii="Times New Roman" w:eastAsia="Times New Roman" w:hAnsi="Times New Roman"/>
                  <w:bCs/>
                  <w:sz w:val="24"/>
                  <w:szCs w:val="24"/>
                  <w:lang w:val="ro-RO"/>
                </w:rPr>
                <w:t>www.particip.gov.md</w:t>
              </w:r>
            </w:hyperlink>
            <w:r w:rsidRPr="00AB6A5F">
              <w:rPr>
                <w:rFonts w:ascii="Times New Roman" w:eastAsia="Times New Roman" w:hAnsi="Times New Roman"/>
                <w:bCs/>
                <w:sz w:val="24"/>
                <w:szCs w:val="24"/>
                <w:lang w:val="ro-RO"/>
              </w:rPr>
              <w:t xml:space="preserve"> și va fi remis spre avizare:</w:t>
            </w:r>
          </w:p>
          <w:p w14:paraId="06CC453C" w14:textId="77777777" w:rsidR="00DE3002" w:rsidRDefault="00A46C6E" w:rsidP="00DE3002">
            <w:pPr>
              <w:pStyle w:val="NoSpacing"/>
              <w:ind w:firstLine="596"/>
              <w:rPr>
                <w:rFonts w:ascii="Times New Roman" w:eastAsia="Times New Roman" w:hAnsi="Times New Roman"/>
                <w:sz w:val="24"/>
                <w:szCs w:val="24"/>
                <w:lang w:val="ro-MD" w:eastAsia="ro-MD"/>
              </w:rPr>
            </w:pPr>
            <w:r w:rsidRPr="00AB6A5F">
              <w:rPr>
                <w:rFonts w:ascii="Times New Roman" w:eastAsia="Times New Roman" w:hAnsi="Times New Roman"/>
                <w:bCs/>
                <w:sz w:val="24"/>
                <w:szCs w:val="24"/>
                <w:lang w:val="ro-RO"/>
              </w:rPr>
              <w:t xml:space="preserve">- </w:t>
            </w:r>
            <w:r w:rsidR="00DE3002">
              <w:rPr>
                <w:rFonts w:ascii="Times New Roman" w:eastAsia="Times New Roman" w:hAnsi="Times New Roman"/>
                <w:sz w:val="24"/>
                <w:szCs w:val="24"/>
                <w:lang w:val="ro-MD" w:eastAsia="ro-MD"/>
              </w:rPr>
              <w:t>Ministerul Finanțelor;</w:t>
            </w:r>
          </w:p>
          <w:p w14:paraId="0C6E5BBA" w14:textId="4B77BEC1" w:rsidR="00DE3002" w:rsidRPr="00DE3002" w:rsidRDefault="00DE3002" w:rsidP="00DE3002">
            <w:pPr>
              <w:pStyle w:val="NoSpacing"/>
              <w:ind w:firstLine="596"/>
              <w:rPr>
                <w:rFonts w:ascii="Times New Roman" w:eastAsia="Times New Roman" w:hAnsi="Times New Roman"/>
                <w:sz w:val="24"/>
                <w:szCs w:val="24"/>
                <w:lang w:val="ro-MD" w:eastAsia="ro-MD"/>
              </w:rPr>
            </w:pPr>
            <w:r>
              <w:rPr>
                <w:rFonts w:ascii="Times New Roman" w:eastAsia="Times New Roman" w:hAnsi="Times New Roman"/>
                <w:sz w:val="24"/>
                <w:szCs w:val="24"/>
                <w:lang w:val="ro-MD" w:eastAsia="ro-MD"/>
              </w:rPr>
              <w:t xml:space="preserve">- </w:t>
            </w:r>
            <w:r w:rsidR="00A46C6E" w:rsidRPr="00AB6A5F">
              <w:rPr>
                <w:rFonts w:ascii="Times New Roman" w:eastAsia="Times New Roman" w:hAnsi="Times New Roman"/>
                <w:bCs/>
                <w:sz w:val="24"/>
                <w:szCs w:val="24"/>
                <w:lang w:val="ro-RO"/>
              </w:rPr>
              <w:t>Ministerului Justiției;</w:t>
            </w:r>
          </w:p>
          <w:p w14:paraId="446F22D9" w14:textId="77777777" w:rsidR="00A46C6E" w:rsidRDefault="00A46C6E" w:rsidP="00DE3002">
            <w:pPr>
              <w:ind w:firstLine="596"/>
              <w:jc w:val="both"/>
              <w:rPr>
                <w:lang w:val="ro-RO"/>
              </w:rPr>
            </w:pPr>
            <w:r w:rsidRPr="00AB6A5F">
              <w:rPr>
                <w:lang w:val="ro-RO"/>
              </w:rPr>
              <w:t xml:space="preserve">- </w:t>
            </w:r>
            <w:r w:rsidR="00DE3002">
              <w:rPr>
                <w:lang w:val="ro-RO"/>
              </w:rPr>
              <w:t>Centrului Național Anticorupție;</w:t>
            </w:r>
          </w:p>
          <w:p w14:paraId="2C1DF7D1" w14:textId="67BDB318" w:rsidR="00DE3002" w:rsidRDefault="00DE3002" w:rsidP="00DE3002">
            <w:pPr>
              <w:ind w:firstLine="596"/>
              <w:jc w:val="both"/>
              <w:rPr>
                <w:b/>
                <w:lang w:val="ro-RO"/>
              </w:rPr>
            </w:pPr>
            <w:r>
              <w:rPr>
                <w:lang w:val="ro-RO"/>
              </w:rPr>
              <w:t xml:space="preserve">- </w:t>
            </w:r>
            <w:r>
              <w:rPr>
                <w:lang w:val="ro-MD" w:eastAsia="ro-MD"/>
              </w:rPr>
              <w:t>M</w:t>
            </w:r>
            <w:r>
              <w:rPr>
                <w:lang w:val="ro-MD" w:eastAsia="ro-MD"/>
              </w:rPr>
              <w:t>ediul de afaceri</w:t>
            </w:r>
            <w:r>
              <w:rPr>
                <w:lang w:val="ro-MD" w:eastAsia="ro-MD"/>
              </w:rPr>
              <w:t>.</w:t>
            </w:r>
            <w:bookmarkStart w:id="0" w:name="_GoBack"/>
            <w:bookmarkEnd w:id="0"/>
          </w:p>
        </w:tc>
      </w:tr>
    </w:tbl>
    <w:p w14:paraId="625FE994" w14:textId="77777777" w:rsidR="00A46C6E" w:rsidRPr="00AB6A5F" w:rsidRDefault="00A46C6E" w:rsidP="00A46C6E">
      <w:pPr>
        <w:jc w:val="center"/>
        <w:rPr>
          <w:i/>
          <w:lang w:val="ro-RO"/>
        </w:rPr>
      </w:pPr>
    </w:p>
    <w:p w14:paraId="1E9DA7D1" w14:textId="77777777" w:rsidR="00187C17" w:rsidRPr="00AB6A5F" w:rsidRDefault="00187C17" w:rsidP="00187C17">
      <w:pPr>
        <w:rPr>
          <w:i/>
          <w:lang w:val="ro-RO"/>
        </w:rPr>
      </w:pPr>
    </w:p>
    <w:p w14:paraId="495960CB" w14:textId="77777777" w:rsidR="00187C17" w:rsidRPr="00AB6A5F" w:rsidRDefault="00187C17" w:rsidP="00187C17">
      <w:pPr>
        <w:rPr>
          <w:i/>
          <w:lang w:val="ro-RO"/>
        </w:rPr>
      </w:pPr>
    </w:p>
    <w:p w14:paraId="04E31721" w14:textId="00E808B0" w:rsidR="00376302" w:rsidRPr="00AB6A5F" w:rsidRDefault="00187C17" w:rsidP="00187C17">
      <w:pPr>
        <w:rPr>
          <w:lang w:val="ro-RO"/>
        </w:rPr>
      </w:pPr>
      <w:r w:rsidRPr="00AB6A5F">
        <w:rPr>
          <w:b/>
          <w:lang w:val="ro-RO"/>
        </w:rPr>
        <w:t xml:space="preserve"> </w:t>
      </w:r>
      <w:r w:rsidR="00A46C6E">
        <w:rPr>
          <w:b/>
          <w:lang w:val="ro-RO"/>
        </w:rPr>
        <w:t>Secretar de Stat                                                                                                  Iulian POSTICĂ</w:t>
      </w:r>
    </w:p>
    <w:sectPr w:rsidR="00376302" w:rsidRPr="00AB6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7407"/>
    <w:multiLevelType w:val="hybridMultilevel"/>
    <w:tmpl w:val="CA409E18"/>
    <w:lvl w:ilvl="0" w:tplc="786C658C">
      <w:start w:val="1"/>
      <w:numFmt w:val="decimal"/>
      <w:lvlText w:val="%1."/>
      <w:lvlJc w:val="left"/>
      <w:pPr>
        <w:ind w:left="720" w:hanging="360"/>
      </w:pPr>
      <w:rPr>
        <w:rFonts w:ascii="Times New Roman" w:hAnsi="Times New Roman" w:cs="Times New Roman" w:hint="default"/>
        <w:b/>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34"/>
    <w:rsid w:val="00187C17"/>
    <w:rsid w:val="001B528B"/>
    <w:rsid w:val="005A37BB"/>
    <w:rsid w:val="00663934"/>
    <w:rsid w:val="00A46C6E"/>
    <w:rsid w:val="00A64310"/>
    <w:rsid w:val="00AB6A5F"/>
    <w:rsid w:val="00CA0073"/>
    <w:rsid w:val="00D33894"/>
    <w:rsid w:val="00DD1C53"/>
    <w:rsid w:val="00DE3002"/>
    <w:rsid w:val="00F52F7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3483"/>
  <w15:chartTrackingRefBased/>
  <w15:docId w15:val="{BC31C3E9-04BB-4FC4-A55F-EFFCB15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187C17"/>
    <w:pPr>
      <w:jc w:val="center"/>
    </w:pPr>
    <w:rPr>
      <w:b/>
      <w:bCs/>
      <w:lang w:val="en-US" w:eastAsia="en-US"/>
    </w:rPr>
  </w:style>
  <w:style w:type="paragraph" w:styleId="ListParagraph">
    <w:name w:val="List Paragraph"/>
    <w:basedOn w:val="Normal"/>
    <w:uiPriority w:val="34"/>
    <w:qFormat/>
    <w:rsid w:val="00187C17"/>
    <w:pPr>
      <w:spacing w:after="200" w:line="276" w:lineRule="auto"/>
      <w:ind w:left="720"/>
      <w:contextualSpacing/>
    </w:pPr>
    <w:rPr>
      <w:rFonts w:ascii="Calibri" w:eastAsia="Calibri" w:hAnsi="Calibri"/>
      <w:sz w:val="22"/>
      <w:szCs w:val="22"/>
      <w:lang w:val="en-GB" w:eastAsia="en-US"/>
    </w:rPr>
  </w:style>
  <w:style w:type="table" w:styleId="TableGrid">
    <w:name w:val="Table Grid"/>
    <w:basedOn w:val="TableNormal"/>
    <w:uiPriority w:val="59"/>
    <w:rsid w:val="00187C1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2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7F"/>
    <w:rPr>
      <w:rFonts w:ascii="Segoe UI" w:eastAsia="Times New Roman" w:hAnsi="Segoe UI" w:cs="Segoe UI"/>
      <w:sz w:val="18"/>
      <w:szCs w:val="18"/>
      <w:lang w:eastAsia="ru-RU"/>
    </w:rPr>
  </w:style>
  <w:style w:type="paragraph" w:customStyle="1" w:styleId="cb">
    <w:name w:val="cb"/>
    <w:basedOn w:val="Normal"/>
    <w:uiPriority w:val="99"/>
    <w:semiHidden/>
    <w:rsid w:val="00CA0073"/>
    <w:pPr>
      <w:jc w:val="center"/>
    </w:pPr>
    <w:rPr>
      <w:b/>
      <w:bCs/>
      <w:lang w:val="ru-RU"/>
    </w:rPr>
  </w:style>
  <w:style w:type="paragraph" w:customStyle="1" w:styleId="Tabel">
    <w:name w:val="Tabel"/>
    <w:basedOn w:val="NormalWeb"/>
    <w:link w:val="TabelChar"/>
    <w:qFormat/>
    <w:rsid w:val="00CA0073"/>
    <w:pPr>
      <w:ind w:firstLine="567"/>
      <w:jc w:val="both"/>
    </w:pPr>
    <w:rPr>
      <w:lang w:val="ro-RO" w:eastAsia="en-US"/>
    </w:rPr>
  </w:style>
  <w:style w:type="character" w:customStyle="1" w:styleId="TabelChar">
    <w:name w:val="Tabel Char"/>
    <w:basedOn w:val="DefaultParagraphFont"/>
    <w:link w:val="Tabel"/>
    <w:rsid w:val="00CA0073"/>
    <w:rPr>
      <w:rFonts w:ascii="Times New Roman" w:eastAsia="Times New Roman" w:hAnsi="Times New Roman" w:cs="Times New Roman"/>
      <w:sz w:val="24"/>
      <w:szCs w:val="24"/>
      <w:lang w:val="ro-RO"/>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A0073"/>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link w:val="NormalWeb"/>
    <w:uiPriority w:val="99"/>
    <w:locked/>
    <w:rsid w:val="001B528B"/>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64310"/>
    <w:rPr>
      <w:color w:val="0563C1" w:themeColor="hyperlink"/>
      <w:u w:val="single"/>
    </w:rPr>
  </w:style>
  <w:style w:type="paragraph" w:styleId="NoSpacing">
    <w:name w:val="No Spacing"/>
    <w:uiPriority w:val="1"/>
    <w:qFormat/>
    <w:rsid w:val="00A643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1041</Words>
  <Characters>5938</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 Slanina</cp:lastModifiedBy>
  <cp:revision>4</cp:revision>
  <cp:lastPrinted>2020-11-17T09:06:00Z</cp:lastPrinted>
  <dcterms:created xsi:type="dcterms:W3CDTF">2020-11-20T10:36:00Z</dcterms:created>
  <dcterms:modified xsi:type="dcterms:W3CDTF">2020-11-20T10:49:00Z</dcterms:modified>
</cp:coreProperties>
</file>