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393D19" w:rsidRDefault="00303A1F" w:rsidP="004F658B">
      <w:pPr>
        <w:jc w:val="right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>Proiect</w:t>
      </w:r>
    </w:p>
    <w:p w:rsidR="00303A1F" w:rsidRPr="00393D19" w:rsidRDefault="00303A1F" w:rsidP="00303A1F">
      <w:pPr>
        <w:rPr>
          <w:noProof/>
          <w:sz w:val="28"/>
          <w:szCs w:val="28"/>
          <w:lang w:val="ro-RO"/>
        </w:rPr>
      </w:pPr>
    </w:p>
    <w:p w:rsidR="00303A1F" w:rsidRPr="00393D19" w:rsidRDefault="00303A1F" w:rsidP="00303A1F">
      <w:pPr>
        <w:jc w:val="center"/>
        <w:rPr>
          <w:b/>
          <w:noProof/>
          <w:sz w:val="32"/>
          <w:szCs w:val="32"/>
          <w:lang w:val="ro-RO"/>
        </w:rPr>
      </w:pPr>
      <w:r w:rsidRPr="00393D19">
        <w:rPr>
          <w:b/>
          <w:noProof/>
          <w:sz w:val="32"/>
          <w:szCs w:val="32"/>
          <w:lang w:val="ro-RO"/>
        </w:rPr>
        <w:t>GUVERNUL REPUBLICII MOLDOVA</w:t>
      </w:r>
    </w:p>
    <w:p w:rsidR="00303A1F" w:rsidRPr="00393D19" w:rsidRDefault="00303A1F" w:rsidP="00303A1F">
      <w:pPr>
        <w:rPr>
          <w:noProof/>
          <w:sz w:val="28"/>
          <w:szCs w:val="28"/>
          <w:lang w:val="ro-RO"/>
        </w:rPr>
      </w:pPr>
    </w:p>
    <w:p w:rsidR="00303A1F" w:rsidRPr="00393D19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>HOTĂRÎRE nr. _____</w:t>
      </w:r>
    </w:p>
    <w:p w:rsidR="00303A1F" w:rsidRPr="00393D19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>din _____________________</w:t>
      </w:r>
    </w:p>
    <w:p w:rsidR="00303A1F" w:rsidRPr="00393D19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>Chișinău</w:t>
      </w:r>
    </w:p>
    <w:p w:rsidR="00303A1F" w:rsidRPr="00393D19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303A1F" w:rsidRPr="00393D19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393D19">
        <w:rPr>
          <w:b/>
          <w:noProof/>
          <w:sz w:val="28"/>
          <w:szCs w:val="28"/>
          <w:lang w:val="ro-RO" w:eastAsia="zh-CN"/>
        </w:rPr>
        <w:t xml:space="preserve">Privind </w:t>
      </w:r>
      <w:r w:rsidR="00635E5E" w:rsidRPr="00393D19">
        <w:rPr>
          <w:b/>
          <w:noProof/>
          <w:sz w:val="28"/>
          <w:szCs w:val="28"/>
          <w:lang w:val="ro-RO" w:eastAsia="zh-CN"/>
        </w:rPr>
        <w:t xml:space="preserve">repartizarea și </w:t>
      </w:r>
      <w:r w:rsidRPr="00393D19">
        <w:rPr>
          <w:b/>
          <w:noProof/>
          <w:sz w:val="28"/>
          <w:szCs w:val="28"/>
          <w:lang w:val="ro-RO" w:eastAsia="zh-CN"/>
        </w:rPr>
        <w:t>redistribuirea unor alocații</w:t>
      </w:r>
    </w:p>
    <w:p w:rsidR="00303A1F" w:rsidRPr="00393D19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393D19">
        <w:rPr>
          <w:b/>
          <w:noProof/>
          <w:sz w:val="28"/>
          <w:szCs w:val="28"/>
          <w:lang w:val="ro-RO" w:eastAsia="zh-CN"/>
        </w:rPr>
        <w:t xml:space="preserve">aprobate </w:t>
      </w:r>
      <w:r w:rsidR="00D536F9">
        <w:rPr>
          <w:b/>
          <w:noProof/>
          <w:sz w:val="28"/>
          <w:szCs w:val="28"/>
          <w:lang w:val="ro-RO" w:eastAsia="zh-CN"/>
        </w:rPr>
        <w:t>în</w:t>
      </w:r>
      <w:r w:rsidRPr="00393D19">
        <w:rPr>
          <w:b/>
          <w:noProof/>
          <w:sz w:val="28"/>
          <w:szCs w:val="28"/>
          <w:lang w:val="ro-RO" w:eastAsia="zh-CN"/>
        </w:rPr>
        <w:t xml:space="preserve"> Legea bugetului de stat pe</w:t>
      </w:r>
      <w:r w:rsidR="0075375E" w:rsidRPr="00393D19">
        <w:rPr>
          <w:b/>
          <w:noProof/>
          <w:sz w:val="28"/>
          <w:szCs w:val="28"/>
          <w:lang w:val="ro-RO" w:eastAsia="zh-CN"/>
        </w:rPr>
        <w:t>ntru</w:t>
      </w:r>
    </w:p>
    <w:p w:rsidR="00303A1F" w:rsidRPr="00393D19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393D19">
        <w:rPr>
          <w:b/>
          <w:noProof/>
          <w:sz w:val="28"/>
          <w:szCs w:val="28"/>
          <w:lang w:val="ro-RO" w:eastAsia="zh-CN"/>
        </w:rPr>
        <w:t>anul 20</w:t>
      </w:r>
      <w:r w:rsidR="00F40451" w:rsidRPr="00393D19">
        <w:rPr>
          <w:b/>
          <w:noProof/>
          <w:sz w:val="28"/>
          <w:szCs w:val="28"/>
          <w:lang w:val="ro-RO" w:eastAsia="zh-CN"/>
        </w:rPr>
        <w:t>20</w:t>
      </w:r>
      <w:r w:rsidRPr="00393D19">
        <w:rPr>
          <w:b/>
          <w:noProof/>
          <w:sz w:val="28"/>
          <w:szCs w:val="28"/>
          <w:lang w:val="ro-RO" w:eastAsia="zh-CN"/>
        </w:rPr>
        <w:t xml:space="preserve"> nr.</w:t>
      </w:r>
      <w:r w:rsidR="00F40451" w:rsidRPr="00393D19">
        <w:rPr>
          <w:b/>
          <w:noProof/>
          <w:sz w:val="28"/>
          <w:szCs w:val="28"/>
          <w:lang w:val="ro-RO" w:eastAsia="zh-CN"/>
        </w:rPr>
        <w:t>172/2019</w:t>
      </w:r>
    </w:p>
    <w:p w:rsidR="00303A1F" w:rsidRPr="00393D19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303A1F" w:rsidRPr="00393D19" w:rsidRDefault="00303A1F" w:rsidP="0075658D">
      <w:pPr>
        <w:spacing w:line="276" w:lineRule="auto"/>
        <w:ind w:firstLine="708"/>
        <w:jc w:val="both"/>
        <w:rPr>
          <w:noProof/>
          <w:sz w:val="28"/>
          <w:szCs w:val="28"/>
          <w:lang w:val="ro-RO" w:eastAsia="zh-CN"/>
        </w:rPr>
      </w:pPr>
      <w:r w:rsidRPr="00393D19">
        <w:rPr>
          <w:noProof/>
          <w:sz w:val="28"/>
          <w:szCs w:val="28"/>
          <w:lang w:val="ro-RO" w:eastAsia="zh-CN"/>
        </w:rPr>
        <w:t>În temeiul art.60 alin.(1) lit.a) din Legea finanţelor publice şi responsabilităţii bugetar-fiscale nr.181/2014 (Monitorul Oficial al Republicii Moldova, 2014, nr.223-230, art.519)</w:t>
      </w:r>
      <w:r w:rsidR="00457ACE" w:rsidRPr="00393D19">
        <w:rPr>
          <w:noProof/>
          <w:sz w:val="28"/>
          <w:szCs w:val="28"/>
          <w:lang w:val="ro-RO" w:eastAsia="zh-CN"/>
        </w:rPr>
        <w:t xml:space="preserve"> și</w:t>
      </w:r>
      <w:r w:rsidRPr="00393D19">
        <w:rPr>
          <w:noProof/>
          <w:sz w:val="28"/>
          <w:szCs w:val="28"/>
          <w:lang w:val="ro-RO" w:eastAsia="zh-CN"/>
        </w:rPr>
        <w:t xml:space="preserve"> art.3</w:t>
      </w:r>
      <w:r w:rsidR="00A8631D" w:rsidRPr="00393D19">
        <w:rPr>
          <w:rFonts w:eastAsiaTheme="minorHAnsi"/>
          <w:noProof/>
          <w:sz w:val="28"/>
          <w:szCs w:val="28"/>
          <w:lang w:val="ro-RO" w:eastAsia="en-US"/>
        </w:rPr>
        <w:t xml:space="preserve"> lit.</w:t>
      </w:r>
      <w:r w:rsidR="00171067" w:rsidRPr="00393D19">
        <w:rPr>
          <w:rFonts w:eastAsiaTheme="minorHAnsi"/>
          <w:noProof/>
          <w:sz w:val="28"/>
          <w:szCs w:val="28"/>
          <w:lang w:val="ro-RO" w:eastAsia="en-US"/>
        </w:rPr>
        <w:t>e</w:t>
      </w:r>
      <w:r w:rsidR="00A8631D" w:rsidRPr="00393D19">
        <w:rPr>
          <w:rFonts w:eastAsiaTheme="minorHAnsi"/>
          <w:noProof/>
          <w:sz w:val="28"/>
          <w:szCs w:val="28"/>
          <w:lang w:val="ro-RO" w:eastAsia="en-US"/>
        </w:rPr>
        <w:t xml:space="preserve">) </w:t>
      </w:r>
      <w:r w:rsidRPr="00393D19">
        <w:rPr>
          <w:noProof/>
          <w:sz w:val="28"/>
          <w:szCs w:val="28"/>
          <w:lang w:val="ro-RO" w:eastAsia="zh-CN"/>
        </w:rPr>
        <w:t xml:space="preserve">din Legea bugetului de stat pentru anul </w:t>
      </w:r>
      <w:r w:rsidR="00171067" w:rsidRPr="00393D19">
        <w:rPr>
          <w:noProof/>
          <w:sz w:val="28"/>
          <w:szCs w:val="28"/>
          <w:lang w:val="ro-RO" w:eastAsia="zh-CN"/>
        </w:rPr>
        <w:t>2020</w:t>
      </w:r>
      <w:r w:rsidRPr="00393D19">
        <w:rPr>
          <w:noProof/>
          <w:sz w:val="28"/>
          <w:szCs w:val="28"/>
          <w:lang w:val="ro-RO" w:eastAsia="zh-CN"/>
        </w:rPr>
        <w:t xml:space="preserve"> nr.</w:t>
      </w:r>
      <w:r w:rsidR="00171067" w:rsidRPr="00393D19">
        <w:rPr>
          <w:noProof/>
          <w:sz w:val="28"/>
          <w:szCs w:val="28"/>
          <w:lang w:val="ro-RO" w:eastAsia="zh-CN"/>
        </w:rPr>
        <w:t>172/2019</w:t>
      </w:r>
      <w:r w:rsidRPr="00393D19">
        <w:rPr>
          <w:noProof/>
          <w:sz w:val="28"/>
          <w:szCs w:val="28"/>
          <w:lang w:val="ro-RO" w:eastAsia="zh-CN"/>
        </w:rPr>
        <w:t xml:space="preserve"> (Monitorul Oficial al Republicii Moldova, 20</w:t>
      </w:r>
      <w:r w:rsidR="002F7083" w:rsidRPr="00393D19">
        <w:rPr>
          <w:noProof/>
          <w:sz w:val="28"/>
          <w:szCs w:val="28"/>
          <w:lang w:val="ro-RO" w:eastAsia="zh-CN"/>
        </w:rPr>
        <w:t>19</w:t>
      </w:r>
      <w:r w:rsidRPr="00393D19">
        <w:rPr>
          <w:noProof/>
          <w:sz w:val="28"/>
          <w:szCs w:val="28"/>
          <w:lang w:val="ro-RO" w:eastAsia="zh-CN"/>
        </w:rPr>
        <w:t>, nr.</w:t>
      </w:r>
      <w:r w:rsidR="002F7083" w:rsidRPr="00393D19">
        <w:rPr>
          <w:noProof/>
          <w:sz w:val="28"/>
          <w:szCs w:val="28"/>
          <w:lang w:val="ro-RO" w:eastAsia="zh-CN"/>
        </w:rPr>
        <w:t>393-399</w:t>
      </w:r>
      <w:r w:rsidRPr="00393D19">
        <w:rPr>
          <w:noProof/>
          <w:sz w:val="28"/>
          <w:szCs w:val="28"/>
          <w:lang w:val="ro-RO" w:eastAsia="zh-CN"/>
        </w:rPr>
        <w:t>, art.</w:t>
      </w:r>
      <w:r w:rsidR="002F7083" w:rsidRPr="00393D19">
        <w:rPr>
          <w:noProof/>
          <w:sz w:val="28"/>
          <w:szCs w:val="28"/>
          <w:lang w:val="ro-RO" w:eastAsia="zh-CN"/>
        </w:rPr>
        <w:t>321</w:t>
      </w:r>
      <w:r w:rsidRPr="00393D19">
        <w:rPr>
          <w:noProof/>
          <w:sz w:val="28"/>
          <w:szCs w:val="28"/>
          <w:lang w:val="ro-RO" w:eastAsia="zh-CN"/>
        </w:rPr>
        <w:t>), Guvernul</w:t>
      </w:r>
    </w:p>
    <w:p w:rsidR="008B448C" w:rsidRPr="00393D19" w:rsidRDefault="008B448C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303A1F" w:rsidRPr="00314523" w:rsidRDefault="00303A1F" w:rsidP="00303A1F">
      <w:pPr>
        <w:jc w:val="center"/>
        <w:rPr>
          <w:b/>
          <w:noProof/>
          <w:sz w:val="28"/>
          <w:szCs w:val="28"/>
          <w:lang w:val="en-US"/>
        </w:rPr>
      </w:pPr>
      <w:r w:rsidRPr="00393D19">
        <w:rPr>
          <w:b/>
          <w:noProof/>
          <w:sz w:val="28"/>
          <w:szCs w:val="28"/>
          <w:lang w:val="ro-RO"/>
        </w:rPr>
        <w:t>HOTĂRĂŞTE:</w:t>
      </w:r>
      <w:bookmarkStart w:id="0" w:name="_GoBack"/>
      <w:bookmarkEnd w:id="0"/>
    </w:p>
    <w:p w:rsidR="00303A1F" w:rsidRPr="00393D19" w:rsidRDefault="00303A1F" w:rsidP="00303A1F">
      <w:pPr>
        <w:ind w:firstLine="567"/>
        <w:jc w:val="both"/>
        <w:rPr>
          <w:noProof/>
          <w:sz w:val="28"/>
          <w:szCs w:val="28"/>
          <w:lang w:val="ro-RO"/>
        </w:rPr>
      </w:pPr>
    </w:p>
    <w:p w:rsidR="00A23135" w:rsidRPr="00393D19" w:rsidRDefault="00A23135" w:rsidP="004F658B">
      <w:pPr>
        <w:ind w:firstLine="709"/>
        <w:jc w:val="both"/>
        <w:rPr>
          <w:noProof/>
          <w:sz w:val="28"/>
          <w:szCs w:val="28"/>
          <w:lang w:val="ro-RO" w:eastAsia="zh-CN"/>
        </w:rPr>
      </w:pPr>
      <w:r w:rsidRPr="00393D19">
        <w:rPr>
          <w:noProof/>
          <w:sz w:val="28"/>
          <w:szCs w:val="28"/>
          <w:lang w:val="ro-RO" w:eastAsia="zh-CN"/>
        </w:rPr>
        <w:t>1.Volumele alocaţiilor aprobate prin anexa nr.3 la Legea bugetului de stat pentru anul 20</w:t>
      </w:r>
      <w:r w:rsidR="002F7083" w:rsidRPr="00393D19">
        <w:rPr>
          <w:noProof/>
          <w:sz w:val="28"/>
          <w:szCs w:val="28"/>
          <w:lang w:val="ro-RO" w:eastAsia="zh-CN"/>
        </w:rPr>
        <w:t>20</w:t>
      </w:r>
      <w:r w:rsidR="00A615D1" w:rsidRPr="00393D19">
        <w:rPr>
          <w:noProof/>
          <w:sz w:val="28"/>
          <w:szCs w:val="28"/>
          <w:lang w:val="ro-RO" w:eastAsia="zh-CN"/>
        </w:rPr>
        <w:t xml:space="preserve"> nr.172/2019</w:t>
      </w:r>
      <w:r w:rsidRPr="00393D19">
        <w:rPr>
          <w:noProof/>
          <w:sz w:val="28"/>
          <w:szCs w:val="28"/>
          <w:lang w:val="ro-RO" w:eastAsia="zh-CN"/>
        </w:rPr>
        <w:t xml:space="preserve"> </w:t>
      </w:r>
      <w:r w:rsidR="000827FC" w:rsidRPr="00393D19">
        <w:rPr>
          <w:noProof/>
          <w:sz w:val="28"/>
          <w:szCs w:val="28"/>
          <w:lang w:val="ro-RO" w:eastAsia="zh-CN"/>
        </w:rPr>
        <w:t xml:space="preserve">se </w:t>
      </w:r>
      <w:r w:rsidRPr="00393D19">
        <w:rPr>
          <w:noProof/>
          <w:sz w:val="28"/>
          <w:szCs w:val="28"/>
          <w:lang w:val="ro-RO" w:eastAsia="zh-CN"/>
        </w:rPr>
        <w:t>redistribuie între autorităţi publice centrale şi într</w:t>
      </w:r>
      <w:r w:rsidR="000827FC" w:rsidRPr="00393D19">
        <w:rPr>
          <w:noProof/>
          <w:sz w:val="28"/>
          <w:szCs w:val="28"/>
          <w:lang w:val="ro-RO" w:eastAsia="zh-CN"/>
        </w:rPr>
        <w:t>e subprogramele unei autorităţi</w:t>
      </w:r>
      <w:r w:rsidR="004F1D88" w:rsidRPr="00393D19">
        <w:rPr>
          <w:noProof/>
          <w:sz w:val="28"/>
          <w:szCs w:val="28"/>
          <w:lang w:val="ro-RO" w:eastAsia="zh-CN"/>
        </w:rPr>
        <w:t>.</w:t>
      </w:r>
      <w:r w:rsidR="000827FC" w:rsidRPr="00393D19">
        <w:rPr>
          <w:noProof/>
          <w:sz w:val="28"/>
          <w:szCs w:val="28"/>
          <w:lang w:val="ro-RO" w:eastAsia="zh-CN"/>
        </w:rPr>
        <w:t xml:space="preserve"> </w:t>
      </w:r>
      <w:r w:rsidR="004F1D88" w:rsidRPr="00393D19">
        <w:rPr>
          <w:noProof/>
          <w:sz w:val="28"/>
          <w:szCs w:val="28"/>
          <w:lang w:val="ro-RO" w:eastAsia="zh-CN"/>
        </w:rPr>
        <w:t>S</w:t>
      </w:r>
      <w:r w:rsidR="000827FC" w:rsidRPr="00393D19">
        <w:rPr>
          <w:noProof/>
          <w:sz w:val="28"/>
          <w:szCs w:val="28"/>
          <w:lang w:val="ro-RO" w:eastAsia="zh-CN"/>
        </w:rPr>
        <w:t xml:space="preserve">e repartizează pe autorități publice centrale alocații în sumă de </w:t>
      </w:r>
      <w:r w:rsidR="00A615D1" w:rsidRPr="00393D19">
        <w:rPr>
          <w:noProof/>
          <w:sz w:val="28"/>
          <w:szCs w:val="28"/>
          <w:lang w:val="ro-RO" w:eastAsia="zh-CN"/>
        </w:rPr>
        <w:t>7321,5</w:t>
      </w:r>
      <w:r w:rsidR="000827FC" w:rsidRPr="00393D19">
        <w:rPr>
          <w:noProof/>
          <w:sz w:val="28"/>
          <w:szCs w:val="28"/>
          <w:lang w:val="ro-RO" w:eastAsia="zh-CN"/>
        </w:rPr>
        <w:t xml:space="preserve"> mii lei pentru implementarea prevederilor Legii nr.270/2018 privind sistemul unitar de salarizare în sectorul bugetar, conform anexei 1.</w:t>
      </w:r>
    </w:p>
    <w:p w:rsidR="00A23135" w:rsidRPr="00393D19" w:rsidRDefault="00A23135" w:rsidP="00A514EC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  <w:r w:rsidRPr="00393D19">
        <w:rPr>
          <w:noProof/>
          <w:sz w:val="28"/>
          <w:szCs w:val="28"/>
          <w:lang w:val="ro-RO" w:eastAsia="zh-CN"/>
        </w:rPr>
        <w:t>2. Se repartizează, din alocaţiile aprobate în bugetul de stat pentru anul 20</w:t>
      </w:r>
      <w:r w:rsidR="00A615D1" w:rsidRPr="00393D19">
        <w:rPr>
          <w:noProof/>
          <w:sz w:val="28"/>
          <w:szCs w:val="28"/>
          <w:lang w:val="ro-RO" w:eastAsia="zh-CN"/>
        </w:rPr>
        <w:t>20</w:t>
      </w:r>
      <w:r w:rsidRPr="00393D19">
        <w:rPr>
          <w:noProof/>
          <w:sz w:val="28"/>
          <w:szCs w:val="28"/>
          <w:lang w:val="ro-RO" w:eastAsia="zh-CN"/>
        </w:rPr>
        <w:t>, către bugetele autorităţilor publice locale transferuri cu destinaţie specială în sumă de</w:t>
      </w:r>
      <w:r w:rsidR="009542C9" w:rsidRPr="00393D19">
        <w:rPr>
          <w:noProof/>
          <w:sz w:val="28"/>
          <w:szCs w:val="28"/>
          <w:lang w:val="ro-RO" w:eastAsia="zh-CN"/>
        </w:rPr>
        <w:t xml:space="preserve"> </w:t>
      </w:r>
      <w:r w:rsidR="003E1E86">
        <w:rPr>
          <w:noProof/>
          <w:sz w:val="28"/>
          <w:szCs w:val="28"/>
          <w:lang w:val="ro-RO" w:eastAsia="zh-CN"/>
        </w:rPr>
        <w:t>5514,6</w:t>
      </w:r>
      <w:r w:rsidR="00C96F22" w:rsidRPr="00393D19">
        <w:rPr>
          <w:noProof/>
          <w:sz w:val="28"/>
          <w:szCs w:val="28"/>
          <w:lang w:val="ro-RO" w:eastAsia="zh-CN"/>
        </w:rPr>
        <w:t xml:space="preserve"> </w:t>
      </w:r>
      <w:r w:rsidRPr="00393D19">
        <w:rPr>
          <w:noProof/>
          <w:sz w:val="28"/>
          <w:szCs w:val="28"/>
          <w:lang w:val="ro-RO" w:eastAsia="zh-CN"/>
        </w:rPr>
        <w:t>mii lei şi alte transferuri curente cu destinaţie generală în sumă de</w:t>
      </w:r>
      <w:r w:rsidR="009542C9" w:rsidRPr="00393D19">
        <w:rPr>
          <w:noProof/>
          <w:sz w:val="28"/>
          <w:szCs w:val="28"/>
          <w:lang w:val="ro-RO" w:eastAsia="zh-CN"/>
        </w:rPr>
        <w:t xml:space="preserve"> </w:t>
      </w:r>
      <w:r w:rsidR="0076583E" w:rsidRPr="00393D19">
        <w:rPr>
          <w:noProof/>
          <w:sz w:val="28"/>
          <w:szCs w:val="28"/>
          <w:lang w:val="ro-RO" w:eastAsia="zh-CN"/>
        </w:rPr>
        <w:t>2476,4</w:t>
      </w:r>
      <w:r w:rsidRPr="00393D19">
        <w:rPr>
          <w:noProof/>
          <w:sz w:val="28"/>
          <w:szCs w:val="28"/>
          <w:lang w:val="ro-RO" w:eastAsia="zh-CN"/>
        </w:rPr>
        <w:t xml:space="preserve"> </w:t>
      </w:r>
      <w:r w:rsidR="00C96F22" w:rsidRPr="00393D19">
        <w:rPr>
          <w:noProof/>
          <w:sz w:val="28"/>
          <w:szCs w:val="28"/>
          <w:lang w:val="ro-RO" w:eastAsia="zh-CN"/>
        </w:rPr>
        <w:t xml:space="preserve">       </w:t>
      </w:r>
      <w:r w:rsidRPr="00393D19">
        <w:rPr>
          <w:noProof/>
          <w:sz w:val="28"/>
          <w:szCs w:val="28"/>
          <w:lang w:val="ro-RO" w:eastAsia="zh-CN"/>
        </w:rPr>
        <w:t>mii lei în scopul acoperirii parţiale a cheltuielilor pentru implementarea prevederilor Legii nr.270/2018 privind sistemul unitar de salarizare în sectorul bugetar, conform anexei 2.</w:t>
      </w:r>
    </w:p>
    <w:p w:rsidR="001F13E0" w:rsidRDefault="00A23135" w:rsidP="00393D19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  <w:r w:rsidRPr="00393D19">
        <w:rPr>
          <w:noProof/>
          <w:sz w:val="28"/>
          <w:szCs w:val="28"/>
          <w:lang w:val="ro-RO" w:eastAsia="zh-CN"/>
        </w:rPr>
        <w:t xml:space="preserve">3. </w:t>
      </w:r>
      <w:r w:rsidR="00393D19" w:rsidRPr="00393D19">
        <w:rPr>
          <w:noProof/>
          <w:sz w:val="28"/>
          <w:szCs w:val="28"/>
          <w:lang w:val="ro-RO" w:eastAsia="zh-CN"/>
        </w:rPr>
        <w:t>Prin derogare de la Regulamentul privind finanţarea în bază de cost standard per elev a instituţiilor de învăţămînt primar şi secundar general din subordinea autorităţilor publice locale de nivelul al doilea, aprobat prin Hotărîrea Guvernului nr.868/2014, alocaţiile destinate instituţiilor de învăţămînt primar, gimnazial şi liceal se vor repartiza instituţiilor respective în funcţie de necesităţile identificate la nivel de fiecare instituţie de învăţămînt.</w:t>
      </w:r>
    </w:p>
    <w:p w:rsidR="0076583E" w:rsidRPr="00393D19" w:rsidRDefault="00393D19" w:rsidP="00393D19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  <w:r w:rsidRPr="00393D19">
        <w:rPr>
          <w:noProof/>
          <w:sz w:val="28"/>
          <w:szCs w:val="28"/>
          <w:lang w:val="ro-RO" w:eastAsia="zh-CN"/>
        </w:rPr>
        <w:t xml:space="preserve"> 4. </w:t>
      </w:r>
      <w:r w:rsidR="00A23135" w:rsidRPr="00393D19">
        <w:rPr>
          <w:noProof/>
          <w:sz w:val="28"/>
          <w:szCs w:val="28"/>
          <w:lang w:val="ro-RO" w:eastAsia="zh-CN"/>
        </w:rPr>
        <w:t>Prezenta hotărîre intră în vigoare la data publicării.</w:t>
      </w:r>
    </w:p>
    <w:p w:rsidR="00303A1F" w:rsidRPr="00393D19" w:rsidRDefault="00303A1F" w:rsidP="00A23135">
      <w:pPr>
        <w:jc w:val="both"/>
        <w:rPr>
          <w:noProof/>
          <w:sz w:val="28"/>
          <w:szCs w:val="28"/>
          <w:lang w:val="ro-RO"/>
        </w:rPr>
      </w:pPr>
    </w:p>
    <w:p w:rsidR="002E5603" w:rsidRPr="00393D19" w:rsidRDefault="00303A1F" w:rsidP="00C608C2">
      <w:pPr>
        <w:rPr>
          <w:b/>
          <w:noProof/>
          <w:sz w:val="28"/>
          <w:szCs w:val="28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 xml:space="preserve">PRIM-MINISTRU                                                                       </w:t>
      </w:r>
      <w:r w:rsidR="006D2D80" w:rsidRPr="00393D19">
        <w:rPr>
          <w:b/>
          <w:noProof/>
          <w:sz w:val="28"/>
          <w:szCs w:val="28"/>
          <w:lang w:val="ro-RO"/>
        </w:rPr>
        <w:t xml:space="preserve">   </w:t>
      </w:r>
      <w:r w:rsidR="00A23135" w:rsidRPr="00393D19">
        <w:rPr>
          <w:b/>
          <w:noProof/>
          <w:sz w:val="28"/>
          <w:szCs w:val="28"/>
          <w:lang w:val="ro-RO"/>
        </w:rPr>
        <w:t xml:space="preserve">   </w:t>
      </w:r>
      <w:r w:rsidRPr="00393D19">
        <w:rPr>
          <w:b/>
          <w:noProof/>
          <w:sz w:val="28"/>
          <w:szCs w:val="28"/>
          <w:lang w:val="ro-RO"/>
        </w:rPr>
        <w:t xml:space="preserve"> </w:t>
      </w:r>
      <w:r w:rsidR="006D2D80" w:rsidRPr="00393D19">
        <w:rPr>
          <w:b/>
          <w:noProof/>
          <w:sz w:val="28"/>
          <w:szCs w:val="28"/>
          <w:lang w:val="ro-RO"/>
        </w:rPr>
        <w:t xml:space="preserve">Ion </w:t>
      </w:r>
      <w:r w:rsidRPr="00393D19">
        <w:rPr>
          <w:b/>
          <w:noProof/>
          <w:sz w:val="28"/>
          <w:szCs w:val="28"/>
          <w:lang w:val="ro-RO"/>
        </w:rPr>
        <w:t xml:space="preserve"> </w:t>
      </w:r>
      <w:r w:rsidR="006D2D80" w:rsidRPr="00393D19">
        <w:rPr>
          <w:b/>
          <w:noProof/>
          <w:sz w:val="28"/>
          <w:szCs w:val="28"/>
          <w:lang w:val="ro-RO"/>
        </w:rPr>
        <w:t>CHICU</w:t>
      </w:r>
    </w:p>
    <w:p w:rsidR="00393D19" w:rsidRDefault="00393D19" w:rsidP="00393D19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6D2D80" w:rsidRPr="00393D19" w:rsidRDefault="006D2D80" w:rsidP="00393D19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  <w:r w:rsidRPr="00393D19">
        <w:rPr>
          <w:bCs/>
          <w:noProof/>
          <w:color w:val="000000"/>
          <w:sz w:val="28"/>
          <w:szCs w:val="28"/>
          <w:lang w:val="ro-RO" w:eastAsia="en-GB"/>
        </w:rPr>
        <w:t>Viceprim-ministru,</w:t>
      </w:r>
    </w:p>
    <w:p w:rsidR="0076583E" w:rsidRPr="00393D19" w:rsidRDefault="0004151C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  <w:r>
        <w:rPr>
          <w:bCs/>
          <w:noProof/>
          <w:color w:val="000000"/>
          <w:sz w:val="28"/>
          <w:szCs w:val="28"/>
          <w:lang w:val="ro-RO" w:eastAsia="en-GB"/>
        </w:rPr>
        <w:t>Ministru</w:t>
      </w:r>
      <w:r w:rsidR="006D2D80" w:rsidRPr="00393D19">
        <w:rPr>
          <w:bCs/>
          <w:noProof/>
          <w:color w:val="000000"/>
          <w:sz w:val="28"/>
          <w:szCs w:val="28"/>
          <w:lang w:val="ro-RO" w:eastAsia="en-GB"/>
        </w:rPr>
        <w:t>l Finanțelor</w:t>
      </w:r>
      <w:r w:rsidR="006D2D80" w:rsidRPr="00393D19">
        <w:rPr>
          <w:b/>
          <w:bCs/>
          <w:noProof/>
          <w:color w:val="000000"/>
          <w:sz w:val="28"/>
          <w:szCs w:val="28"/>
          <w:lang w:val="ro-RO" w:eastAsia="en-GB"/>
        </w:rPr>
        <w:t xml:space="preserve">                                                              </w:t>
      </w:r>
      <w:r w:rsidR="00A23135" w:rsidRPr="00393D19">
        <w:rPr>
          <w:b/>
          <w:bCs/>
          <w:noProof/>
          <w:color w:val="000000"/>
          <w:sz w:val="28"/>
          <w:szCs w:val="28"/>
          <w:lang w:val="ro-RO" w:eastAsia="en-GB"/>
        </w:rPr>
        <w:t xml:space="preserve">   </w:t>
      </w:r>
      <w:r>
        <w:rPr>
          <w:b/>
          <w:bCs/>
          <w:noProof/>
          <w:color w:val="000000"/>
          <w:sz w:val="28"/>
          <w:szCs w:val="28"/>
          <w:lang w:val="ro-RO" w:eastAsia="en-GB"/>
        </w:rPr>
        <w:t xml:space="preserve">  </w:t>
      </w:r>
      <w:r w:rsidR="00A23135" w:rsidRPr="00393D19">
        <w:rPr>
          <w:b/>
          <w:bCs/>
          <w:noProof/>
          <w:color w:val="000000"/>
          <w:sz w:val="28"/>
          <w:szCs w:val="28"/>
          <w:lang w:val="ro-RO" w:eastAsia="en-GB"/>
        </w:rPr>
        <w:t xml:space="preserve"> </w:t>
      </w:r>
      <w:r w:rsidR="006D2D80" w:rsidRPr="00393D19">
        <w:rPr>
          <w:b/>
          <w:bCs/>
          <w:noProof/>
          <w:color w:val="000000"/>
          <w:sz w:val="28"/>
          <w:szCs w:val="28"/>
          <w:lang w:val="ro-RO" w:eastAsia="en-GB"/>
        </w:rPr>
        <w:t> </w:t>
      </w:r>
      <w:r w:rsidR="006D2D80" w:rsidRPr="00393D19">
        <w:rPr>
          <w:bCs/>
          <w:noProof/>
          <w:color w:val="000000"/>
          <w:sz w:val="28"/>
          <w:szCs w:val="28"/>
          <w:lang w:val="ro-RO" w:eastAsia="en-GB"/>
        </w:rPr>
        <w:t>Serghei PUȘCUȚA</w:t>
      </w:r>
    </w:p>
    <w:p w:rsidR="00512500" w:rsidRPr="00393D19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lastRenderedPageBreak/>
        <w:t xml:space="preserve">Anexa </w:t>
      </w:r>
      <w:r w:rsidR="00371B98">
        <w:rPr>
          <w:noProof/>
          <w:sz w:val="28"/>
          <w:szCs w:val="28"/>
          <w:lang w:val="ro-RO"/>
        </w:rPr>
        <w:t>nr.</w:t>
      </w:r>
      <w:r w:rsidRPr="00393D19">
        <w:rPr>
          <w:noProof/>
          <w:sz w:val="28"/>
          <w:szCs w:val="28"/>
          <w:lang w:val="ro-RO"/>
        </w:rPr>
        <w:t>1</w:t>
      </w:r>
    </w:p>
    <w:p w:rsidR="00371B98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 xml:space="preserve">la Hotărîrea Guvernului </w:t>
      </w:r>
    </w:p>
    <w:p w:rsidR="00512500" w:rsidRPr="00393D19" w:rsidRDefault="00512500" w:rsidP="00371B98">
      <w:pPr>
        <w:jc w:val="right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 xml:space="preserve">nr. </w:t>
      </w:r>
      <w:r w:rsidR="00371B98">
        <w:rPr>
          <w:noProof/>
          <w:sz w:val="28"/>
          <w:szCs w:val="28"/>
          <w:lang w:val="ro-RO"/>
        </w:rPr>
        <w:t xml:space="preserve">        /</w:t>
      </w:r>
      <w:r w:rsidR="00F74763" w:rsidRPr="00393D19">
        <w:rPr>
          <w:noProof/>
          <w:sz w:val="28"/>
          <w:szCs w:val="28"/>
          <w:lang w:val="ro-RO"/>
        </w:rPr>
        <w:t>2020</w:t>
      </w:r>
    </w:p>
    <w:p w:rsidR="00512500" w:rsidRPr="00393D19" w:rsidRDefault="00512500" w:rsidP="00512500">
      <w:pPr>
        <w:jc w:val="right"/>
        <w:rPr>
          <w:noProof/>
          <w:sz w:val="28"/>
          <w:szCs w:val="28"/>
          <w:lang w:val="ro-RO"/>
        </w:rPr>
      </w:pPr>
    </w:p>
    <w:p w:rsidR="00512500" w:rsidRPr="00393D19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 xml:space="preserve">Volumele alocațiilor aprobate în bugetul de stat pentru anul </w:t>
      </w:r>
      <w:r w:rsidR="00F74763" w:rsidRPr="00393D19">
        <w:rPr>
          <w:b/>
          <w:noProof/>
          <w:sz w:val="28"/>
          <w:szCs w:val="28"/>
          <w:lang w:val="ro-RO"/>
        </w:rPr>
        <w:t>2020</w:t>
      </w:r>
      <w:r w:rsidRPr="00393D19">
        <w:rPr>
          <w:b/>
          <w:noProof/>
          <w:sz w:val="28"/>
          <w:szCs w:val="28"/>
          <w:lang w:val="ro-RO"/>
        </w:rPr>
        <w:t>,</w:t>
      </w:r>
    </w:p>
    <w:p w:rsidR="00512500" w:rsidRPr="00393D19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>care se</w:t>
      </w:r>
      <w:r w:rsidR="0085614E">
        <w:rPr>
          <w:b/>
          <w:noProof/>
          <w:sz w:val="28"/>
          <w:szCs w:val="28"/>
          <w:lang w:val="ro-RO"/>
        </w:rPr>
        <w:t xml:space="preserve"> redistribuie între autorități</w:t>
      </w:r>
      <w:r w:rsidRPr="00393D19">
        <w:rPr>
          <w:b/>
          <w:noProof/>
          <w:sz w:val="28"/>
          <w:szCs w:val="28"/>
          <w:lang w:val="ro-RO"/>
        </w:rPr>
        <w:t xml:space="preserve"> publice centrale</w:t>
      </w:r>
    </w:p>
    <w:p w:rsidR="002C3D9F" w:rsidRPr="00393D19" w:rsidRDefault="00512500" w:rsidP="001C08C9">
      <w:pPr>
        <w:jc w:val="center"/>
        <w:rPr>
          <w:b/>
          <w:noProof/>
          <w:sz w:val="28"/>
          <w:szCs w:val="28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>și între subprogramele unei autorități</w:t>
      </w:r>
    </w:p>
    <w:p w:rsidR="00854379" w:rsidRPr="00393D19" w:rsidRDefault="00854379" w:rsidP="005A3C14">
      <w:pPr>
        <w:jc w:val="center"/>
        <w:rPr>
          <w:b/>
          <w:noProof/>
          <w:sz w:val="28"/>
          <w:szCs w:val="28"/>
          <w:lang w:val="ro-RO"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4348"/>
        <w:gridCol w:w="891"/>
        <w:gridCol w:w="1246"/>
        <w:gridCol w:w="1335"/>
        <w:gridCol w:w="1524"/>
      </w:tblGrid>
      <w:tr w:rsidR="00F623F5" w:rsidRPr="00393D19" w:rsidTr="005E6463">
        <w:trPr>
          <w:trHeight w:val="359"/>
          <w:tblHeader/>
        </w:trPr>
        <w:tc>
          <w:tcPr>
            <w:tcW w:w="4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Denumirea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Cod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 xml:space="preserve">Suma, </w:t>
            </w: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br/>
              <w:t>mii lei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inclusiv redistribuiri:</w:t>
            </w:r>
          </w:p>
        </w:tc>
      </w:tr>
      <w:tr w:rsidR="00F623F5" w:rsidRPr="00393D19" w:rsidTr="005E6463">
        <w:trPr>
          <w:trHeight w:val="1334"/>
          <w:tblHeader/>
        </w:trPr>
        <w:tc>
          <w:tcPr>
            <w:tcW w:w="4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pînă la 10 la sută din volumul aprobat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F5" w:rsidRPr="00393D19" w:rsidRDefault="00BE7FB9" w:rsidP="0093799A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pentru implementarea</w:t>
            </w:r>
          </w:p>
          <w:p w:rsidR="00BE7FB9" w:rsidRPr="00393D19" w:rsidRDefault="007A35CB" w:rsidP="0093799A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noProof/>
                <w:color w:val="000000"/>
                <w:sz w:val="22"/>
                <w:szCs w:val="22"/>
                <w:lang w:val="ro-RO" w:eastAsia="en-US"/>
              </w:rPr>
              <w:t>Legii nr.270/2018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Cancelaria de Stat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289</w:t>
            </w:r>
            <w:r w:rsidR="005A7B68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289</w:t>
            </w:r>
            <w:r w:rsidR="005A7B68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289</w:t>
            </w:r>
            <w:r w:rsidR="005A7B68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289</w:t>
            </w:r>
            <w:r w:rsidR="005A7B68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superior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289</w:t>
            </w:r>
            <w:r w:rsidR="005A7B68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289</w:t>
            </w:r>
            <w:r w:rsidR="005A7B68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Ministerul Justiției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5A7B68" w:rsidP="005A7B68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339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5A7B68" w:rsidP="005A7B68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339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113</w:t>
            </w:r>
            <w:r w:rsidR="005A7B68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113</w:t>
            </w:r>
            <w:r w:rsidR="005A7B68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arhivă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113</w:t>
            </w:r>
            <w:r w:rsidR="005A7B68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A7B68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113</w:t>
            </w:r>
            <w:r w:rsidR="005A7B68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FD7E7E" w:rsidP="00FD7E7E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226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FD7E7E" w:rsidP="00FD7E7E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226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Apărare a drepturilor și intereselor legale ale persoanelor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132</w:t>
            </w:r>
            <w:r w:rsidR="00FD7E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5F5F7E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132,5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Expertiză legală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108</w:t>
            </w:r>
            <w:r w:rsidR="00FD7E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108</w:t>
            </w:r>
            <w:r w:rsidR="00FD7E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 integrat de informare juridică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618</w:t>
            </w:r>
            <w:r w:rsidR="00FD7E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476</w:t>
            </w:r>
            <w:r w:rsidR="00FD7E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142</w:t>
            </w:r>
            <w:r w:rsidR="00FD7E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măsurilor alternative de detenție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FD7E7E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887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FD7E7E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887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Sistemul penitenciar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4302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D7E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-519</w:t>
            </w:r>
            <w:r w:rsidR="00FD7E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5F5F7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5F5F7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476,0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5F5F7E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-43,6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Ministerul Afacerilor Interne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784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945B1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2000</w:t>
            </w:r>
            <w:r w:rsidR="001945B1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945B1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2784</w:t>
            </w:r>
            <w:r w:rsidR="001945B1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846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532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314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 afacerilor interne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722</w:t>
            </w:r>
            <w:r w:rsidR="001945B1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722</w:t>
            </w:r>
            <w:r w:rsidR="001945B1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Ordine și siguranță publică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000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000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Trupe de carabinieri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592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945B1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592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afacerilor interne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0276C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10276C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</w:t>
            </w:r>
            <w:r w:rsidR="001945B1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0276C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10276C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</w:t>
            </w:r>
            <w:r w:rsidR="001945B1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10276C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6C" w:rsidRPr="00393D19" w:rsidRDefault="00930618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frontierii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C" w:rsidRPr="00393D19" w:rsidRDefault="0010276C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C" w:rsidRPr="00393D19" w:rsidRDefault="00930618" w:rsidP="0010276C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-520,0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C" w:rsidRPr="00393D19" w:rsidRDefault="00930618" w:rsidP="0010276C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-520,0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C" w:rsidRPr="00393D19" w:rsidRDefault="0010276C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civilă și apărarea  împotriva incendiilor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3702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71C83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802,2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71C83" w:rsidP="001945B1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802,2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Protecția mediului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354E4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167</w:t>
            </w:r>
            <w:r w:rsidR="003354E4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354E4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167</w:t>
            </w:r>
            <w:r w:rsidR="003354E4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deșeurilor radioactive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167</w:t>
            </w:r>
            <w:r w:rsidR="003354E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167</w:t>
            </w:r>
            <w:r w:rsidR="003354E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3C3A9A" w:rsidP="003354E4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3354E4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354E4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354E4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470</w:t>
            </w:r>
            <w:r w:rsidR="003354E4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spitalicească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3C3A9A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3354E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B9" w:rsidRPr="00393D19" w:rsidRDefault="00BE7FB9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470</w:t>
            </w:r>
            <w:r w:rsidR="003354E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605F4A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4A" w:rsidRPr="00393D19" w:rsidRDefault="00605F4A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4A" w:rsidRPr="00393D19" w:rsidRDefault="00605F4A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4A" w:rsidRPr="00393D19" w:rsidRDefault="00605F4A" w:rsidP="00BE7FB9">
            <w:pPr>
              <w:jc w:val="right"/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  <w:t>300,0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4A" w:rsidRPr="00393D19" w:rsidRDefault="00605F4A" w:rsidP="00BE7FB9">
            <w:pPr>
              <w:jc w:val="right"/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  <w:t>300,0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4A" w:rsidRPr="00393D19" w:rsidRDefault="00605F4A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1071D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F1071D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</w:t>
            </w:r>
            <w:r w:rsidR="003354E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F1071D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F1071D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-985,8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985</w:t>
            </w:r>
            <w:r w:rsidR="003354E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3354E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F1071D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985,8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Ministerul Apărării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556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93E53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5556,2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apărării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150</w:t>
            </w:r>
            <w:r w:rsidR="0088395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93E53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150,0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apărării  naționale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</w:t>
            </w:r>
            <w:r w:rsidR="0088395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93E53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12,1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Forțele  Armatei Națíonale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394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93E53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5394,1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-4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332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77F0E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-4332,7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spitalicească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-4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332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677F0E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-4332,7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-1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223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B9" w:rsidRPr="00393D19" w:rsidRDefault="00BE7FB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097B43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-1223,5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223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097B43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-1223,5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Ministerul Economiei și Infrastructurii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-1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807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88395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700</w:t>
            </w:r>
            <w:r w:rsidR="0088395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892</w:t>
            </w:r>
            <w:r w:rsidR="0088395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-1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807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700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8395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892</w:t>
            </w:r>
            <w:r w:rsidR="0088395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drumurilor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74132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741326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2700,0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8395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FB9" w:rsidRPr="00393D19" w:rsidRDefault="00BE7FB9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27054C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4C" w:rsidRPr="00393D19" w:rsidRDefault="0027054C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auto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4C" w:rsidRPr="00393D19" w:rsidRDefault="0027054C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4C" w:rsidRPr="00393D19" w:rsidRDefault="0057239F" w:rsidP="0074132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892,3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4C" w:rsidRPr="00393D19" w:rsidRDefault="0027054C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4C" w:rsidRPr="00393D19" w:rsidRDefault="0057239F" w:rsidP="0088395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892,3</w:t>
            </w:r>
          </w:p>
        </w:tc>
      </w:tr>
      <w:tr w:rsidR="00F623F5" w:rsidRPr="00393D19" w:rsidTr="005E6463">
        <w:trPr>
          <w:trHeight w:val="67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Ministerul Agriculturii, Dezvoltării Regionale și Mediului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723CAE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804</w:t>
            </w:r>
            <w:r w:rsidR="00723CAE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723CAE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804</w:t>
            </w:r>
            <w:r w:rsidR="00723CAE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55437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-300</w:t>
            </w:r>
            <w:r w:rsidR="00F55437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55437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-300</w:t>
            </w:r>
            <w:r w:rsidR="00F55437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6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agriculturii, dezvoltării regionale și mediului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55437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-300</w:t>
            </w:r>
            <w:r w:rsidR="00F55437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55437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-300</w:t>
            </w:r>
            <w:r w:rsidR="00F55437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F55437" w:rsidP="00F55437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-1</w:t>
            </w:r>
            <w:r w:rsidR="00BE7FB9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005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55437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-</w:t>
            </w:r>
            <w:r w:rsidR="00F55437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1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005</w:t>
            </w:r>
            <w:r w:rsidR="00F55437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5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Cercetări științifice aplicate în domeniul agriculturii, în direcția strategică "Biotehnologie"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F55437" w:rsidP="00F55437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005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55437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1005</w:t>
            </w:r>
            <w:r w:rsidR="00F55437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D603B" w:rsidP="001D603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104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300</w:t>
            </w:r>
            <w:r w:rsidR="001D603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804</w:t>
            </w:r>
            <w:r w:rsidR="001D603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Prognozarea meteo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707</w:t>
            </w:r>
            <w:r w:rsidR="001D603B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707</w:t>
            </w:r>
            <w:r w:rsidR="001D603B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5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ecologică a mediului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300</w:t>
            </w:r>
            <w:r w:rsidR="001D603B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300</w:t>
            </w:r>
            <w:r w:rsidR="001D603B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Radioprotecție și securitate nucleară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97</w:t>
            </w:r>
            <w:r w:rsidR="001D603B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D603B">
            <w:pPr>
              <w:jc w:val="right"/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97</w:t>
            </w:r>
            <w:r w:rsidR="001D603B"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sz w:val="22"/>
                <w:szCs w:val="22"/>
                <w:lang w:val="ro-RO" w:eastAsia="en-US"/>
              </w:rPr>
              <w:t>3</w:t>
            </w:r>
          </w:p>
        </w:tc>
      </w:tr>
      <w:tr w:rsidR="00F623F5" w:rsidRPr="00393D19" w:rsidTr="005E6463">
        <w:trPr>
          <w:trHeight w:val="71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Ministerul Educației, Culturii și Cercetării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22006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510</w:t>
            </w:r>
            <w:r w:rsidR="00B22006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22006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510</w:t>
            </w:r>
            <w:r w:rsidR="00B22006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22006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17</w:t>
            </w:r>
            <w:r w:rsidR="00B22006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22006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17</w:t>
            </w:r>
            <w:r w:rsidR="00B22006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6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2200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-827</w:t>
            </w:r>
            <w:r w:rsidR="00B22006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2200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-827</w:t>
            </w:r>
            <w:r w:rsidR="00B22006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6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"Patrimoniul național și dezvoltarea societății"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2200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744</w:t>
            </w:r>
            <w:r w:rsidR="00B22006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2200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744</w:t>
            </w:r>
            <w:r w:rsidR="00B22006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2200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100</w:t>
            </w:r>
            <w:r w:rsidR="00B22006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22006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100</w:t>
            </w:r>
            <w:r w:rsidR="00B22006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72</w:t>
            </w:r>
            <w:r w:rsidR="00F66682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72</w:t>
            </w:r>
            <w:r w:rsidR="00F66682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130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politicilor macroeconomice și programelor de dezvoltare economică, în direcția strategică "Materiale, tehnologii și produse inovative 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72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72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  <w:r w:rsidR="00F66682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  <w:r w:rsidR="00F66682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8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"Sănătate și biomedicină"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F04645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480</w:t>
            </w:r>
            <w:r w:rsidR="00F66682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D20718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D20718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200</w:t>
            </w:r>
            <w:r w:rsidR="00CA39C6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D20718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-280,0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culturii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-200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-200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8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F04645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</w:t>
            </w:r>
            <w:r w:rsidR="008844A0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7D1A5E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200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7D1A5E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610,0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tineretului și sportului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-540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7D1A5E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-540,3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Sport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FA0AD8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49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7D1A5E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7D1A5E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7D1A5E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-349,7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E6285A" w:rsidP="00F6668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890</w:t>
            </w:r>
            <w:r w:rsidR="00F66682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C0109D" w:rsidP="00F6668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610</w:t>
            </w:r>
            <w:r w:rsidR="00F66682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C0109D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280,0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Învățămînt  special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-560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D20718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-560,0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E6285A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5A" w:rsidRPr="00393D19" w:rsidRDefault="006A658B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liceal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5A" w:rsidRPr="00393D19" w:rsidRDefault="00E6285A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5A" w:rsidRPr="00393D19" w:rsidRDefault="00E6285A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-610,0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5A" w:rsidRPr="00393D19" w:rsidRDefault="00E6285A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5A" w:rsidRPr="00393D19" w:rsidRDefault="00C0109D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-610,0</w:t>
            </w:r>
          </w:p>
        </w:tc>
      </w:tr>
      <w:tr w:rsidR="00003287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87" w:rsidRPr="00393D19" w:rsidRDefault="00003287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03287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secundar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003287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003287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-2000,0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C5590A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-2000,0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003287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003287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87" w:rsidRPr="00393D19" w:rsidRDefault="00003287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03287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postsecundar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003287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003287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2000,0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C5590A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2000,0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287" w:rsidRPr="00393D19" w:rsidRDefault="00003287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-289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F6668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-289</w:t>
            </w:r>
            <w:r w:rsidR="00F66682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47204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  <w:r w:rsidR="00C41113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CD18C7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200</w:t>
            </w:r>
            <w:r w:rsidR="0084720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CD18C7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1450,0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</w:t>
            </w:r>
            <w:r w:rsidR="0084720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</w:t>
            </w:r>
            <w:r w:rsidR="0084720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 xml:space="preserve">Biroul Național de Statistică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statisticii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462578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3594,6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462578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894,5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2F072A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2700,1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Lucrări statistice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47204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2F072A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-2700,1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462578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78" w:rsidRPr="00393D19" w:rsidRDefault="00462578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Desfășurarea recensămintelor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78" w:rsidRPr="00393D19" w:rsidRDefault="00462578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78" w:rsidRPr="00393D19" w:rsidRDefault="00BF31F8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-894,5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78" w:rsidRPr="00393D19" w:rsidRDefault="00F52C3A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BF31F8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894,5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78" w:rsidRPr="00393D19" w:rsidRDefault="00462578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F623F5" w:rsidRPr="00393D19" w:rsidTr="005E6463">
        <w:trPr>
          <w:trHeight w:val="68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Agenția Națională pentru Cercetare și Dezvoltare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83</w:t>
            </w:r>
            <w:r w:rsidR="00847204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83</w:t>
            </w:r>
            <w:r w:rsidR="00847204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83</w:t>
            </w:r>
            <w:r w:rsidR="00847204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83</w:t>
            </w:r>
            <w:r w:rsidR="00847204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83</w:t>
            </w:r>
            <w:r w:rsidR="0084720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84720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83</w:t>
            </w:r>
            <w:r w:rsidR="00847204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Agenția de Investiții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0251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47</w:t>
            </w:r>
            <w:r w:rsidR="001A176B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47</w:t>
            </w:r>
            <w:r w:rsidR="001A176B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47</w:t>
            </w:r>
            <w:r w:rsidR="001A176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47</w:t>
            </w:r>
            <w:r w:rsidR="001A176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Promovarea investiților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47</w:t>
            </w:r>
            <w:r w:rsidR="001A176B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47</w:t>
            </w:r>
            <w:r w:rsidR="001A176B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5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Centrul Național pentru Protecția Datelor cu Caracter Personal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0403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1A176B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1A176B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1A176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1A176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datelor personale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1503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1A176B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</w:t>
            </w:r>
            <w:r w:rsidR="001A176B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Consiliul Concurenței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0405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300</w:t>
            </w:r>
            <w:r w:rsidR="001A176B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300</w:t>
            </w:r>
            <w:r w:rsidR="001A176B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393D19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300</w:t>
            </w:r>
            <w:r w:rsidR="001A176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300</w:t>
            </w:r>
            <w:r w:rsidR="001A176B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concurenței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300</w:t>
            </w:r>
            <w:r w:rsidR="001A176B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1A176B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300</w:t>
            </w:r>
            <w:r w:rsidR="001A176B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lang w:val="ro-RO" w:eastAsia="en-US"/>
              </w:rPr>
            </w:pPr>
            <w:r w:rsidRPr="00393D19">
              <w:rPr>
                <w:b/>
                <w:bCs/>
                <w:noProof/>
                <w:lang w:val="ro-RO" w:eastAsia="en-US"/>
              </w:rPr>
              <w:t>Academia de Științe a Moldovei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0501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4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F3EB5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-100</w:t>
            </w:r>
            <w:r w:rsidR="003F3EB5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F3EB5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-100</w:t>
            </w:r>
            <w:r w:rsidR="003F3EB5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Servicii de stat cu destinație generală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F3EB5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-100</w:t>
            </w:r>
            <w:r w:rsidR="003F3EB5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F3EB5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-100</w:t>
            </w:r>
            <w:r w:rsidR="003F3EB5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DE0469" w:rsidP="00DE046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-49</w:t>
            </w:r>
            <w:r w:rsidR="003F3EB5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DE0469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-100,0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DE046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50,9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științei și inovării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DE0469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</w:t>
            </w:r>
            <w:r w:rsidR="003F3EB5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F32326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-50,9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65659B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9B" w:rsidRPr="0065659B" w:rsidRDefault="0065659B" w:rsidP="00BE7FB9">
            <w:pPr>
              <w:rPr>
                <w:b/>
                <w:bCs/>
                <w:noProof/>
                <w:lang w:val="ro-RO" w:eastAsia="en-US"/>
              </w:rPr>
            </w:pPr>
            <w:r w:rsidRPr="0065659B">
              <w:rPr>
                <w:b/>
                <w:bCs/>
                <w:noProof/>
                <w:lang w:val="ro-RO" w:eastAsia="en-US"/>
              </w:rPr>
              <w:t>Fondul de Investiții Sociale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65659B">
              <w:rPr>
                <w:b/>
                <w:bCs/>
                <w:noProof/>
                <w:color w:val="000000"/>
                <w:lang w:val="ro-RO" w:eastAsia="en-US"/>
              </w:rPr>
              <w:t>0504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5E6463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63" w:rsidRPr="00393D19" w:rsidRDefault="005E6463" w:rsidP="005E6463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463" w:rsidRPr="00393D19" w:rsidRDefault="005E6463" w:rsidP="005E6463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463" w:rsidRPr="005E6463" w:rsidRDefault="005E6463" w:rsidP="005E6463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-800,0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463" w:rsidRPr="005E6463" w:rsidRDefault="005E6463" w:rsidP="005E6463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-800,0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463" w:rsidRPr="00393D19" w:rsidRDefault="005E6463" w:rsidP="005E6463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65659B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9B" w:rsidRPr="00393D19" w:rsidRDefault="00AF5910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6264E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</w:t>
            </w:r>
            <w:r w:rsidRPr="00AF591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5E6463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5E6463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5931C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1C5" w:rsidRPr="0086264E" w:rsidRDefault="005931C5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1C5" w:rsidRPr="005E6463" w:rsidRDefault="005931C5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1C5" w:rsidRPr="005931C5" w:rsidRDefault="005931C5" w:rsidP="003F3EB5">
            <w:pPr>
              <w:jc w:val="right"/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5931C5"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  <w:t>-800,0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1C5" w:rsidRPr="005931C5" w:rsidRDefault="005931C5" w:rsidP="003F3EB5">
            <w:pPr>
              <w:jc w:val="right"/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5931C5"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  <w:t>-800,0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1C5" w:rsidRPr="00393D19" w:rsidRDefault="005931C5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65659B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9B" w:rsidRPr="00393D19" w:rsidRDefault="00673F6E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673F6E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timpurie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73F6E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3117DB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-800,0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3117DB" w:rsidP="003F3EB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-800,0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9B" w:rsidRPr="00393D19" w:rsidRDefault="0065659B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F623F5" w:rsidRPr="00393D19" w:rsidTr="005E6463">
        <w:trPr>
          <w:trHeight w:val="47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Acțiuni generale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1C2F22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</w:t>
            </w:r>
            <w:r w:rsidR="001C2F2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6521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C2F22" w:rsidP="00BE7FB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800,0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-7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321</w:t>
            </w:r>
            <w:r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1C2F22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-12</w:t>
            </w:r>
            <w:r w:rsidR="001C2F22">
              <w:rPr>
                <w:noProof/>
                <w:color w:val="000000"/>
                <w:sz w:val="22"/>
                <w:szCs w:val="22"/>
                <w:lang w:val="ro-RO" w:eastAsia="en-US"/>
              </w:rPr>
              <w:t>0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36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1C2F22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noProof/>
                <w:color w:val="000000"/>
                <w:sz w:val="22"/>
                <w:szCs w:val="22"/>
                <w:lang w:val="ro-RO" w:eastAsia="en-US"/>
              </w:rPr>
              <w:t>800,0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37172B" w:rsidP="0037172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-12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836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1</w:t>
            </w:r>
          </w:p>
        </w:tc>
      </w:tr>
      <w:tr w:rsidR="001C2F22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22" w:rsidRPr="00393D19" w:rsidRDefault="001C2F22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1C2F2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şi management în domeniul bugetar-fiscal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22" w:rsidRPr="00393D19" w:rsidRDefault="001C2F22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1C2F2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22" w:rsidRPr="00D44368" w:rsidRDefault="00D44368" w:rsidP="001C2F22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D4436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22" w:rsidRPr="00D44368" w:rsidRDefault="00D44368" w:rsidP="00BE7FB9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</w:pPr>
            <w:r w:rsidRPr="00D44368"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  <w:t>800,0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22" w:rsidRPr="00393D19" w:rsidRDefault="001C2F22" w:rsidP="0037172B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Acțiuni cu caracter general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-15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312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-15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312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</w:t>
            </w:r>
          </w:p>
        </w:tc>
      </w:tr>
      <w:tr w:rsidR="00F623F5" w:rsidRPr="00393D19" w:rsidTr="005E6463">
        <w:trPr>
          <w:trHeight w:val="5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Raporturi interbugetare pentru nivelarea posibilităților financiare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8D1D55" w:rsidP="008D1D5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476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B9" w:rsidRPr="00393D19" w:rsidRDefault="008D1D55" w:rsidP="008D1D5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476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979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979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9</w:t>
            </w:r>
          </w:p>
        </w:tc>
      </w:tr>
      <w:tr w:rsidR="00F623F5" w:rsidRPr="00393D19" w:rsidTr="005E6463">
        <w:trPr>
          <w:trHeight w:val="53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școlilor sportive la nivel local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979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2979,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</w:t>
            </w:r>
          </w:p>
        </w:tc>
      </w:tr>
      <w:tr w:rsidR="00F623F5" w:rsidRPr="00393D19" w:rsidTr="005E6463">
        <w:trPr>
          <w:trHeight w:val="32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F623F5" w:rsidRPr="00393D19" w:rsidTr="005E6463">
        <w:trPr>
          <w:trHeight w:val="314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534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534</w:t>
            </w:r>
            <w:r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</w:tr>
      <w:tr w:rsidR="00F623F5" w:rsidRPr="00393D19" w:rsidTr="005E6463">
        <w:trPr>
          <w:trHeight w:val="299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B9" w:rsidRPr="00393D19" w:rsidRDefault="00BE7FB9" w:rsidP="00BE7FB9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învățămîntului la nivel local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534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BE7FB9" w:rsidP="00BE7FB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B9" w:rsidRPr="00393D19" w:rsidRDefault="008D1D55" w:rsidP="008D1D55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534</w:t>
            </w:r>
            <w:r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,</w:t>
            </w:r>
            <w:r w:rsidR="00BE7FB9" w:rsidRPr="00393D1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</w:t>
            </w:r>
          </w:p>
        </w:tc>
      </w:tr>
    </w:tbl>
    <w:p w:rsidR="002C3D9F" w:rsidRPr="00393D19" w:rsidRDefault="002C3D9F" w:rsidP="005A3C14">
      <w:pPr>
        <w:jc w:val="center"/>
        <w:rPr>
          <w:b/>
          <w:noProof/>
          <w:sz w:val="28"/>
          <w:szCs w:val="28"/>
          <w:lang w:val="ro-RO"/>
        </w:rPr>
      </w:pPr>
    </w:p>
    <w:p w:rsidR="008E7DC0" w:rsidRPr="00393D19" w:rsidRDefault="008E7DC0" w:rsidP="005A3C14">
      <w:pPr>
        <w:jc w:val="center"/>
        <w:rPr>
          <w:b/>
          <w:noProof/>
          <w:sz w:val="28"/>
          <w:szCs w:val="28"/>
          <w:lang w:val="ro-RO"/>
        </w:rPr>
      </w:pPr>
    </w:p>
    <w:p w:rsidR="00C13A8A" w:rsidRPr="00393D19" w:rsidRDefault="00C13A8A" w:rsidP="00BC2F64">
      <w:pPr>
        <w:jc w:val="right"/>
        <w:rPr>
          <w:noProof/>
          <w:sz w:val="28"/>
          <w:szCs w:val="28"/>
          <w:lang w:val="ro-RO"/>
        </w:rPr>
      </w:pPr>
    </w:p>
    <w:p w:rsidR="00C13A8A" w:rsidRPr="00393D19" w:rsidRDefault="00C13A8A" w:rsidP="00BC2F64">
      <w:pPr>
        <w:jc w:val="right"/>
        <w:rPr>
          <w:noProof/>
          <w:sz w:val="28"/>
          <w:szCs w:val="28"/>
          <w:lang w:val="ro-RO"/>
        </w:rPr>
      </w:pPr>
    </w:p>
    <w:p w:rsidR="00D00BD7" w:rsidRPr="00393D19" w:rsidRDefault="00D00BD7" w:rsidP="00932724">
      <w:pPr>
        <w:rPr>
          <w:noProof/>
          <w:sz w:val="28"/>
          <w:szCs w:val="28"/>
          <w:lang w:val="ro-RO"/>
        </w:rPr>
      </w:pPr>
    </w:p>
    <w:p w:rsidR="00D00BD7" w:rsidRPr="00393D19" w:rsidRDefault="00D00BD7" w:rsidP="00BC2F64">
      <w:pPr>
        <w:jc w:val="right"/>
        <w:rPr>
          <w:noProof/>
          <w:sz w:val="28"/>
          <w:szCs w:val="28"/>
          <w:lang w:val="ro-RO"/>
        </w:rPr>
      </w:pPr>
    </w:p>
    <w:p w:rsidR="00CE4CA1" w:rsidRPr="00393D19" w:rsidRDefault="00CE4CA1" w:rsidP="00BC2F64">
      <w:pPr>
        <w:jc w:val="right"/>
        <w:rPr>
          <w:noProof/>
          <w:sz w:val="28"/>
          <w:szCs w:val="28"/>
          <w:lang w:val="ro-RO"/>
        </w:rPr>
      </w:pPr>
    </w:p>
    <w:p w:rsidR="00CE4CA1" w:rsidRPr="00393D19" w:rsidRDefault="00CE4CA1" w:rsidP="00BC2F64">
      <w:pPr>
        <w:jc w:val="right"/>
        <w:rPr>
          <w:noProof/>
          <w:sz w:val="28"/>
          <w:szCs w:val="28"/>
          <w:lang w:val="ro-RO"/>
        </w:rPr>
      </w:pPr>
    </w:p>
    <w:p w:rsidR="00CE4CA1" w:rsidRPr="00393D19" w:rsidRDefault="00CE4CA1" w:rsidP="00BC2F64">
      <w:pPr>
        <w:jc w:val="right"/>
        <w:rPr>
          <w:noProof/>
          <w:sz w:val="28"/>
          <w:szCs w:val="28"/>
          <w:lang w:val="ro-RO"/>
        </w:rPr>
      </w:pPr>
    </w:p>
    <w:p w:rsidR="00CE4CA1" w:rsidRPr="00393D19" w:rsidRDefault="00CE4CA1" w:rsidP="00BC2F64">
      <w:pPr>
        <w:jc w:val="right"/>
        <w:rPr>
          <w:noProof/>
          <w:sz w:val="28"/>
          <w:szCs w:val="28"/>
          <w:lang w:val="ro-RO"/>
        </w:rPr>
      </w:pPr>
    </w:p>
    <w:p w:rsidR="00CE4CA1" w:rsidRPr="00393D19" w:rsidRDefault="00CE4CA1" w:rsidP="00BC2F64">
      <w:pPr>
        <w:jc w:val="right"/>
        <w:rPr>
          <w:noProof/>
          <w:sz w:val="28"/>
          <w:szCs w:val="28"/>
          <w:lang w:val="ro-RO"/>
        </w:rPr>
      </w:pPr>
    </w:p>
    <w:p w:rsidR="00724A7C" w:rsidRDefault="00724A7C" w:rsidP="00F27CC3">
      <w:pPr>
        <w:rPr>
          <w:noProof/>
          <w:sz w:val="28"/>
          <w:szCs w:val="28"/>
          <w:lang w:val="ro-RO"/>
        </w:rPr>
      </w:pPr>
    </w:p>
    <w:p w:rsidR="00690BC8" w:rsidRPr="00393D19" w:rsidRDefault="00690BC8" w:rsidP="00F27CC3">
      <w:pPr>
        <w:rPr>
          <w:noProof/>
          <w:sz w:val="28"/>
          <w:szCs w:val="28"/>
          <w:lang w:val="ro-RO"/>
        </w:rPr>
      </w:pPr>
    </w:p>
    <w:p w:rsidR="00C13A8A" w:rsidRPr="00393D19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lastRenderedPageBreak/>
        <w:t xml:space="preserve">Anexa </w:t>
      </w:r>
      <w:r w:rsidR="00087654">
        <w:rPr>
          <w:noProof/>
          <w:sz w:val="28"/>
          <w:szCs w:val="28"/>
          <w:lang w:val="ro-RO"/>
        </w:rPr>
        <w:t>nr.</w:t>
      </w:r>
      <w:r w:rsidRPr="00393D19">
        <w:rPr>
          <w:noProof/>
          <w:sz w:val="28"/>
          <w:szCs w:val="28"/>
          <w:lang w:val="ro-RO"/>
        </w:rPr>
        <w:t>2</w:t>
      </w:r>
    </w:p>
    <w:p w:rsidR="009956A5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 xml:space="preserve">la Hotărîrea Guvernului </w:t>
      </w:r>
    </w:p>
    <w:p w:rsidR="00C13A8A" w:rsidRPr="00393D19" w:rsidRDefault="00C13A8A" w:rsidP="009956A5">
      <w:pPr>
        <w:jc w:val="right"/>
        <w:rPr>
          <w:noProof/>
          <w:sz w:val="28"/>
          <w:szCs w:val="28"/>
          <w:lang w:val="ro-RO"/>
        </w:rPr>
      </w:pPr>
      <w:r w:rsidRPr="00393D19">
        <w:rPr>
          <w:noProof/>
          <w:sz w:val="28"/>
          <w:szCs w:val="28"/>
          <w:lang w:val="ro-RO"/>
        </w:rPr>
        <w:t xml:space="preserve">nr. </w:t>
      </w:r>
      <w:r w:rsidR="009956A5">
        <w:rPr>
          <w:noProof/>
          <w:sz w:val="28"/>
          <w:szCs w:val="28"/>
          <w:lang w:val="ro-RO"/>
        </w:rPr>
        <w:t xml:space="preserve">      /</w:t>
      </w:r>
      <w:r w:rsidR="00381DC1" w:rsidRPr="00393D19">
        <w:rPr>
          <w:noProof/>
          <w:sz w:val="28"/>
          <w:szCs w:val="28"/>
          <w:lang w:val="ro-RO"/>
        </w:rPr>
        <w:t>2020</w:t>
      </w:r>
    </w:p>
    <w:p w:rsidR="00D00BD7" w:rsidRPr="00393D19" w:rsidRDefault="00D00BD7" w:rsidP="00C13A8A">
      <w:pPr>
        <w:jc w:val="right"/>
        <w:rPr>
          <w:noProof/>
          <w:sz w:val="28"/>
          <w:szCs w:val="28"/>
          <w:lang w:val="ro-RO"/>
        </w:rPr>
      </w:pPr>
    </w:p>
    <w:p w:rsidR="00FA73EA" w:rsidRPr="00393D19" w:rsidRDefault="00FA73EA" w:rsidP="00D00BD7">
      <w:pPr>
        <w:jc w:val="center"/>
        <w:rPr>
          <w:b/>
          <w:noProof/>
          <w:sz w:val="28"/>
          <w:szCs w:val="28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 xml:space="preserve">Repartizarea alocaţiilor </w:t>
      </w:r>
      <w:r w:rsidR="009956A5">
        <w:rPr>
          <w:b/>
          <w:noProof/>
          <w:sz w:val="28"/>
          <w:szCs w:val="28"/>
          <w:lang w:val="ro-RO"/>
        </w:rPr>
        <w:t>aprobate</w:t>
      </w:r>
      <w:r w:rsidRPr="00393D19">
        <w:rPr>
          <w:b/>
          <w:noProof/>
          <w:sz w:val="28"/>
          <w:szCs w:val="28"/>
          <w:lang w:val="ro-RO"/>
        </w:rPr>
        <w:t xml:space="preserve"> în bugetul de stat pentru anul 20</w:t>
      </w:r>
      <w:r w:rsidR="00381DC1" w:rsidRPr="00393D19">
        <w:rPr>
          <w:b/>
          <w:noProof/>
          <w:sz w:val="28"/>
          <w:szCs w:val="28"/>
          <w:lang w:val="ro-RO"/>
        </w:rPr>
        <w:t>20</w:t>
      </w:r>
    </w:p>
    <w:p w:rsidR="00FA73EA" w:rsidRPr="00393D19" w:rsidRDefault="00FA73EA" w:rsidP="00D00BD7">
      <w:pPr>
        <w:jc w:val="center"/>
        <w:rPr>
          <w:b/>
          <w:noProof/>
          <w:sz w:val="28"/>
          <w:szCs w:val="28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>pentru implementarea Legii nr.270/2018 privind sistemul unitar</w:t>
      </w:r>
    </w:p>
    <w:p w:rsidR="00FA73EA" w:rsidRPr="00393D19" w:rsidRDefault="00FA73EA" w:rsidP="00D00BD7">
      <w:pPr>
        <w:jc w:val="center"/>
        <w:rPr>
          <w:b/>
          <w:noProof/>
          <w:sz w:val="28"/>
          <w:szCs w:val="28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>de salarizare în sectorul bugetar</w:t>
      </w:r>
    </w:p>
    <w:p w:rsidR="00D1256F" w:rsidRPr="00393D19" w:rsidRDefault="00FB33A0" w:rsidP="00764C4B">
      <w:pPr>
        <w:jc w:val="right"/>
        <w:rPr>
          <w:i/>
          <w:noProof/>
          <w:sz w:val="20"/>
          <w:szCs w:val="20"/>
          <w:lang w:val="ro-RO"/>
        </w:rPr>
      </w:pPr>
      <w:r w:rsidRPr="00393D19">
        <w:rPr>
          <w:b/>
          <w:noProof/>
          <w:sz w:val="28"/>
          <w:szCs w:val="28"/>
          <w:lang w:val="ro-RO"/>
        </w:rPr>
        <w:t xml:space="preserve"> </w:t>
      </w:r>
      <w:r w:rsidRPr="00393D19">
        <w:rPr>
          <w:i/>
          <w:noProof/>
          <w:sz w:val="20"/>
          <w:szCs w:val="20"/>
          <w:lang w:val="ro-RO"/>
        </w:rPr>
        <w:t>(mii lei)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660"/>
        <w:gridCol w:w="1480"/>
        <w:gridCol w:w="1260"/>
        <w:gridCol w:w="1260"/>
        <w:gridCol w:w="1260"/>
        <w:gridCol w:w="1440"/>
      </w:tblGrid>
      <w:tr w:rsidR="00764C4B" w:rsidRPr="00393D19" w:rsidTr="005A1205">
        <w:trPr>
          <w:trHeight w:val="285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4B" w:rsidRPr="00393D19" w:rsidRDefault="00764C4B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4B" w:rsidRPr="00393D19" w:rsidRDefault="00764C4B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Total transferuri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4B" w:rsidRPr="00393D19" w:rsidRDefault="00764C4B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inclusiv:</w:t>
            </w:r>
          </w:p>
        </w:tc>
      </w:tr>
      <w:tr w:rsidR="00764C4B" w:rsidRPr="00393D19" w:rsidTr="005A1205">
        <w:trPr>
          <w:trHeight w:val="285"/>
          <w:tblHeader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2812B7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ransferuri cu destinație specială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4B" w:rsidRPr="00393D19" w:rsidRDefault="00764C4B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inclusiv pentru: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4B" w:rsidRPr="00393D19" w:rsidRDefault="002812B7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lte transferuri curente cu destinație generală</w:t>
            </w:r>
          </w:p>
        </w:tc>
      </w:tr>
      <w:tr w:rsidR="00764C4B" w:rsidRPr="00393D19" w:rsidTr="005A1205">
        <w:trPr>
          <w:trHeight w:val="750"/>
          <w:tblHeader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învățămînt general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școli sportive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991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5514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2534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2979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2476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958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3870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891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2979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033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643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643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389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Bălţi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060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1013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013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013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013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5371F0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013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371F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5371F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Primaria mun.Bălți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953C04" w:rsidP="00953C0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013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53C0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1013</w:t>
            </w:r>
            <w:r w:rsidR="00953C0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953C04" w:rsidP="00953C0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013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Elizaveta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53C0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953C0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53C0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953C0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Chişinău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953C04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660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1651</w:t>
            </w:r>
            <w:r w:rsidR="00953C0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953C04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651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953C0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953C04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651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953C04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651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953C04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651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953C0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53C0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953C0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municipal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122C34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651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1651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122C34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651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764C4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Condrița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Anenii Noi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134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123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123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123</w:t>
            </w:r>
            <w:r w:rsidR="00122C3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Calfa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42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42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Puhăceni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22C3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122C3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Speia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58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58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Basarabeasca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721732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721732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721732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721732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721732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721732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Bașcalia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Iserlia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20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20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21732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20</w:t>
            </w:r>
            <w:r w:rsidR="00721732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Briceni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270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105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270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105</w:t>
            </w:r>
            <w:r w:rsidR="00CA19F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Colicauți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Criva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145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145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145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Drepcăuți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CA19F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69</w:t>
            </w:r>
            <w:r w:rsidR="00CA19F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Sirauți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16</w:t>
            </w:r>
            <w:r w:rsidR="009D1AB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16</w:t>
            </w:r>
            <w:r w:rsidR="009D1AB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Cahul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73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73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73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73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Doina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16</w:t>
            </w:r>
            <w:r w:rsidR="009D1AB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16</w:t>
            </w:r>
            <w:r w:rsidR="009D1AB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Taraclia de Salcie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56</w:t>
            </w:r>
            <w:r w:rsidR="009D1AB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56</w:t>
            </w:r>
            <w:r w:rsidR="009D1AB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Cantemir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9D1AB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9D1AB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Toceni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Hogineşti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Pitușca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31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31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Căuşeni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Fîrlădeni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97</w:t>
            </w:r>
            <w:r w:rsidR="0045437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Cimişlia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5437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5437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Criuleni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39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39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86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39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39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86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Cimişeni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30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30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Işnovăţ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39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39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39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Riscova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56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56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Donduşeni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140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140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140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140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Baraboi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Elizavetovca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76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76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Drochia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58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Miciurin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</w:t>
            </w:r>
            <w:r w:rsidR="004A4E9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156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A4E9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141</w:t>
            </w:r>
            <w:r w:rsidR="004A4E9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156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141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Lopatnic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141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141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Stolniceni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Făleşti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Catranîc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Musteaţa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35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35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Pietrosu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16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16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Sărata Veche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71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71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Floreşti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19</w:t>
            </w:r>
            <w:r w:rsidR="00BF413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Glodeni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BF413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359</w:t>
            </w:r>
            <w:r w:rsidR="00BF413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66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66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292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359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66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66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292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Ciuciulea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105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66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66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38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Danu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124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124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Ustia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129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129</w:t>
            </w:r>
            <w:r w:rsidR="00F3132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448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100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100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348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448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100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100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132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348</w:t>
            </w:r>
            <w:r w:rsidR="00F3132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Bobeica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55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55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Negrea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148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100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100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47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245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245</w:t>
            </w:r>
            <w:r w:rsidR="00FC4EC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Ialoveni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</w:t>
            </w:r>
            <w:r w:rsidR="00FC4EC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C4E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</w:t>
            </w:r>
            <w:r w:rsidR="00FC4EC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Costeşti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183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183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Hansca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Leova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Tomai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Ocniţa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41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41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41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41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41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41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Grinăuți-Moldova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28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28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28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Vălcineţ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13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13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13</w:t>
            </w:r>
            <w:r w:rsidR="002047C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170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110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94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59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047C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2047C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154</w:t>
            </w:r>
            <w:r w:rsidR="000B502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94</w:t>
            </w:r>
            <w:r w:rsidR="000B502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94</w:t>
            </w:r>
            <w:r w:rsidR="000B502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59</w:t>
            </w:r>
            <w:r w:rsidR="000B5020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1F000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</w:t>
            </w:r>
            <w:r w:rsidR="001F000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Clişova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45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45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94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94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94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Zahoreni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0B5020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14</w:t>
            </w:r>
            <w:r w:rsidR="000B5020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Rezina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Păpăuţi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28</w:t>
            </w:r>
            <w:r w:rsidR="00562695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28</w:t>
            </w:r>
            <w:r w:rsidR="00562695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Sîrcova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50</w:t>
            </w:r>
            <w:r w:rsidR="00562695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50</w:t>
            </w:r>
            <w:r w:rsidR="00562695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Rîşcani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90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</w:t>
            </w:r>
            <w:r w:rsidR="00562695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56269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63</w:t>
            </w:r>
            <w:r w:rsidR="00562695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Singureni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27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27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Sîngerei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258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222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222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36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258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222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222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36</w:t>
            </w:r>
            <w:r w:rsidR="00417739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Heciul Nou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28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28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Pepeni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180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180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180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Prepeliţa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34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34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34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Rădoaia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Ţambula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17739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  <w:r w:rsidR="00417739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442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317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317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125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442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317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317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125</w:t>
            </w:r>
            <w:r w:rsidR="004B6364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Băxani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49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Egoreni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29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29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29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Holoşniţa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25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25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25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Nimereuca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178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178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178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Parcani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101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83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83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4B6364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18</w:t>
            </w:r>
            <w:r w:rsidR="004B6364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Redi-Ceresnovat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24</w:t>
            </w:r>
            <w:r w:rsidR="00A374D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24</w:t>
            </w:r>
            <w:r w:rsidR="00A374D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Voloviţa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32</w:t>
            </w:r>
            <w:r w:rsidR="00A374D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32</w:t>
            </w:r>
            <w:r w:rsidR="00A374D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Străşeni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275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251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251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275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251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251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</w:t>
            </w:r>
            <w:r w:rsidR="00A374D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Codreanca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135</w:t>
            </w:r>
            <w:r w:rsidR="00A374D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135</w:t>
            </w:r>
            <w:r w:rsidR="00A374D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A374D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135</w:t>
            </w:r>
            <w:r w:rsidR="00A374D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Grebleşti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24</w:t>
            </w:r>
            <w:r w:rsidR="00EA1FFA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24</w:t>
            </w:r>
            <w:r w:rsidR="00EA1FFA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Zubreşti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115</w:t>
            </w:r>
            <w:r w:rsidR="00EA1FFA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115</w:t>
            </w:r>
            <w:r w:rsidR="00EA1FFA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115</w:t>
            </w:r>
            <w:r w:rsidR="00EA1FFA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</w:t>
            </w:r>
            <w:r w:rsidR="00EA1FFA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</w:t>
            </w:r>
            <w:r w:rsidR="00EA1FFA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</w:t>
            </w:r>
            <w:r w:rsidR="00EA1FFA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</w:t>
            </w:r>
            <w:r w:rsidR="00EA1FFA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</w:t>
            </w:r>
            <w:r w:rsidR="00EA1FFA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EA1FFA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65</w:t>
            </w:r>
            <w:r w:rsidR="00EA1FFA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Chipeşca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42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42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42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Vadul-Raşcov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23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23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23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Ştefan Vodă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F60FE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F60FE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F60FE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F60FEF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Carahasani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60FE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26</w:t>
            </w:r>
            <w:r w:rsidR="00F60FEF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165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159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159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159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159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159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159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Vinogradovca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Teleneşti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Hirişeni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8B7E86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222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93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70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8B7E8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8B7E8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F33C0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128</w:t>
            </w:r>
            <w:r w:rsidR="00F33C06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199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70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70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128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22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Cioropcani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116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70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70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45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Corneşti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74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7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Mănoileşti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  <w:r w:rsidR="002C259B"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noProof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</w:tr>
      <w:tr w:rsidR="00764C4B" w:rsidRPr="00393D19" w:rsidTr="00764C4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764C4B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UTA Găgăuzia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924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836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732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104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4B" w:rsidRPr="00393D19" w:rsidRDefault="00764C4B" w:rsidP="002C259B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</w:t>
            </w:r>
            <w:r w:rsidR="002C259B"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Pr="00393D1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</w:tr>
    </w:tbl>
    <w:p w:rsidR="00C13A8A" w:rsidRPr="00393D19" w:rsidRDefault="00C13A8A" w:rsidP="00BC2F64">
      <w:pPr>
        <w:jc w:val="right"/>
        <w:rPr>
          <w:noProof/>
          <w:sz w:val="28"/>
          <w:szCs w:val="28"/>
          <w:lang w:val="ro-RO"/>
        </w:rPr>
      </w:pPr>
    </w:p>
    <w:sectPr w:rsidR="00C13A8A" w:rsidRPr="00393D19" w:rsidSect="003C7D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15E0E"/>
    <w:rsid w:val="00023525"/>
    <w:rsid w:val="00023597"/>
    <w:rsid w:val="00030D90"/>
    <w:rsid w:val="0004151C"/>
    <w:rsid w:val="00053E11"/>
    <w:rsid w:val="00061147"/>
    <w:rsid w:val="000644FD"/>
    <w:rsid w:val="00075976"/>
    <w:rsid w:val="000827FC"/>
    <w:rsid w:val="00087654"/>
    <w:rsid w:val="00093664"/>
    <w:rsid w:val="00096FDA"/>
    <w:rsid w:val="00097B43"/>
    <w:rsid w:val="000A0F11"/>
    <w:rsid w:val="000B5020"/>
    <w:rsid w:val="000C4E02"/>
    <w:rsid w:val="0010276C"/>
    <w:rsid w:val="00107274"/>
    <w:rsid w:val="00122C34"/>
    <w:rsid w:val="00171067"/>
    <w:rsid w:val="00187BBA"/>
    <w:rsid w:val="001945B1"/>
    <w:rsid w:val="001955F8"/>
    <w:rsid w:val="001A176B"/>
    <w:rsid w:val="001A368F"/>
    <w:rsid w:val="001A5F01"/>
    <w:rsid w:val="001C08C9"/>
    <w:rsid w:val="001C2F22"/>
    <w:rsid w:val="001C4CF3"/>
    <w:rsid w:val="001D603B"/>
    <w:rsid w:val="001D6CCD"/>
    <w:rsid w:val="001D703D"/>
    <w:rsid w:val="001E6719"/>
    <w:rsid w:val="001F000B"/>
    <w:rsid w:val="001F13E0"/>
    <w:rsid w:val="001F5E2C"/>
    <w:rsid w:val="002047CB"/>
    <w:rsid w:val="00213D68"/>
    <w:rsid w:val="0021522A"/>
    <w:rsid w:val="00222821"/>
    <w:rsid w:val="00225347"/>
    <w:rsid w:val="00226B41"/>
    <w:rsid w:val="0023606A"/>
    <w:rsid w:val="00243028"/>
    <w:rsid w:val="0027054C"/>
    <w:rsid w:val="002812B7"/>
    <w:rsid w:val="002859E5"/>
    <w:rsid w:val="00287F7F"/>
    <w:rsid w:val="002B42D8"/>
    <w:rsid w:val="002C1039"/>
    <w:rsid w:val="002C259B"/>
    <w:rsid w:val="002C3D9F"/>
    <w:rsid w:val="002C49CB"/>
    <w:rsid w:val="002C4CE7"/>
    <w:rsid w:val="002D7287"/>
    <w:rsid w:val="002E5603"/>
    <w:rsid w:val="002F072A"/>
    <w:rsid w:val="002F7083"/>
    <w:rsid w:val="00303A1F"/>
    <w:rsid w:val="00305AD6"/>
    <w:rsid w:val="003106E0"/>
    <w:rsid w:val="00310FBC"/>
    <w:rsid w:val="003117DB"/>
    <w:rsid w:val="00311A39"/>
    <w:rsid w:val="00314523"/>
    <w:rsid w:val="00333BE8"/>
    <w:rsid w:val="003354E4"/>
    <w:rsid w:val="00337F5A"/>
    <w:rsid w:val="00344CA0"/>
    <w:rsid w:val="00351756"/>
    <w:rsid w:val="00366515"/>
    <w:rsid w:val="0037172B"/>
    <w:rsid w:val="00371B98"/>
    <w:rsid w:val="00374B73"/>
    <w:rsid w:val="00381190"/>
    <w:rsid w:val="00381DC1"/>
    <w:rsid w:val="00384D3F"/>
    <w:rsid w:val="003913C9"/>
    <w:rsid w:val="00392BDD"/>
    <w:rsid w:val="00393D19"/>
    <w:rsid w:val="00397E21"/>
    <w:rsid w:val="003B6D24"/>
    <w:rsid w:val="003C3A9A"/>
    <w:rsid w:val="003C7D04"/>
    <w:rsid w:val="003C7F69"/>
    <w:rsid w:val="003D37C6"/>
    <w:rsid w:val="003E1E86"/>
    <w:rsid w:val="003F0C49"/>
    <w:rsid w:val="003F3EB5"/>
    <w:rsid w:val="00410AA0"/>
    <w:rsid w:val="00417739"/>
    <w:rsid w:val="004423B4"/>
    <w:rsid w:val="004450D3"/>
    <w:rsid w:val="004513A6"/>
    <w:rsid w:val="0045437B"/>
    <w:rsid w:val="00457ACE"/>
    <w:rsid w:val="00462578"/>
    <w:rsid w:val="004A4E94"/>
    <w:rsid w:val="004A57C2"/>
    <w:rsid w:val="004B6364"/>
    <w:rsid w:val="004D00E3"/>
    <w:rsid w:val="004E241B"/>
    <w:rsid w:val="004F1922"/>
    <w:rsid w:val="004F1D88"/>
    <w:rsid w:val="004F658B"/>
    <w:rsid w:val="00506D06"/>
    <w:rsid w:val="005100F7"/>
    <w:rsid w:val="00512500"/>
    <w:rsid w:val="00527ADE"/>
    <w:rsid w:val="00533D60"/>
    <w:rsid w:val="005371F0"/>
    <w:rsid w:val="00562695"/>
    <w:rsid w:val="00567184"/>
    <w:rsid w:val="0057123A"/>
    <w:rsid w:val="0057239F"/>
    <w:rsid w:val="00587F5A"/>
    <w:rsid w:val="005931C5"/>
    <w:rsid w:val="005A1205"/>
    <w:rsid w:val="005A3C14"/>
    <w:rsid w:val="005A7B68"/>
    <w:rsid w:val="005C0E59"/>
    <w:rsid w:val="005D6074"/>
    <w:rsid w:val="005E40D8"/>
    <w:rsid w:val="005E6463"/>
    <w:rsid w:val="005F5103"/>
    <w:rsid w:val="005F5F7E"/>
    <w:rsid w:val="00605F4A"/>
    <w:rsid w:val="00635E5E"/>
    <w:rsid w:val="006406C4"/>
    <w:rsid w:val="00641711"/>
    <w:rsid w:val="006539E9"/>
    <w:rsid w:val="0065659B"/>
    <w:rsid w:val="00671308"/>
    <w:rsid w:val="00671C83"/>
    <w:rsid w:val="00673F6E"/>
    <w:rsid w:val="00677F0E"/>
    <w:rsid w:val="00683DC9"/>
    <w:rsid w:val="00690BC8"/>
    <w:rsid w:val="00693E53"/>
    <w:rsid w:val="00695C44"/>
    <w:rsid w:val="006A5133"/>
    <w:rsid w:val="006A658B"/>
    <w:rsid w:val="006C0287"/>
    <w:rsid w:val="006C5752"/>
    <w:rsid w:val="006C5876"/>
    <w:rsid w:val="006D2D80"/>
    <w:rsid w:val="006D4DAE"/>
    <w:rsid w:val="006D5F4F"/>
    <w:rsid w:val="00702CD3"/>
    <w:rsid w:val="00717961"/>
    <w:rsid w:val="00721732"/>
    <w:rsid w:val="00723CAE"/>
    <w:rsid w:val="00724A7C"/>
    <w:rsid w:val="00725869"/>
    <w:rsid w:val="00731359"/>
    <w:rsid w:val="00741326"/>
    <w:rsid w:val="0075375E"/>
    <w:rsid w:val="0075658D"/>
    <w:rsid w:val="00764C4B"/>
    <w:rsid w:val="0076583E"/>
    <w:rsid w:val="00775038"/>
    <w:rsid w:val="007805D6"/>
    <w:rsid w:val="007A35CB"/>
    <w:rsid w:val="007A7128"/>
    <w:rsid w:val="007B72D6"/>
    <w:rsid w:val="007D1A5E"/>
    <w:rsid w:val="007F3701"/>
    <w:rsid w:val="00804E61"/>
    <w:rsid w:val="00847204"/>
    <w:rsid w:val="00852455"/>
    <w:rsid w:val="00854379"/>
    <w:rsid w:val="0085614E"/>
    <w:rsid w:val="00857227"/>
    <w:rsid w:val="0086264E"/>
    <w:rsid w:val="0087380A"/>
    <w:rsid w:val="008759D3"/>
    <w:rsid w:val="008803CE"/>
    <w:rsid w:val="00883959"/>
    <w:rsid w:val="008844A0"/>
    <w:rsid w:val="008A7722"/>
    <w:rsid w:val="008B448C"/>
    <w:rsid w:val="008B7E86"/>
    <w:rsid w:val="008C5AAE"/>
    <w:rsid w:val="008C7963"/>
    <w:rsid w:val="008D01C2"/>
    <w:rsid w:val="008D1D55"/>
    <w:rsid w:val="008E7DC0"/>
    <w:rsid w:val="008F0F1B"/>
    <w:rsid w:val="009069CF"/>
    <w:rsid w:val="00912A21"/>
    <w:rsid w:val="00915D83"/>
    <w:rsid w:val="00930618"/>
    <w:rsid w:val="00932724"/>
    <w:rsid w:val="00936718"/>
    <w:rsid w:val="0093799A"/>
    <w:rsid w:val="00953C04"/>
    <w:rsid w:val="009542C9"/>
    <w:rsid w:val="0097459E"/>
    <w:rsid w:val="009925BA"/>
    <w:rsid w:val="009956A5"/>
    <w:rsid w:val="009B72F6"/>
    <w:rsid w:val="009C1471"/>
    <w:rsid w:val="009D1AB9"/>
    <w:rsid w:val="009D6178"/>
    <w:rsid w:val="009E2710"/>
    <w:rsid w:val="009E2E42"/>
    <w:rsid w:val="009F0E0E"/>
    <w:rsid w:val="009F546B"/>
    <w:rsid w:val="00A01091"/>
    <w:rsid w:val="00A23135"/>
    <w:rsid w:val="00A3429E"/>
    <w:rsid w:val="00A35144"/>
    <w:rsid w:val="00A374DF"/>
    <w:rsid w:val="00A514EC"/>
    <w:rsid w:val="00A5538E"/>
    <w:rsid w:val="00A615D1"/>
    <w:rsid w:val="00A8074D"/>
    <w:rsid w:val="00A841E4"/>
    <w:rsid w:val="00A8631D"/>
    <w:rsid w:val="00AB3A33"/>
    <w:rsid w:val="00AC5C9D"/>
    <w:rsid w:val="00AE3E47"/>
    <w:rsid w:val="00AF35A4"/>
    <w:rsid w:val="00AF5910"/>
    <w:rsid w:val="00AF59E3"/>
    <w:rsid w:val="00B053F1"/>
    <w:rsid w:val="00B22006"/>
    <w:rsid w:val="00B237B2"/>
    <w:rsid w:val="00B333F6"/>
    <w:rsid w:val="00B56FC0"/>
    <w:rsid w:val="00B57AC3"/>
    <w:rsid w:val="00B75C2B"/>
    <w:rsid w:val="00B840F9"/>
    <w:rsid w:val="00BA15D6"/>
    <w:rsid w:val="00BB60BE"/>
    <w:rsid w:val="00BC00BF"/>
    <w:rsid w:val="00BC2F64"/>
    <w:rsid w:val="00BC6567"/>
    <w:rsid w:val="00BD5BC9"/>
    <w:rsid w:val="00BE7FB9"/>
    <w:rsid w:val="00BF2587"/>
    <w:rsid w:val="00BF31F8"/>
    <w:rsid w:val="00BF413B"/>
    <w:rsid w:val="00BF6E99"/>
    <w:rsid w:val="00C0109D"/>
    <w:rsid w:val="00C13A8A"/>
    <w:rsid w:val="00C41113"/>
    <w:rsid w:val="00C5590A"/>
    <w:rsid w:val="00C608C2"/>
    <w:rsid w:val="00C73014"/>
    <w:rsid w:val="00C74CDB"/>
    <w:rsid w:val="00C84BE1"/>
    <w:rsid w:val="00C96F22"/>
    <w:rsid w:val="00CA19FB"/>
    <w:rsid w:val="00CA1A15"/>
    <w:rsid w:val="00CA39C6"/>
    <w:rsid w:val="00CB01DD"/>
    <w:rsid w:val="00CB2EAD"/>
    <w:rsid w:val="00CC52CB"/>
    <w:rsid w:val="00CD18C7"/>
    <w:rsid w:val="00CD31CF"/>
    <w:rsid w:val="00CE4CA1"/>
    <w:rsid w:val="00CF0FEC"/>
    <w:rsid w:val="00D00BD7"/>
    <w:rsid w:val="00D05BB5"/>
    <w:rsid w:val="00D072BE"/>
    <w:rsid w:val="00D1256F"/>
    <w:rsid w:val="00D16A54"/>
    <w:rsid w:val="00D20718"/>
    <w:rsid w:val="00D22310"/>
    <w:rsid w:val="00D325E8"/>
    <w:rsid w:val="00D44368"/>
    <w:rsid w:val="00D46575"/>
    <w:rsid w:val="00D536F9"/>
    <w:rsid w:val="00D5396E"/>
    <w:rsid w:val="00D7720B"/>
    <w:rsid w:val="00DB5E83"/>
    <w:rsid w:val="00DD1CA3"/>
    <w:rsid w:val="00DD64D7"/>
    <w:rsid w:val="00DE0469"/>
    <w:rsid w:val="00E04461"/>
    <w:rsid w:val="00E15E39"/>
    <w:rsid w:val="00E16558"/>
    <w:rsid w:val="00E3045F"/>
    <w:rsid w:val="00E350E0"/>
    <w:rsid w:val="00E6285A"/>
    <w:rsid w:val="00EA1FFA"/>
    <w:rsid w:val="00EA451A"/>
    <w:rsid w:val="00EE3E47"/>
    <w:rsid w:val="00EE634D"/>
    <w:rsid w:val="00F04645"/>
    <w:rsid w:val="00F1071D"/>
    <w:rsid w:val="00F232E3"/>
    <w:rsid w:val="00F27CC3"/>
    <w:rsid w:val="00F31329"/>
    <w:rsid w:val="00F32326"/>
    <w:rsid w:val="00F33C06"/>
    <w:rsid w:val="00F40451"/>
    <w:rsid w:val="00F52C3A"/>
    <w:rsid w:val="00F55437"/>
    <w:rsid w:val="00F60FEF"/>
    <w:rsid w:val="00F623F5"/>
    <w:rsid w:val="00F66682"/>
    <w:rsid w:val="00F70458"/>
    <w:rsid w:val="00F70D11"/>
    <w:rsid w:val="00F74763"/>
    <w:rsid w:val="00F81D21"/>
    <w:rsid w:val="00F97EBB"/>
    <w:rsid w:val="00FA0AD8"/>
    <w:rsid w:val="00FA73EA"/>
    <w:rsid w:val="00FB33A0"/>
    <w:rsid w:val="00FB3795"/>
    <w:rsid w:val="00FC4EC9"/>
    <w:rsid w:val="00FD4B3C"/>
    <w:rsid w:val="00FD6CEB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8C0B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D00E3"/>
    <w:rPr>
      <w:color w:val="0000FF"/>
      <w:u w:val="single"/>
    </w:rPr>
  </w:style>
  <w:style w:type="paragraph" w:styleId="NoSpacing">
    <w:name w:val="No Spacing"/>
    <w:uiPriority w:val="1"/>
    <w:qFormat/>
    <w:rsid w:val="008524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87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Bocancea Liliana</cp:lastModifiedBy>
  <cp:revision>2</cp:revision>
  <cp:lastPrinted>2020-11-24T11:39:00Z</cp:lastPrinted>
  <dcterms:created xsi:type="dcterms:W3CDTF">2020-11-25T08:20:00Z</dcterms:created>
  <dcterms:modified xsi:type="dcterms:W3CDTF">2020-11-25T08:20:00Z</dcterms:modified>
</cp:coreProperties>
</file>