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6C" w:rsidRPr="002D5B76" w:rsidRDefault="00744E6C" w:rsidP="00744E6C">
      <w:pPr>
        <w:pStyle w:val="Frspaiere"/>
        <w:jc w:val="center"/>
        <w:rPr>
          <w:b/>
          <w:sz w:val="28"/>
          <w:szCs w:val="28"/>
          <w:lang w:val="ro-RO"/>
        </w:rPr>
      </w:pPr>
      <w:r w:rsidRPr="002D5B76">
        <w:rPr>
          <w:b/>
          <w:sz w:val="28"/>
          <w:szCs w:val="28"/>
          <w:lang w:val="ro-RO"/>
        </w:rPr>
        <w:t>Notă informativă</w:t>
      </w:r>
    </w:p>
    <w:p w:rsidR="00744E6C" w:rsidRPr="002D5B76" w:rsidRDefault="00744E6C" w:rsidP="00744E6C">
      <w:pPr>
        <w:pStyle w:val="Frspaiere"/>
        <w:jc w:val="center"/>
        <w:rPr>
          <w:b/>
          <w:sz w:val="28"/>
          <w:szCs w:val="28"/>
          <w:lang w:val="ro-RO"/>
        </w:rPr>
      </w:pPr>
      <w:r w:rsidRPr="002D5B76">
        <w:rPr>
          <w:b/>
          <w:sz w:val="28"/>
          <w:szCs w:val="28"/>
          <w:lang w:val="ro-RO"/>
        </w:rPr>
        <w:t>la proiectul hotărîrii Guvernului</w:t>
      </w:r>
    </w:p>
    <w:p w:rsidR="00744E6C" w:rsidRPr="002D5B76" w:rsidRDefault="00744E6C" w:rsidP="00744E6C">
      <w:pPr>
        <w:pStyle w:val="Frspaiere"/>
        <w:jc w:val="center"/>
        <w:rPr>
          <w:b/>
          <w:sz w:val="28"/>
          <w:szCs w:val="28"/>
          <w:lang w:val="ro-RO"/>
        </w:rPr>
      </w:pPr>
      <w:r w:rsidRPr="002D5B76">
        <w:rPr>
          <w:b/>
          <w:sz w:val="28"/>
          <w:szCs w:val="28"/>
          <w:lang w:val="ro-RO"/>
        </w:rPr>
        <w:t>,,Cu privire la transmiterea un</w:t>
      </w:r>
      <w:r w:rsidR="00776E10">
        <w:rPr>
          <w:b/>
          <w:sz w:val="28"/>
          <w:szCs w:val="28"/>
          <w:lang w:val="ro-RO"/>
        </w:rPr>
        <w:t>ui bun</w:t>
      </w:r>
      <w:r w:rsidRPr="002D5B76">
        <w:rPr>
          <w:b/>
          <w:sz w:val="28"/>
          <w:szCs w:val="28"/>
          <w:lang w:val="ro-RO"/>
        </w:rPr>
        <w:t xml:space="preserve"> imobil”</w:t>
      </w:r>
    </w:p>
    <w:p w:rsidR="00744E6C" w:rsidRPr="002D5B76" w:rsidRDefault="00744E6C" w:rsidP="00744E6C">
      <w:pPr>
        <w:pStyle w:val="Frspaiere"/>
        <w:rPr>
          <w:w w:val="105"/>
          <w:sz w:val="28"/>
          <w:szCs w:val="28"/>
          <w:lang w:val="ro-RO"/>
        </w:rPr>
      </w:pP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744E6C" w:rsidRPr="002D5B76" w:rsidTr="001169F0">
        <w:tc>
          <w:tcPr>
            <w:tcW w:w="5000" w:type="pct"/>
          </w:tcPr>
          <w:p w:rsidR="00744E6C" w:rsidRPr="002D5B76" w:rsidRDefault="00555C9F" w:rsidP="00555C9F">
            <w:pPr>
              <w:pStyle w:val="Frspaiere"/>
              <w:jc w:val="both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 xml:space="preserve">1. </w:t>
            </w:r>
            <w:r w:rsidR="00744E6C" w:rsidRPr="002D5B76">
              <w:rPr>
                <w:b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776E10">
            <w:pPr>
              <w:pStyle w:val="Frspaiere"/>
              <w:ind w:firstLine="709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sz w:val="28"/>
                <w:szCs w:val="28"/>
                <w:lang w:val="ro-RO"/>
              </w:rPr>
              <w:t>Proiectul de hotărîre a Guvernului ,,Cu privire la transmiterea un</w:t>
            </w:r>
            <w:r w:rsidR="00776E10">
              <w:rPr>
                <w:sz w:val="28"/>
                <w:szCs w:val="28"/>
                <w:lang w:val="ro-RO"/>
              </w:rPr>
              <w:t>ui bun imobil</w:t>
            </w:r>
            <w:r w:rsidRPr="002D5B76">
              <w:rPr>
                <w:sz w:val="28"/>
                <w:szCs w:val="28"/>
                <w:lang w:val="ro-RO"/>
              </w:rPr>
              <w:t>” (în continuare – proiect) este elaborat de Ministerul Sănătății, Muncii și Protecției Sociale.</w:t>
            </w:r>
          </w:p>
        </w:tc>
      </w:tr>
      <w:tr w:rsidR="00744E6C" w:rsidRPr="002D5B76" w:rsidTr="001169F0">
        <w:trPr>
          <w:trHeight w:val="773"/>
        </w:trPr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jc w:val="both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744E6C" w:rsidRPr="002D5B76" w:rsidTr="00FE1C49">
        <w:trPr>
          <w:trHeight w:val="701"/>
        </w:trPr>
        <w:tc>
          <w:tcPr>
            <w:tcW w:w="5000" w:type="pct"/>
          </w:tcPr>
          <w:p w:rsidR="00555C9F" w:rsidRPr="002D5B76" w:rsidRDefault="00744E6C" w:rsidP="00555C9F">
            <w:pPr>
              <w:pStyle w:val="Frspaiere"/>
              <w:ind w:firstLine="709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sz w:val="28"/>
                <w:szCs w:val="28"/>
                <w:lang w:val="ro-RO"/>
              </w:rPr>
              <w:t xml:space="preserve">Proiectul </w:t>
            </w:r>
            <w:r w:rsidRPr="002D5B76">
              <w:rPr>
                <w:rFonts w:eastAsia="Calibri"/>
                <w:sz w:val="28"/>
                <w:szCs w:val="28"/>
                <w:lang w:val="ro-RO" w:eastAsia="ja-JP"/>
              </w:rPr>
              <w:t>prenotat</w:t>
            </w:r>
            <w:r w:rsidRPr="002D5B76">
              <w:rPr>
                <w:sz w:val="28"/>
                <w:szCs w:val="28"/>
                <w:lang w:val="ro-RO"/>
              </w:rPr>
              <w:t xml:space="preserve"> este elaborat în baza prevederilor art. 6 alin. (1) lit. a) din Legea nr. 121-XVI din 4 mai 2007 privind administrarea şi deetatizarea proprietăţii publice (Monitorul Of</w:t>
            </w:r>
            <w:r w:rsidR="00425395" w:rsidRPr="002D5B76">
              <w:rPr>
                <w:sz w:val="28"/>
                <w:szCs w:val="28"/>
                <w:lang w:val="ro-RO"/>
              </w:rPr>
              <w:t>icial, 2007, nr. 90-93, art. 401) cu modificările ulterioare, și al art. 8 alin. (2) din Legea nr. 523/1999 cu privire la proprietatea publică a unităților administrativ-teritoriale (Monitorul Oficial al Republicii Moldova, 1999, nr. 124-125 art. 611).</w:t>
            </w:r>
          </w:p>
          <w:p w:rsidR="00555C9F" w:rsidRPr="002D5B76" w:rsidRDefault="00744E6C" w:rsidP="00555C9F">
            <w:pPr>
              <w:pStyle w:val="Frspaiere"/>
              <w:ind w:firstLine="709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sz w:val="28"/>
                <w:szCs w:val="28"/>
                <w:lang w:val="ro-RO"/>
              </w:rPr>
              <w:t>Proiectul de act normativ stabileşte transmiterea un</w:t>
            </w:r>
            <w:r w:rsidR="00431D17" w:rsidRPr="002D5B76">
              <w:rPr>
                <w:sz w:val="28"/>
                <w:szCs w:val="28"/>
                <w:lang w:val="ro-RO"/>
              </w:rPr>
              <w:t>ei</w:t>
            </w:r>
            <w:r w:rsidRPr="002D5B76">
              <w:rPr>
                <w:sz w:val="28"/>
                <w:szCs w:val="28"/>
                <w:lang w:val="ro-RO"/>
              </w:rPr>
              <w:t xml:space="preserve"> clădiri, </w:t>
            </w:r>
            <w:r w:rsidR="006B3B1A" w:rsidRPr="002D5B76">
              <w:rPr>
                <w:sz w:val="28"/>
                <w:szCs w:val="28"/>
                <w:lang w:val="ro-RO"/>
              </w:rPr>
              <w:t xml:space="preserve">proprietatea </w:t>
            </w:r>
            <w:r w:rsidR="00356CF5" w:rsidRPr="002D5B76">
              <w:rPr>
                <w:sz w:val="28"/>
                <w:szCs w:val="28"/>
                <w:lang w:val="ro-RO"/>
              </w:rPr>
              <w:t>publică</w:t>
            </w:r>
            <w:r w:rsidR="0012467E" w:rsidRPr="002D5B76">
              <w:rPr>
                <w:sz w:val="28"/>
                <w:szCs w:val="28"/>
                <w:lang w:val="ro-RO"/>
              </w:rPr>
              <w:t xml:space="preserve"> a statului, </w:t>
            </w:r>
            <w:r w:rsidRPr="002D5B76">
              <w:rPr>
                <w:sz w:val="28"/>
                <w:szCs w:val="28"/>
                <w:lang w:val="ro-RO"/>
              </w:rPr>
              <w:t xml:space="preserve">din administrarea Ministerului Sănătății, Muncii și Protecției Sociale, </w:t>
            </w:r>
            <w:r w:rsidR="00EC76F2" w:rsidRPr="002D5B76">
              <w:rPr>
                <w:sz w:val="28"/>
                <w:szCs w:val="28"/>
                <w:lang w:val="ro-RO"/>
              </w:rPr>
              <w:t xml:space="preserve">gestiunea </w:t>
            </w:r>
            <w:r w:rsidR="00431D17" w:rsidRPr="002D5B76">
              <w:rPr>
                <w:sz w:val="28"/>
                <w:szCs w:val="28"/>
                <w:lang w:val="ro-RO"/>
              </w:rPr>
              <w:t xml:space="preserve">IMSP </w:t>
            </w:r>
            <w:r w:rsidR="00EC76F2" w:rsidRPr="002D5B76">
              <w:rPr>
                <w:color w:val="000000"/>
                <w:sz w:val="28"/>
                <w:szCs w:val="28"/>
                <w:lang w:val="ro-RO" w:bidi="en-US"/>
              </w:rPr>
              <w:t>Spitalul Clinic Bălți</w:t>
            </w:r>
            <w:r w:rsidR="00EC76F2" w:rsidRPr="002D5B76">
              <w:rPr>
                <w:sz w:val="28"/>
                <w:szCs w:val="28"/>
                <w:lang w:val="ro-RO"/>
              </w:rPr>
              <w:t xml:space="preserve">, în proprietatea </w:t>
            </w:r>
            <w:r w:rsidR="00431D17" w:rsidRPr="002D5B76">
              <w:rPr>
                <w:sz w:val="28"/>
                <w:szCs w:val="28"/>
                <w:lang w:val="ro-RO"/>
              </w:rPr>
              <w:t xml:space="preserve">publică a </w:t>
            </w:r>
            <w:r w:rsidR="00EC76F2" w:rsidRPr="002D5B76">
              <w:rPr>
                <w:sz w:val="28"/>
                <w:szCs w:val="28"/>
                <w:lang w:val="ro-RO"/>
              </w:rPr>
              <w:t xml:space="preserve">mun. Bălți, </w:t>
            </w:r>
            <w:r w:rsidR="00431D17" w:rsidRPr="002D5B76">
              <w:rPr>
                <w:sz w:val="28"/>
                <w:szCs w:val="28"/>
                <w:lang w:val="ro-RO"/>
              </w:rPr>
              <w:t>(</w:t>
            </w:r>
            <w:r w:rsidR="00EC76F2" w:rsidRPr="002D5B76">
              <w:rPr>
                <w:sz w:val="28"/>
                <w:szCs w:val="28"/>
                <w:lang w:val="ro-RO"/>
              </w:rPr>
              <w:t>căminul nr. 1 cu nr. cadastral (</w:t>
            </w:r>
            <w:hyperlink r:id="rId6" w:history="1">
              <w:r w:rsidR="00EC76F2" w:rsidRPr="002D5B76">
                <w:rPr>
                  <w:rStyle w:val="Hyperlink"/>
                  <w:color w:val="005A95"/>
                  <w:sz w:val="28"/>
                  <w:szCs w:val="28"/>
                  <w:lang w:val="ro-RO"/>
                </w:rPr>
                <w:t>0300209507.01</w:t>
              </w:r>
            </w:hyperlink>
            <w:r w:rsidR="00EC76F2" w:rsidRPr="002D5B76">
              <w:rPr>
                <w:color w:val="000000"/>
                <w:sz w:val="28"/>
                <w:szCs w:val="28"/>
                <w:lang w:val="ro-RO" w:bidi="en-US"/>
              </w:rPr>
              <w:t>)</w:t>
            </w:r>
            <w:r w:rsidR="00EC76F2" w:rsidRPr="002D5B76">
              <w:rPr>
                <w:sz w:val="28"/>
                <w:szCs w:val="28"/>
                <w:lang w:val="ro-RO"/>
              </w:rPr>
              <w:t>, ampla</w:t>
            </w:r>
            <w:r w:rsidR="00EC76F2" w:rsidRPr="002D5B76">
              <w:rPr>
                <w:color w:val="000000" w:themeColor="text1"/>
                <w:sz w:val="28"/>
                <w:szCs w:val="28"/>
                <w:lang w:val="ro-RO"/>
              </w:rPr>
              <w:t xml:space="preserve">sat </w:t>
            </w:r>
            <w:r w:rsidR="00EC76F2" w:rsidRPr="002D5B76">
              <w:rPr>
                <w:sz w:val="28"/>
                <w:szCs w:val="28"/>
                <w:lang w:val="ro-RO"/>
              </w:rPr>
              <w:t>în mun. Bălți,</w:t>
            </w:r>
            <w:r w:rsidR="002F3D1F">
              <w:rPr>
                <w:color w:val="000000"/>
                <w:sz w:val="28"/>
                <w:szCs w:val="28"/>
                <w:lang w:val="ro-RO"/>
              </w:rPr>
              <w:t xml:space="preserve"> str. Decebal 121</w:t>
            </w:r>
            <w:r w:rsidR="000A3AD0">
              <w:rPr>
                <w:color w:val="000000"/>
                <w:sz w:val="28"/>
                <w:szCs w:val="28"/>
                <w:lang w:val="ro-RO"/>
              </w:rPr>
              <w:t>)</w:t>
            </w:r>
            <w:r w:rsidR="00431D17" w:rsidRPr="002D5B76">
              <w:rPr>
                <w:sz w:val="28"/>
                <w:szCs w:val="28"/>
                <w:lang w:val="ro-RO"/>
              </w:rPr>
              <w:t>.</w:t>
            </w:r>
          </w:p>
          <w:p w:rsidR="00555C9F" w:rsidRPr="002D5B76" w:rsidRDefault="0012467E" w:rsidP="00555C9F">
            <w:pPr>
              <w:pStyle w:val="Frspaiere"/>
              <w:ind w:firstLine="709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sz w:val="28"/>
                <w:szCs w:val="28"/>
                <w:lang w:val="ro-RO"/>
              </w:rPr>
              <w:t>L</w:t>
            </w:r>
            <w:r w:rsidR="002243BE" w:rsidRPr="002D5B76">
              <w:rPr>
                <w:sz w:val="28"/>
                <w:szCs w:val="28"/>
                <w:lang w:val="ro-RO"/>
              </w:rPr>
              <w:t>a data de  22 aprilie 2019, prin ordinul  nr. 498, la solicitarea I</w:t>
            </w:r>
            <w:r w:rsidRPr="002D5B76">
              <w:rPr>
                <w:sz w:val="28"/>
                <w:szCs w:val="28"/>
                <w:lang w:val="ro-RO"/>
              </w:rPr>
              <w:t xml:space="preserve">nstituției </w:t>
            </w:r>
            <w:r w:rsidR="002243BE" w:rsidRPr="002D5B76">
              <w:rPr>
                <w:sz w:val="28"/>
                <w:szCs w:val="28"/>
                <w:lang w:val="ro-RO"/>
              </w:rPr>
              <w:t>M</w:t>
            </w:r>
            <w:r w:rsidRPr="002D5B76">
              <w:rPr>
                <w:sz w:val="28"/>
                <w:szCs w:val="28"/>
                <w:lang w:val="ro-RO"/>
              </w:rPr>
              <w:t>edico-</w:t>
            </w:r>
            <w:r w:rsidR="002243BE" w:rsidRPr="002D5B76">
              <w:rPr>
                <w:sz w:val="28"/>
                <w:szCs w:val="28"/>
                <w:lang w:val="ro-RO"/>
              </w:rPr>
              <w:t>S</w:t>
            </w:r>
            <w:r w:rsidRPr="002D5B76">
              <w:rPr>
                <w:sz w:val="28"/>
                <w:szCs w:val="28"/>
                <w:lang w:val="ro-RO"/>
              </w:rPr>
              <w:t xml:space="preserve">anitare </w:t>
            </w:r>
            <w:r w:rsidR="002243BE" w:rsidRPr="002D5B76">
              <w:rPr>
                <w:sz w:val="28"/>
                <w:szCs w:val="28"/>
                <w:lang w:val="ro-RO"/>
              </w:rPr>
              <w:t>P</w:t>
            </w:r>
            <w:r w:rsidRPr="002D5B76">
              <w:rPr>
                <w:sz w:val="28"/>
                <w:szCs w:val="28"/>
                <w:lang w:val="ro-RO"/>
              </w:rPr>
              <w:t>ublice</w:t>
            </w:r>
            <w:r w:rsidR="002243BE" w:rsidRPr="002D5B76">
              <w:rPr>
                <w:sz w:val="28"/>
                <w:szCs w:val="28"/>
                <w:lang w:val="ro-RO"/>
              </w:rPr>
              <w:t xml:space="preserve"> Spitalul Clinic Bălți, a fost transmis </w:t>
            </w:r>
            <w:r w:rsidR="00574376">
              <w:rPr>
                <w:sz w:val="28"/>
                <w:szCs w:val="28"/>
                <w:lang w:val="ro-RO"/>
              </w:rPr>
              <w:t>bunul imobil</w:t>
            </w:r>
            <w:r w:rsidR="00574376" w:rsidRPr="002D5B76">
              <w:rPr>
                <w:sz w:val="28"/>
                <w:szCs w:val="28"/>
                <w:lang w:val="ro-RO"/>
              </w:rPr>
              <w:t xml:space="preserve"> </w:t>
            </w:r>
            <w:r w:rsidR="00574376" w:rsidRPr="002D5B76">
              <w:rPr>
                <w:color w:val="000000"/>
                <w:sz w:val="28"/>
                <w:szCs w:val="28"/>
                <w:lang w:val="ro-RO"/>
              </w:rPr>
              <w:t>(</w:t>
            </w:r>
            <w:r w:rsidR="002243BE" w:rsidRPr="002D5B76">
              <w:rPr>
                <w:sz w:val="28"/>
                <w:szCs w:val="28"/>
                <w:lang w:val="ro-RO"/>
              </w:rPr>
              <w:t>căminul nr. 1</w:t>
            </w:r>
            <w:r w:rsidR="00574376">
              <w:rPr>
                <w:sz w:val="28"/>
                <w:szCs w:val="28"/>
                <w:lang w:val="ro-RO"/>
              </w:rPr>
              <w:t xml:space="preserve">cu </w:t>
            </w:r>
            <w:r w:rsidR="00574376">
              <w:rPr>
                <w:color w:val="000000"/>
                <w:sz w:val="28"/>
                <w:szCs w:val="28"/>
                <w:lang w:val="ro-RO"/>
              </w:rPr>
              <w:t xml:space="preserve">nr. cadastral </w:t>
            </w:r>
            <w:r w:rsidR="000B7000" w:rsidRPr="002D5B76">
              <w:rPr>
                <w:color w:val="000000"/>
                <w:sz w:val="28"/>
                <w:szCs w:val="28"/>
                <w:lang w:val="ro-RO"/>
              </w:rPr>
              <w:t>300209507 din 23.07.2019), cu suprafața totală 3160.3 m.p., amplasat în mun. Bălți, str. Decebal, 121,</w:t>
            </w:r>
            <w:r w:rsidR="002243BE" w:rsidRPr="002D5B76">
              <w:rPr>
                <w:sz w:val="28"/>
                <w:szCs w:val="28"/>
                <w:lang w:val="ro-RO"/>
              </w:rPr>
              <w:t xml:space="preserve"> de la gestiunea Colegiului de Medicină Bălți în gestiunea </w:t>
            </w:r>
            <w:r w:rsidR="005F19A9" w:rsidRPr="002D5B76">
              <w:rPr>
                <w:sz w:val="28"/>
                <w:szCs w:val="28"/>
                <w:lang w:val="ro-RO"/>
              </w:rPr>
              <w:t xml:space="preserve">Instituției </w:t>
            </w:r>
            <w:proofErr w:type="spellStart"/>
            <w:r w:rsidR="005F19A9" w:rsidRPr="002D5B76">
              <w:rPr>
                <w:sz w:val="28"/>
                <w:szCs w:val="28"/>
                <w:lang w:val="ro-RO"/>
              </w:rPr>
              <w:t>Medico-Sanitare</w:t>
            </w:r>
            <w:proofErr w:type="spellEnd"/>
            <w:r w:rsidR="005F19A9" w:rsidRPr="002D5B76">
              <w:rPr>
                <w:sz w:val="28"/>
                <w:szCs w:val="28"/>
                <w:lang w:val="ro-RO"/>
              </w:rPr>
              <w:t xml:space="preserve"> Publice Spitalul Clinic Bălți</w:t>
            </w:r>
            <w:r w:rsidR="002243BE" w:rsidRPr="002D5B76">
              <w:rPr>
                <w:sz w:val="28"/>
                <w:szCs w:val="28"/>
                <w:lang w:val="ro-RO"/>
              </w:rPr>
              <w:t xml:space="preserve">. </w:t>
            </w:r>
            <w:r w:rsidR="002243BE" w:rsidRPr="002D5B76">
              <w:rPr>
                <w:color w:val="000000"/>
                <w:sz w:val="28"/>
                <w:szCs w:val="28"/>
                <w:lang w:val="ro-RO" w:bidi="en-US"/>
              </w:rPr>
              <w:t>Imobilul dat</w:t>
            </w:r>
            <w:r w:rsidR="000B7000" w:rsidRPr="002D5B76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2243BE" w:rsidRPr="002D5B76">
              <w:rPr>
                <w:color w:val="000000"/>
                <w:sz w:val="28"/>
                <w:szCs w:val="28"/>
                <w:lang w:val="ro-RO"/>
              </w:rPr>
              <w:t xml:space="preserve">a fost preconizat pentru reprofilare în cămin pentru asigurarea </w:t>
            </w:r>
            <w:r w:rsidR="002243BE" w:rsidRPr="002D5B76">
              <w:rPr>
                <w:sz w:val="28"/>
                <w:szCs w:val="28"/>
                <w:lang w:val="ro-RO"/>
              </w:rPr>
              <w:t xml:space="preserve">medicilor rezidenți și tinerilor specialiști, ce activează în cadrul instituției date cu loc de trai/cazare. </w:t>
            </w:r>
          </w:p>
          <w:p w:rsidR="00555C9F" w:rsidRPr="002D5B76" w:rsidRDefault="002243BE" w:rsidP="00555C9F">
            <w:pPr>
              <w:pStyle w:val="Frspaiere"/>
              <w:ind w:firstLine="709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color w:val="000000"/>
                <w:sz w:val="28"/>
                <w:szCs w:val="28"/>
                <w:lang w:val="ro-RO" w:bidi="en-US"/>
              </w:rPr>
              <w:t xml:space="preserve">Reieșind din faptul, că pînă în prezent, edificiul dat, nu se utilizează </w:t>
            </w:r>
            <w:r w:rsidR="00155435" w:rsidRPr="002D5B76">
              <w:rPr>
                <w:color w:val="000000"/>
                <w:sz w:val="28"/>
                <w:szCs w:val="28"/>
                <w:lang w:val="ro-RO" w:bidi="en-US"/>
              </w:rPr>
              <w:t>din cauza că necesită surse financiare</w:t>
            </w:r>
            <w:r w:rsidR="009C4F6B" w:rsidRPr="002D5B76">
              <w:rPr>
                <w:color w:val="000000"/>
                <w:sz w:val="28"/>
                <w:szCs w:val="28"/>
                <w:lang w:val="ro-RO" w:bidi="en-US"/>
              </w:rPr>
              <w:t xml:space="preserve"> </w:t>
            </w:r>
            <w:r w:rsidR="00E41908" w:rsidRPr="002D5B76">
              <w:rPr>
                <w:color w:val="000000"/>
                <w:sz w:val="28"/>
                <w:szCs w:val="28"/>
                <w:lang w:val="ro-RO" w:bidi="en-US"/>
              </w:rPr>
              <w:t xml:space="preserve">suplimentare </w:t>
            </w:r>
            <w:r w:rsidR="009C4F6B" w:rsidRPr="002D5B76">
              <w:rPr>
                <w:color w:val="000000"/>
                <w:sz w:val="28"/>
                <w:szCs w:val="28"/>
                <w:lang w:val="ro-RO" w:bidi="en-US"/>
              </w:rPr>
              <w:t xml:space="preserve">pentru reparația lui (schimbarea acoperișului, ferestrelor, ușilor, </w:t>
            </w:r>
            <w:r w:rsidR="000701A3" w:rsidRPr="002D5B76">
              <w:rPr>
                <w:color w:val="000000"/>
                <w:sz w:val="28"/>
                <w:szCs w:val="28"/>
                <w:lang w:val="ro-RO" w:bidi="en-US"/>
              </w:rPr>
              <w:t>sistemelor de canalizare</w:t>
            </w:r>
            <w:r w:rsidR="00E41908" w:rsidRPr="002D5B76">
              <w:rPr>
                <w:color w:val="000000"/>
                <w:sz w:val="28"/>
                <w:szCs w:val="28"/>
                <w:lang w:val="ro-RO" w:bidi="en-US"/>
              </w:rPr>
              <w:t>,</w:t>
            </w:r>
            <w:r w:rsidR="000701A3" w:rsidRPr="002D5B76">
              <w:rPr>
                <w:color w:val="000000"/>
                <w:sz w:val="28"/>
                <w:szCs w:val="28"/>
                <w:lang w:val="ro-RO" w:bidi="en-US"/>
              </w:rPr>
              <w:t xml:space="preserve"> aprovizionare cu apă, sistemelor de încălzire</w:t>
            </w:r>
            <w:r w:rsidR="009C4F6B" w:rsidRPr="002D5B76">
              <w:rPr>
                <w:color w:val="000000"/>
                <w:sz w:val="28"/>
                <w:szCs w:val="28"/>
                <w:lang w:val="ro-RO" w:bidi="en-US"/>
              </w:rPr>
              <w:t>)</w:t>
            </w:r>
            <w:r w:rsidR="000701A3" w:rsidRPr="002D5B76">
              <w:rPr>
                <w:color w:val="000000"/>
                <w:sz w:val="28"/>
                <w:szCs w:val="28"/>
                <w:lang w:val="ro-RO" w:bidi="en-US"/>
              </w:rPr>
              <w:t xml:space="preserve"> </w:t>
            </w:r>
            <w:r w:rsidRPr="002D5B76">
              <w:rPr>
                <w:color w:val="000000"/>
                <w:sz w:val="28"/>
                <w:szCs w:val="28"/>
                <w:lang w:val="ro-RO" w:bidi="en-US"/>
              </w:rPr>
              <w:t xml:space="preserve">și a rămas fără supraveghere, iar întreținerea și menținerea acestuia necesită mijloace financiare suplimentare, </w:t>
            </w:r>
            <w:r w:rsidRPr="002D5B76">
              <w:rPr>
                <w:sz w:val="28"/>
                <w:szCs w:val="28"/>
                <w:lang w:val="ro-RO"/>
              </w:rPr>
              <w:t xml:space="preserve">Ministerul Sănătății, Muncii și Protecției Sociale </w:t>
            </w:r>
            <w:r w:rsidR="00A5736F" w:rsidRPr="002D5B76">
              <w:rPr>
                <w:sz w:val="28"/>
                <w:szCs w:val="28"/>
                <w:lang w:val="ro-RO"/>
              </w:rPr>
              <w:t>a venit</w:t>
            </w:r>
            <w:r w:rsidRPr="002D5B76">
              <w:rPr>
                <w:sz w:val="28"/>
                <w:szCs w:val="28"/>
                <w:lang w:val="ro-RO"/>
              </w:rPr>
              <w:t xml:space="preserve"> cu propunerea de a-l transmite cu titlu gratuit, </w:t>
            </w:r>
            <w:r w:rsidRPr="002D5B76">
              <w:rPr>
                <w:color w:val="000000"/>
                <w:sz w:val="28"/>
                <w:szCs w:val="28"/>
                <w:lang w:val="ro-RO"/>
              </w:rPr>
              <w:t>din administrarea Ministerului Sănătății, Muncii și Protecției Sociale, gestiunea IMSP Spitalul Clinic Bălți  în administrarea Primăriei mun. Bălți</w:t>
            </w:r>
            <w:r w:rsidRPr="002D5B76">
              <w:rPr>
                <w:color w:val="000000"/>
                <w:sz w:val="28"/>
                <w:szCs w:val="28"/>
                <w:lang w:val="ro-RO" w:bidi="en-US"/>
              </w:rPr>
              <w:t xml:space="preserve"> pentru amplasarea unor unități și obiecte cu menire socială sau pentru </w:t>
            </w:r>
            <w:r w:rsidRPr="002D5B76">
              <w:rPr>
                <w:color w:val="000000"/>
                <w:sz w:val="28"/>
                <w:szCs w:val="28"/>
                <w:lang w:val="ro-RO"/>
              </w:rPr>
              <w:t xml:space="preserve">asigurarea tinerilor specialiști din diverse domenii de activitate, inclusiv </w:t>
            </w:r>
            <w:r w:rsidR="00DE33F8">
              <w:rPr>
                <w:color w:val="000000"/>
                <w:sz w:val="28"/>
                <w:szCs w:val="28"/>
                <w:lang w:val="ro-RO"/>
              </w:rPr>
              <w:t xml:space="preserve">din </w:t>
            </w:r>
            <w:r w:rsidRPr="002D5B76">
              <w:rPr>
                <w:color w:val="000000"/>
                <w:sz w:val="28"/>
                <w:szCs w:val="28"/>
                <w:lang w:val="ro-RO"/>
              </w:rPr>
              <w:t>sectorul medical (</w:t>
            </w:r>
            <w:r w:rsidRPr="002D5B76">
              <w:rPr>
                <w:sz w:val="28"/>
                <w:szCs w:val="28"/>
                <w:lang w:val="ro-RO"/>
              </w:rPr>
              <w:t>medicii rezidenți și tinerii specialiști, ce activează în cadrul IMSP Spitalul Clinic Bălți) cu loc de trai/cazare</w:t>
            </w:r>
            <w:r w:rsidRPr="002D5B76">
              <w:rPr>
                <w:color w:val="000000"/>
                <w:sz w:val="28"/>
                <w:szCs w:val="28"/>
                <w:lang w:val="ro-RO"/>
              </w:rPr>
              <w:t>.</w:t>
            </w:r>
          </w:p>
          <w:p w:rsidR="00744E6C" w:rsidRPr="002D5B76" w:rsidRDefault="001D49B3" w:rsidP="00555C9F">
            <w:pPr>
              <w:pStyle w:val="Frspaiere"/>
              <w:ind w:firstLine="709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sz w:val="28"/>
                <w:szCs w:val="28"/>
                <w:lang w:val="ro-RO"/>
              </w:rPr>
              <w:t xml:space="preserve">Consiliului municipal </w:t>
            </w:r>
            <w:r w:rsidR="009870C9" w:rsidRPr="002D5B76">
              <w:rPr>
                <w:sz w:val="28"/>
                <w:szCs w:val="28"/>
                <w:lang w:val="ro-RO"/>
              </w:rPr>
              <w:t xml:space="preserve">Bălți </w:t>
            </w:r>
            <w:r w:rsidRPr="002D5B76">
              <w:rPr>
                <w:color w:val="000000"/>
                <w:sz w:val="28"/>
                <w:szCs w:val="28"/>
                <w:lang w:val="ro-RO" w:bidi="en-US"/>
              </w:rPr>
              <w:t>s-a arătat interesat de imobilul dat</w:t>
            </w:r>
            <w:r w:rsidR="009870C9" w:rsidRPr="002D5B76">
              <w:rPr>
                <w:color w:val="000000"/>
                <w:sz w:val="28"/>
                <w:szCs w:val="28"/>
                <w:lang w:val="ro-RO" w:bidi="en-US"/>
              </w:rPr>
              <w:t xml:space="preserve"> și c</w:t>
            </w:r>
            <w:r w:rsidR="00F47AA0" w:rsidRPr="002D5B76">
              <w:rPr>
                <w:sz w:val="28"/>
                <w:szCs w:val="28"/>
                <w:lang w:val="ro-RO"/>
              </w:rPr>
              <w:t xml:space="preserve">onform deciziei Consiliului nr. 11/36 din 29.09.2020 „Cu privire la acordul privind </w:t>
            </w:r>
            <w:r w:rsidR="00F47AA0" w:rsidRPr="002D5B76">
              <w:rPr>
                <w:sz w:val="28"/>
                <w:szCs w:val="28"/>
                <w:lang w:val="ro-RO"/>
              </w:rPr>
              <w:lastRenderedPageBreak/>
              <w:t xml:space="preserve">primirea </w:t>
            </w:r>
            <w:r w:rsidRPr="002D5B76">
              <w:rPr>
                <w:sz w:val="28"/>
                <w:szCs w:val="28"/>
                <w:lang w:val="ro-RO"/>
              </w:rPr>
              <w:t>patrimoniului</w:t>
            </w:r>
            <w:r w:rsidR="00F47AA0" w:rsidRPr="002D5B76">
              <w:rPr>
                <w:sz w:val="28"/>
                <w:szCs w:val="28"/>
                <w:lang w:val="ro-RO"/>
              </w:rPr>
              <w:t xml:space="preserve"> din proprietatea publică a statului în </w:t>
            </w:r>
            <w:r w:rsidRPr="002D5B76">
              <w:rPr>
                <w:sz w:val="28"/>
                <w:szCs w:val="28"/>
                <w:lang w:val="ro-RO"/>
              </w:rPr>
              <w:t>proprietatea</w:t>
            </w:r>
            <w:r w:rsidR="00F47AA0" w:rsidRPr="002D5B76">
              <w:rPr>
                <w:sz w:val="28"/>
                <w:szCs w:val="28"/>
                <w:lang w:val="ro-RO"/>
              </w:rPr>
              <w:t xml:space="preserve"> publică a mun. Bălți</w:t>
            </w:r>
            <w:r w:rsidRPr="002D5B76">
              <w:rPr>
                <w:sz w:val="28"/>
                <w:szCs w:val="28"/>
                <w:lang w:val="ro-RO"/>
              </w:rPr>
              <w:t>”</w:t>
            </w:r>
            <w:r w:rsidRPr="002D5B76">
              <w:rPr>
                <w:color w:val="000000"/>
                <w:sz w:val="28"/>
                <w:szCs w:val="28"/>
                <w:lang w:val="ro-RO" w:bidi="en-US"/>
              </w:rPr>
              <w:t xml:space="preserve"> </w:t>
            </w:r>
            <w:r w:rsidR="00F13F3B" w:rsidRPr="002D5B76">
              <w:rPr>
                <w:color w:val="000000"/>
                <w:sz w:val="28"/>
                <w:szCs w:val="28"/>
                <w:lang w:val="ro-RO" w:bidi="en-US"/>
              </w:rPr>
              <w:t>și</w:t>
            </w:r>
            <w:r w:rsidR="009870C9" w:rsidRPr="002D5B76">
              <w:rPr>
                <w:color w:val="000000"/>
                <w:sz w:val="28"/>
                <w:szCs w:val="28"/>
                <w:lang w:val="ro-RO" w:bidi="en-US"/>
              </w:rPr>
              <w:t xml:space="preserve">-a </w:t>
            </w:r>
            <w:r w:rsidR="0087620A" w:rsidRPr="002D5B76">
              <w:rPr>
                <w:color w:val="000000"/>
                <w:sz w:val="28"/>
                <w:szCs w:val="28"/>
                <w:lang w:val="ro-RO" w:bidi="en-US"/>
              </w:rPr>
              <w:t>dat acordul pentru primirea cu titlu gratuit din proprietatea publică a statului în proprietatea publică a municipiului Bălți.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jc w:val="both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lastRenderedPageBreak/>
              <w:t>3. Descrierea gradului de compatibilitate pentru proiectele care au ca scop armonizarea legislaţiei naţionale cu legislaţia Uniunii Europene</w:t>
            </w:r>
          </w:p>
        </w:tc>
      </w:tr>
      <w:tr w:rsidR="00555C9F" w:rsidRPr="002D5B76" w:rsidTr="001169F0">
        <w:tc>
          <w:tcPr>
            <w:tcW w:w="5000" w:type="pct"/>
          </w:tcPr>
          <w:p w:rsidR="00555C9F" w:rsidRPr="002D5B76" w:rsidRDefault="00555C9F" w:rsidP="00555C9F">
            <w:pPr>
              <w:pStyle w:val="Frspaiere"/>
              <w:ind w:firstLine="709"/>
              <w:jc w:val="both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rFonts w:ascii="TimesNewRoman" w:eastAsiaTheme="minorHAnsi" w:hAnsi="TimesNewRoman" w:cs="TimesNewRoman"/>
                <w:sz w:val="28"/>
                <w:szCs w:val="28"/>
                <w:lang w:val="ro-RO" w:eastAsia="en-US"/>
              </w:rPr>
              <w:t>Prezentul proiect de act normativ nu contravine legislației Uniunii Europene.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ind w:left="281" w:hanging="281"/>
              <w:jc w:val="both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4. Principalele prevederi ale proiectului şi evidenţierea elementelor noi</w:t>
            </w:r>
          </w:p>
          <w:p w:rsidR="00744E6C" w:rsidRPr="002D5B76" w:rsidRDefault="00744E6C" w:rsidP="00B546FD">
            <w:pPr>
              <w:pStyle w:val="NormalWeb"/>
              <w:shd w:val="clear" w:color="auto" w:fill="FFFFFF"/>
              <w:tabs>
                <w:tab w:val="left" w:pos="717"/>
              </w:tabs>
              <w:spacing w:before="0" w:beforeAutospacing="0" w:after="0" w:afterAutospacing="0" w:line="276" w:lineRule="auto"/>
              <w:ind w:firstLine="714"/>
              <w:jc w:val="both"/>
              <w:rPr>
                <w:sz w:val="28"/>
                <w:szCs w:val="28"/>
              </w:rPr>
            </w:pPr>
            <w:r w:rsidRPr="002D5B76">
              <w:rPr>
                <w:rFonts w:eastAsia="Calibri"/>
                <w:sz w:val="28"/>
                <w:szCs w:val="28"/>
              </w:rPr>
              <w:t>Prezenta hotărâre de Guvern are ca scop transmiterea cu titlu gratuit</w:t>
            </w:r>
            <w:r w:rsidRPr="002D5B76">
              <w:rPr>
                <w:sz w:val="28"/>
                <w:szCs w:val="28"/>
              </w:rPr>
              <w:t xml:space="preserve"> din administrarea Ministerului Sănătății, Muncii și Protecției Sociale, gestiunea </w:t>
            </w:r>
            <w:r w:rsidRPr="002D5B76">
              <w:rPr>
                <w:rFonts w:eastAsia="Calibri"/>
                <w:sz w:val="28"/>
                <w:szCs w:val="28"/>
              </w:rPr>
              <w:t>Instituției Medico-Sanitare Publice</w:t>
            </w:r>
            <w:r w:rsidRPr="002D5B76">
              <w:rPr>
                <w:sz w:val="28"/>
                <w:szCs w:val="28"/>
              </w:rPr>
              <w:t xml:space="preserve"> „</w:t>
            </w:r>
            <w:r w:rsidR="007A2529" w:rsidRPr="002D5B76">
              <w:rPr>
                <w:sz w:val="28"/>
                <w:szCs w:val="28"/>
              </w:rPr>
              <w:t xml:space="preserve">Spitalul Clinic Bălți </w:t>
            </w:r>
            <w:r w:rsidRPr="002D5B76">
              <w:rPr>
                <w:sz w:val="28"/>
                <w:szCs w:val="28"/>
              </w:rPr>
              <w:t>”</w:t>
            </w:r>
            <w:r w:rsidR="005963C7" w:rsidRPr="002D5B76">
              <w:rPr>
                <w:sz w:val="28"/>
                <w:szCs w:val="28"/>
              </w:rPr>
              <w:t xml:space="preserve"> a </w:t>
            </w:r>
            <w:r w:rsidR="006F34C7" w:rsidRPr="002D5B76">
              <w:rPr>
                <w:sz w:val="28"/>
                <w:szCs w:val="28"/>
              </w:rPr>
              <w:t>un</w:t>
            </w:r>
            <w:r w:rsidR="00B546FD">
              <w:rPr>
                <w:sz w:val="28"/>
                <w:szCs w:val="28"/>
              </w:rPr>
              <w:t>ui bun imobil</w:t>
            </w:r>
            <w:r w:rsidR="006F34C7" w:rsidRPr="002D5B76">
              <w:rPr>
                <w:sz w:val="28"/>
                <w:szCs w:val="28"/>
              </w:rPr>
              <w:t xml:space="preserve"> (</w:t>
            </w:r>
            <w:r w:rsidR="005963C7" w:rsidRPr="002D5B76">
              <w:rPr>
                <w:sz w:val="28"/>
                <w:szCs w:val="28"/>
              </w:rPr>
              <w:t>căminul nr. 1</w:t>
            </w:r>
            <w:r w:rsidR="006F34C7" w:rsidRPr="002D5B76">
              <w:rPr>
                <w:sz w:val="28"/>
                <w:szCs w:val="28"/>
              </w:rPr>
              <w:t>)</w:t>
            </w:r>
            <w:r w:rsidRPr="002D5B76">
              <w:rPr>
                <w:sz w:val="28"/>
                <w:szCs w:val="28"/>
              </w:rPr>
              <w:t xml:space="preserve">, în administrarea Consiliului </w:t>
            </w:r>
            <w:r w:rsidR="005963C7" w:rsidRPr="002D5B76">
              <w:rPr>
                <w:sz w:val="28"/>
                <w:szCs w:val="28"/>
              </w:rPr>
              <w:t>municipal Bălți</w:t>
            </w:r>
            <w:r w:rsidR="00940A0F" w:rsidRPr="002D5B76">
              <w:rPr>
                <w:sz w:val="28"/>
                <w:szCs w:val="28"/>
              </w:rPr>
              <w:t xml:space="preserve">, </w:t>
            </w:r>
            <w:r w:rsidR="00940A0F" w:rsidRPr="002D5B76">
              <w:rPr>
                <w:color w:val="000000"/>
                <w:sz w:val="28"/>
                <w:szCs w:val="28"/>
              </w:rPr>
              <w:t xml:space="preserve">întru </w:t>
            </w:r>
            <w:r w:rsidR="00DF797E" w:rsidRPr="002D5B76">
              <w:rPr>
                <w:color w:val="000000"/>
                <w:sz w:val="28"/>
                <w:szCs w:val="28"/>
              </w:rPr>
              <w:t>a</w:t>
            </w:r>
            <w:r w:rsidR="00940A0F" w:rsidRPr="002D5B76">
              <w:rPr>
                <w:color w:val="000000"/>
                <w:sz w:val="28"/>
                <w:szCs w:val="28"/>
              </w:rPr>
              <w:t xml:space="preserve">sigurarea tinerilor specialiști din diverse domenii de activitate, inclusiv </w:t>
            </w:r>
            <w:r w:rsidR="002863ED">
              <w:rPr>
                <w:color w:val="000000"/>
                <w:sz w:val="28"/>
                <w:szCs w:val="28"/>
              </w:rPr>
              <w:t xml:space="preserve">din </w:t>
            </w:r>
            <w:r w:rsidR="00940A0F" w:rsidRPr="002D5B76">
              <w:rPr>
                <w:color w:val="000000"/>
                <w:sz w:val="28"/>
                <w:szCs w:val="28"/>
              </w:rPr>
              <w:t>sectorul medical (</w:t>
            </w:r>
            <w:r w:rsidR="00940A0F" w:rsidRPr="002D5B76">
              <w:rPr>
                <w:sz w:val="28"/>
                <w:szCs w:val="28"/>
              </w:rPr>
              <w:t>medicii rezidenți și tinerii specialiști, ce activează în cadrul IMSP Spitalul Clinic Bălți</w:t>
            </w:r>
            <w:r w:rsidRPr="002D5B76">
              <w:rPr>
                <w:sz w:val="28"/>
                <w:szCs w:val="28"/>
              </w:rPr>
              <w:t>.</w:t>
            </w:r>
          </w:p>
        </w:tc>
      </w:tr>
      <w:tr w:rsidR="00744E6C" w:rsidRPr="002D5B76" w:rsidTr="00555C9F">
        <w:trPr>
          <w:trHeight w:val="114"/>
        </w:trPr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5. Fundamentarea economico - financiară</w:t>
            </w:r>
          </w:p>
        </w:tc>
      </w:tr>
      <w:tr w:rsidR="00744E6C" w:rsidRPr="002D5B76" w:rsidTr="001169F0">
        <w:trPr>
          <w:trHeight w:val="287"/>
        </w:trPr>
        <w:tc>
          <w:tcPr>
            <w:tcW w:w="5000" w:type="pct"/>
          </w:tcPr>
          <w:p w:rsidR="00555C9F" w:rsidRPr="002D5B76" w:rsidRDefault="00744E6C" w:rsidP="00555C9F">
            <w:pPr>
              <w:pStyle w:val="Frspaiere"/>
              <w:tabs>
                <w:tab w:val="left" w:pos="694"/>
              </w:tabs>
              <w:ind w:firstLine="702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sz w:val="28"/>
                <w:szCs w:val="28"/>
                <w:lang w:val="ro-RO"/>
              </w:rPr>
              <w:t>Implementarea prezentului proiect de hotărîre de Guvern nu implică cheltuieli financiare suplimentare din bugetul de stat.</w:t>
            </w:r>
          </w:p>
          <w:p w:rsidR="00555C9F" w:rsidRPr="002D5B76" w:rsidRDefault="00555C9F" w:rsidP="00555C9F">
            <w:pPr>
              <w:pStyle w:val="Frspaiere"/>
              <w:tabs>
                <w:tab w:val="left" w:pos="694"/>
              </w:tabs>
              <w:ind w:firstLine="702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rFonts w:ascii="Times-Roman" w:eastAsiaTheme="minorHAnsi" w:hAnsi="Times-Roman" w:cs="Times-Roman"/>
                <w:sz w:val="28"/>
                <w:szCs w:val="28"/>
                <w:lang w:val="ro-RO" w:eastAsia="en-US"/>
              </w:rPr>
              <w:t>C</w:t>
            </w:r>
            <w:r w:rsidRPr="002D5B76">
              <w:rPr>
                <w:rFonts w:ascii="TimesNewRoman" w:eastAsiaTheme="minorHAnsi" w:hAnsi="TimesNewRoman" w:cs="TimesNewRoman"/>
                <w:sz w:val="28"/>
                <w:szCs w:val="28"/>
                <w:lang w:val="ro-RO" w:eastAsia="en-US"/>
              </w:rPr>
              <w:t>heltuielile aferente înregistrării modificărilor corespunzătoare în Registrul bunurilor</w:t>
            </w:r>
            <w:r w:rsidRPr="002D5B76">
              <w:rPr>
                <w:sz w:val="28"/>
                <w:szCs w:val="28"/>
                <w:lang w:val="ro-RO"/>
              </w:rPr>
              <w:t xml:space="preserve"> </w:t>
            </w:r>
            <w:r w:rsidRPr="002D5B76">
              <w:rPr>
                <w:rFonts w:ascii="Times-Roman" w:eastAsiaTheme="minorHAnsi" w:hAnsi="Times-Roman" w:cs="Times-Roman"/>
                <w:sz w:val="28"/>
                <w:szCs w:val="28"/>
                <w:lang w:val="ro-RO" w:eastAsia="en-US"/>
              </w:rPr>
              <w:t xml:space="preserve">imobile vor fi suportate de </w:t>
            </w:r>
            <w:r w:rsidRPr="002D5B76">
              <w:rPr>
                <w:rFonts w:ascii="TimesNewRoman" w:eastAsiaTheme="minorHAnsi" w:hAnsi="TimesNewRoman" w:cs="TimesNewRoman"/>
                <w:sz w:val="28"/>
                <w:szCs w:val="28"/>
                <w:lang w:val="ro-RO" w:eastAsia="en-US"/>
              </w:rPr>
              <w:t>autoritățile publice locale.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555C9F" w:rsidP="00555C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" w:eastAsiaTheme="minorHAnsi" w:hAnsi="TimesNewRoman" w:cs="TimesNewRoman"/>
                <w:sz w:val="28"/>
                <w:szCs w:val="28"/>
                <w:lang w:eastAsia="en-US"/>
              </w:rPr>
            </w:pPr>
            <w:r w:rsidRPr="002D5B76">
              <w:rPr>
                <w:rFonts w:ascii="TimesNewRoman" w:eastAsiaTheme="minorHAnsi" w:hAnsi="TimesNewRoman" w:cs="TimesNewRoman"/>
                <w:sz w:val="28"/>
                <w:szCs w:val="28"/>
                <w:lang w:eastAsia="en-US"/>
              </w:rPr>
              <w:t>Proiectul elaborat se încadrează în cadrul normativ în vigoare, iar aprobarea acestuia nu va genera ca consecință necesitatea amendării altor acte normative.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tabs>
                <w:tab w:val="left" w:pos="694"/>
              </w:tabs>
              <w:ind w:left="72" w:hanging="281"/>
              <w:jc w:val="both"/>
              <w:rPr>
                <w:sz w:val="28"/>
                <w:szCs w:val="28"/>
                <w:lang w:val="ro-RO"/>
              </w:rPr>
            </w:pPr>
            <w:r w:rsidRPr="002D5B76">
              <w:rPr>
                <w:sz w:val="28"/>
                <w:szCs w:val="28"/>
                <w:lang w:val="ro-RO"/>
              </w:rPr>
              <w:t xml:space="preserve">            Proiectul este plasat pe portalul guvernamental (</w:t>
            </w:r>
            <w:hyperlink r:id="rId7" w:history="1">
              <w:r w:rsidRPr="002D5B76">
                <w:rPr>
                  <w:rStyle w:val="Hyperlink"/>
                  <w:sz w:val="28"/>
                  <w:szCs w:val="28"/>
                  <w:lang w:val="ro-RO"/>
                </w:rPr>
                <w:t>www.particip.gov.md</w:t>
              </w:r>
            </w:hyperlink>
            <w:r w:rsidRPr="002D5B76">
              <w:rPr>
                <w:sz w:val="28"/>
                <w:szCs w:val="28"/>
                <w:lang w:val="ro-RO"/>
              </w:rPr>
              <w:t>) precum și pe pagina –web oficială a Ministerului Sănătății, Muncii și Protecției Sociale, (</w:t>
            </w:r>
            <w:hyperlink r:id="rId8" w:history="1">
              <w:r w:rsidRPr="002D5B76">
                <w:rPr>
                  <w:rStyle w:val="Hyperlink"/>
                  <w:sz w:val="28"/>
                  <w:szCs w:val="28"/>
                  <w:lang w:val="ro-RO"/>
                </w:rPr>
                <w:t>www.msmps.gov.md</w:t>
              </w:r>
            </w:hyperlink>
            <w:r w:rsidRPr="002D5B76">
              <w:rPr>
                <w:sz w:val="28"/>
                <w:szCs w:val="28"/>
                <w:lang w:val="ro-RO"/>
              </w:rPr>
              <w:t>) la compartimentul „Transparență decizională” și a fost transmis spre consultare autorităților publice responsabile, conform procedurii stabilite de legislația în vigoare.</w:t>
            </w:r>
          </w:p>
        </w:tc>
      </w:tr>
      <w:tr w:rsidR="00744E6C" w:rsidRPr="002D5B76" w:rsidTr="002D5B76">
        <w:trPr>
          <w:trHeight w:val="346"/>
        </w:trPr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8. Constatările expertizei anticorupție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9. Constatările expertizei de compatibilitate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10. Constatările expertizei juridice</w:t>
            </w:r>
          </w:p>
        </w:tc>
      </w:tr>
      <w:tr w:rsidR="00744E6C" w:rsidRPr="002D5B76" w:rsidTr="001169F0">
        <w:tc>
          <w:tcPr>
            <w:tcW w:w="5000" w:type="pct"/>
          </w:tcPr>
          <w:p w:rsidR="00744E6C" w:rsidRPr="002D5B76" w:rsidRDefault="00744E6C" w:rsidP="001169F0">
            <w:pPr>
              <w:pStyle w:val="Frspaiere"/>
              <w:rPr>
                <w:b/>
                <w:sz w:val="28"/>
                <w:szCs w:val="28"/>
                <w:lang w:val="ro-RO"/>
              </w:rPr>
            </w:pPr>
            <w:r w:rsidRPr="002D5B76">
              <w:rPr>
                <w:b/>
                <w:sz w:val="28"/>
                <w:szCs w:val="28"/>
                <w:lang w:val="ro-RO"/>
              </w:rPr>
              <w:t>11. Constatările altor expertize</w:t>
            </w:r>
          </w:p>
        </w:tc>
      </w:tr>
    </w:tbl>
    <w:p w:rsidR="00744E6C" w:rsidRPr="002D5B76" w:rsidRDefault="00744E6C" w:rsidP="00744E6C">
      <w:pPr>
        <w:pStyle w:val="Frspaiere"/>
        <w:jc w:val="center"/>
        <w:rPr>
          <w:b/>
          <w:sz w:val="28"/>
          <w:szCs w:val="28"/>
          <w:lang w:val="ro-RO"/>
        </w:rPr>
      </w:pPr>
    </w:p>
    <w:p w:rsidR="00744E6C" w:rsidRPr="002D5B76" w:rsidRDefault="00744E6C" w:rsidP="00744E6C">
      <w:pPr>
        <w:pStyle w:val="Frspaiere"/>
        <w:jc w:val="center"/>
        <w:rPr>
          <w:b/>
          <w:sz w:val="28"/>
          <w:szCs w:val="28"/>
          <w:lang w:val="ro-RO"/>
        </w:rPr>
      </w:pPr>
    </w:p>
    <w:p w:rsidR="00744E6C" w:rsidRPr="002D5B76" w:rsidRDefault="00744E6C" w:rsidP="00744E6C">
      <w:pPr>
        <w:pStyle w:val="Frspaiere"/>
        <w:jc w:val="center"/>
        <w:rPr>
          <w:b/>
          <w:sz w:val="28"/>
          <w:szCs w:val="28"/>
          <w:lang w:val="ro-RO"/>
        </w:rPr>
      </w:pPr>
    </w:p>
    <w:p w:rsidR="00744E6C" w:rsidRPr="002D5B76" w:rsidRDefault="00744E6C" w:rsidP="00744E6C">
      <w:pPr>
        <w:pStyle w:val="Frspaiere"/>
        <w:jc w:val="center"/>
        <w:rPr>
          <w:b/>
          <w:sz w:val="28"/>
          <w:szCs w:val="28"/>
          <w:lang w:val="ro-RO"/>
        </w:rPr>
      </w:pPr>
    </w:p>
    <w:p w:rsidR="00744E6C" w:rsidRPr="002D5B76" w:rsidRDefault="00744E6C" w:rsidP="00744E6C">
      <w:pPr>
        <w:pStyle w:val="Frspaiere"/>
        <w:jc w:val="center"/>
        <w:rPr>
          <w:b/>
          <w:sz w:val="28"/>
          <w:szCs w:val="28"/>
          <w:lang w:val="ro-RO"/>
        </w:rPr>
      </w:pPr>
      <w:r w:rsidRPr="002D5B76">
        <w:rPr>
          <w:b/>
          <w:sz w:val="28"/>
          <w:szCs w:val="28"/>
          <w:lang w:val="ro-RO"/>
        </w:rPr>
        <w:t xml:space="preserve">MINISTRU                                             </w:t>
      </w:r>
      <w:r w:rsidRPr="002D5B76">
        <w:rPr>
          <w:b/>
          <w:bCs/>
          <w:sz w:val="28"/>
          <w:szCs w:val="28"/>
          <w:lang w:val="ro-RO"/>
        </w:rPr>
        <w:t>Viorica DUMBRĂVEANU</w:t>
      </w: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  <w:r w:rsidRPr="002D5B76">
        <w:rPr>
          <w:sz w:val="16"/>
          <w:szCs w:val="16"/>
          <w:lang w:val="ro-RO"/>
        </w:rPr>
        <w:t xml:space="preserve">Executori: </w:t>
      </w:r>
    </w:p>
    <w:p w:rsidR="00744E6C" w:rsidRPr="002D5B76" w:rsidRDefault="00744E6C" w:rsidP="00744E6C">
      <w:pPr>
        <w:pStyle w:val="Frspaiere"/>
        <w:rPr>
          <w:sz w:val="16"/>
          <w:szCs w:val="16"/>
          <w:lang w:val="ro-RO"/>
        </w:rPr>
      </w:pPr>
      <w:r w:rsidRPr="002D5B76">
        <w:rPr>
          <w:sz w:val="16"/>
          <w:szCs w:val="16"/>
          <w:lang w:val="ro-RO"/>
        </w:rPr>
        <w:t>E. Gavrilița (022 26 88 79)</w:t>
      </w:r>
    </w:p>
    <w:p w:rsidR="00744E6C" w:rsidRDefault="00744E6C" w:rsidP="00744E6C">
      <w:pPr>
        <w:pStyle w:val="Frspaiere"/>
        <w:rPr>
          <w:sz w:val="16"/>
          <w:szCs w:val="16"/>
          <w:lang w:val="ro-RO"/>
        </w:rPr>
      </w:pPr>
      <w:r w:rsidRPr="002D5B76">
        <w:rPr>
          <w:sz w:val="16"/>
          <w:szCs w:val="16"/>
          <w:lang w:val="ro-RO"/>
        </w:rPr>
        <w:t xml:space="preserve">V. Carp ( 022 26 88 06). </w:t>
      </w:r>
    </w:p>
    <w:p w:rsidR="009202F0" w:rsidRPr="002D5B76" w:rsidRDefault="009202F0">
      <w:bookmarkStart w:id="0" w:name="_GoBack"/>
      <w:bookmarkEnd w:id="0"/>
    </w:p>
    <w:sectPr w:rsidR="009202F0" w:rsidRPr="002D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1D"/>
    <w:rsid w:val="000701A3"/>
    <w:rsid w:val="00085238"/>
    <w:rsid w:val="000A3AD0"/>
    <w:rsid w:val="000B7000"/>
    <w:rsid w:val="00123B1F"/>
    <w:rsid w:val="0012467E"/>
    <w:rsid w:val="0014059D"/>
    <w:rsid w:val="00155435"/>
    <w:rsid w:val="0019101D"/>
    <w:rsid w:val="001D49B3"/>
    <w:rsid w:val="002243BE"/>
    <w:rsid w:val="002863ED"/>
    <w:rsid w:val="002D5B76"/>
    <w:rsid w:val="002F3D1F"/>
    <w:rsid w:val="0035377D"/>
    <w:rsid w:val="00356CF5"/>
    <w:rsid w:val="00425395"/>
    <w:rsid w:val="00431D17"/>
    <w:rsid w:val="004A5FAF"/>
    <w:rsid w:val="00555C9F"/>
    <w:rsid w:val="00574376"/>
    <w:rsid w:val="005963C7"/>
    <w:rsid w:val="005F19A9"/>
    <w:rsid w:val="006B3B1A"/>
    <w:rsid w:val="006F34C7"/>
    <w:rsid w:val="0070091A"/>
    <w:rsid w:val="00744E6C"/>
    <w:rsid w:val="00776E10"/>
    <w:rsid w:val="00797690"/>
    <w:rsid w:val="007A2529"/>
    <w:rsid w:val="0087620A"/>
    <w:rsid w:val="009202F0"/>
    <w:rsid w:val="00940A0F"/>
    <w:rsid w:val="009870C9"/>
    <w:rsid w:val="009C4F6B"/>
    <w:rsid w:val="00A5736F"/>
    <w:rsid w:val="00A70E00"/>
    <w:rsid w:val="00AB3B9A"/>
    <w:rsid w:val="00B122E2"/>
    <w:rsid w:val="00B546FD"/>
    <w:rsid w:val="00BA3F50"/>
    <w:rsid w:val="00D956BD"/>
    <w:rsid w:val="00DE33F8"/>
    <w:rsid w:val="00DE6BEE"/>
    <w:rsid w:val="00DF797E"/>
    <w:rsid w:val="00E41908"/>
    <w:rsid w:val="00EC76F2"/>
    <w:rsid w:val="00EE32E7"/>
    <w:rsid w:val="00F13F3B"/>
    <w:rsid w:val="00F47AA0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1D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9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lTabel">
    <w:name w:val="Table Grid"/>
    <w:basedOn w:val="TabelNormal"/>
    <w:uiPriority w:val="59"/>
    <w:rsid w:val="001910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910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744E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091A"/>
    <w:rPr>
      <w:rFonts w:ascii="Tahoma" w:eastAsiaTheme="minorEastAsia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1D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9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lTabel">
    <w:name w:val="Table Grid"/>
    <w:basedOn w:val="TabelNormal"/>
    <w:uiPriority w:val="59"/>
    <w:rsid w:val="001910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910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744E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091A"/>
    <w:rPr>
      <w:rFonts w:ascii="Tahoma" w:eastAsiaTheme="minorEastAsi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ps.gov.m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allto:8701212228.01.0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1BD9-4801-414C-BAF3-A350E659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Carp Vladimir</cp:lastModifiedBy>
  <cp:revision>3</cp:revision>
  <cp:lastPrinted>2020-11-30T06:21:00Z</cp:lastPrinted>
  <dcterms:created xsi:type="dcterms:W3CDTF">2020-11-30T07:00:00Z</dcterms:created>
  <dcterms:modified xsi:type="dcterms:W3CDTF">2020-11-30T08:52:00Z</dcterms:modified>
</cp:coreProperties>
</file>