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31B65" w:rsidRDefault="00331B65">
      <w:pPr>
        <w:tabs>
          <w:tab w:val="left" w:pos="884"/>
          <w:tab w:val="left" w:pos="1196"/>
        </w:tabs>
        <w:spacing w:after="0"/>
        <w:jc w:val="both"/>
        <w:rPr>
          <w:rFonts w:ascii="Times New Roman" w:eastAsia="Times New Roman" w:hAnsi="Times New Roman" w:cs="Times New Roman"/>
          <w:sz w:val="24"/>
          <w:szCs w:val="24"/>
        </w:rPr>
      </w:pPr>
    </w:p>
    <w:p w:rsidR="00331B65" w:rsidRDefault="003A6D9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NOTĂ INFORMATIVĂ</w:t>
      </w:r>
    </w:p>
    <w:p w:rsidR="00331B65" w:rsidRDefault="003A6D9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la proiectul Hotărârii Guvernului  cu privire la aprobarea </w:t>
      </w:r>
    </w:p>
    <w:p w:rsidR="00331B65" w:rsidRDefault="003A6D9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Regulamentului-cadru de organizare și funcționare a </w:t>
      </w:r>
    </w:p>
    <w:p w:rsidR="00331B65" w:rsidRDefault="003A6D94">
      <w:pPr>
        <w:spacing w:after="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Comisiilor consultative pentru politicile de tineret</w:t>
      </w:r>
    </w:p>
    <w:p w:rsidR="00331B65" w:rsidRDefault="00331B65">
      <w:pPr>
        <w:spacing w:after="0"/>
        <w:jc w:val="center"/>
        <w:rPr>
          <w:rFonts w:ascii="Times New Roman" w:eastAsia="Times New Roman" w:hAnsi="Times New Roman" w:cs="Times New Roman"/>
          <w:b/>
          <w:sz w:val="24"/>
          <w:szCs w:val="24"/>
        </w:rPr>
      </w:pPr>
      <w:bookmarkStart w:id="0" w:name="_heading=h.gjdgxs" w:colFirst="0" w:colLast="0"/>
      <w:bookmarkEnd w:id="0"/>
    </w:p>
    <w:tbl>
      <w:tblPr>
        <w:tblStyle w:val="af"/>
        <w:tblW w:w="1011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0115"/>
      </w:tblGrid>
      <w:tr w:rsidR="00331B65">
        <w:tc>
          <w:tcPr>
            <w:tcW w:w="10115" w:type="dxa"/>
          </w:tcPr>
          <w:p w:rsidR="00331B65" w:rsidRDefault="003A6D94">
            <w:pPr>
              <w:numPr>
                <w:ilvl w:val="3"/>
                <w:numId w:val="2"/>
              </w:numPr>
              <w:tabs>
                <w:tab w:val="left" w:pos="284"/>
                <w:tab w:val="left" w:pos="1196"/>
              </w:tabs>
              <w:spacing w:after="0"/>
              <w:ind w:left="0" w:firstLine="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Denumirea autorului şi, după caz, a participanţilor la elaborarea proiectului</w:t>
            </w:r>
          </w:p>
        </w:tc>
      </w:tr>
      <w:tr w:rsidR="00331B65">
        <w:tc>
          <w:tcPr>
            <w:tcW w:w="10115" w:type="dxa"/>
          </w:tcPr>
          <w:p w:rsidR="00331B65" w:rsidRDefault="003A6D94">
            <w:pPr>
              <w:tabs>
                <w:tab w:val="left" w:pos="884"/>
                <w:tab w:val="left" w:pos="119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Proiectul Hotărârii Guvernului privind organizarea și funcționarea Comisiilor consultative pentru politicile de tineret este elaborat de Ministerul Educației, Culturii și Cercetării</w:t>
            </w:r>
          </w:p>
        </w:tc>
      </w:tr>
      <w:tr w:rsidR="00331B65">
        <w:tc>
          <w:tcPr>
            <w:tcW w:w="10115" w:type="dxa"/>
          </w:tcPr>
          <w:p w:rsidR="00331B65" w:rsidRDefault="003A6D94">
            <w:pPr>
              <w:tabs>
                <w:tab w:val="left" w:pos="884"/>
                <w:tab w:val="left" w:pos="1196"/>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2. Condiţiile ce au impus elaborarea proiectului de act normativ şi finalităţile urmărite</w:t>
            </w:r>
          </w:p>
        </w:tc>
      </w:tr>
      <w:tr w:rsidR="00331B65">
        <w:tc>
          <w:tcPr>
            <w:tcW w:w="10115" w:type="dxa"/>
          </w:tcPr>
          <w:p w:rsidR="00331B65" w:rsidRDefault="003A6D9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conformitate cu prevederile art.9 , alin.(2) lit.b) și c) din Legea nr.215/2016 cu privire la tineret, Ministerul Educației, Culturii și Cercetării elaborează cadrul normativ în domeniul tineretului și asigură colaborarea intersectorială în realizarea politicii de tineret. În sensul legii sus-menționate, comisiile pentru politicile de tineret reprezintă un mecanism de dezvoltare a cooperării între sectorul public și cel neguvernamental în domeniul dezvoltării politicilor de tineret. </w:t>
            </w:r>
          </w:p>
          <w:p w:rsidR="00331B65" w:rsidRDefault="003A6D9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Proiectul de Hotărâre de Guvern înaintat spre aprobare vine să perfecționeze cadrul normativ actual ce ține de consiliile consultative pentru politicile de tineret prin abrogarea HG nr.733/2011 cu privire la crearea Comisiei Guvernamentale pentru politicile de tineret și adoptarea unui Regulament-cadru de organizare și funcționare a Comisiilor consultative pentru politicile de tineret care să fie aplicabil la crearea acestora la nivel local și central, în conformitate cu prevederile cadrului normativ din domeniu. </w:t>
            </w:r>
          </w:p>
          <w:p w:rsidR="00331B65" w:rsidRDefault="003A6D9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de menționat că Comisia Guvernamentală nu s-a întrunit pe parcursul ultimilor 4 ani, în mare măsură datorită faptului că structura actuală nu este una flexibilă. Din aceste considerente, dezvoltarea unei structuri consultative la nivel de autoritate publică centrală sau locală cu competențe în domeniu va permite asigurarea funcționalității Comisiei pe termen lung.</w:t>
            </w:r>
          </w:p>
          <w:p w:rsidR="00331B65" w:rsidRDefault="003A6D9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Totodată, comunicăm că Comisia Guvernamentală pentru politicile de tineret a fost creată în scopul punerii în aplicare a prevederilor cadrului normativ precedent cu privire la tineret, or odată cu adoptarea Legii nr.215/2016 nu a fost ajustat cadrul normativ secundar în totalitate. </w:t>
            </w:r>
          </w:p>
          <w:p w:rsidR="00331B65" w:rsidRDefault="003A6D9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Este de menționat faptul că în lipsa unor mecanisme de stimulare a dezvoltării structurilor consultative pentru politicile de tineret la nivel local, autoritățile publice locale sunt reticente în dezvoltarea unor astfel de structuri. Prezentul proiect pune în responsabilitatea autorității publice centrale dezvoltarea și aplicarea unor instrumente clare de stimulare și asigurare a sustenabilității comisiilor susmenționate.</w:t>
            </w:r>
          </w:p>
          <w:p w:rsidR="00331B65" w:rsidRDefault="003A6D9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Scopul proiectului este de a asigura o sinergie între actorii care activează în domeniul dezvoltării și implementării politicilor de tineret la nivel local/central, a stimula constituirea Comisiilor consultative pentru politicile de tineret la nivel local și a asigura functionalitatea și sustenabilitatea acestora, precum și de a susține participarea tinerilor în procesul decizional.  </w:t>
            </w:r>
          </w:p>
        </w:tc>
      </w:tr>
      <w:tr w:rsidR="00331B65">
        <w:tc>
          <w:tcPr>
            <w:tcW w:w="10115" w:type="dxa"/>
          </w:tcPr>
          <w:p w:rsidR="00331B65" w:rsidRDefault="003A6D94">
            <w:pPr>
              <w:tabs>
                <w:tab w:val="left" w:pos="884"/>
                <w:tab w:val="left" w:pos="1196"/>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3. Principalele prevederi ale proiectului şi evidenţierea elementelor noi</w:t>
            </w:r>
          </w:p>
        </w:tc>
      </w:tr>
      <w:tr w:rsidR="00331B65">
        <w:tc>
          <w:tcPr>
            <w:tcW w:w="10115" w:type="dxa"/>
          </w:tcPr>
          <w:p w:rsidR="00331B65" w:rsidRDefault="003A6D94">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Cadru unic de organizare și funcționare a Comisiilor consultative la nivel central și local;</w:t>
            </w:r>
          </w:p>
          <w:p w:rsidR="00331B65" w:rsidRDefault="003A6D94">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Dezvoltarea și implementarea mecanismelor de suport pentru constituirea Comisiilor;</w:t>
            </w:r>
          </w:p>
          <w:p w:rsidR="00331B65" w:rsidRDefault="003A6D94">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Asigurarea cooperării între sectorul guvernamental și cel neguvernamental pe principiul de </w:t>
            </w:r>
            <w:r>
              <w:rPr>
                <w:rFonts w:ascii="Times New Roman" w:eastAsia="Times New Roman" w:hAnsi="Times New Roman" w:cs="Times New Roman"/>
                <w:sz w:val="24"/>
                <w:szCs w:val="24"/>
              </w:rPr>
              <w:lastRenderedPageBreak/>
              <w:t>paritate;</w:t>
            </w:r>
          </w:p>
          <w:p w:rsidR="00331B65" w:rsidRDefault="003A6D94">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Implicarea tinerilor și structurilor de tineret în procesul decizional;</w:t>
            </w:r>
          </w:p>
          <w:p w:rsidR="00331B65" w:rsidRDefault="003A6D94">
            <w:pPr>
              <w:numPr>
                <w:ilvl w:val="0"/>
                <w:numId w:val="1"/>
              </w:num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Simplificarea procedurii de constituire, organizare și funcționare</w:t>
            </w:r>
            <w:r w:rsidR="00265F82">
              <w:rPr>
                <w:rFonts w:ascii="Times New Roman" w:eastAsia="Times New Roman" w:hAnsi="Times New Roman" w:cs="Times New Roman"/>
                <w:sz w:val="24"/>
                <w:szCs w:val="24"/>
              </w:rPr>
              <w:t xml:space="preserve"> a Consiliilor consultative.</w:t>
            </w:r>
          </w:p>
        </w:tc>
      </w:tr>
      <w:tr w:rsidR="00331B65">
        <w:tc>
          <w:tcPr>
            <w:tcW w:w="10115" w:type="dxa"/>
          </w:tcPr>
          <w:p w:rsidR="00331B65" w:rsidRDefault="003A6D94">
            <w:pPr>
              <w:tabs>
                <w:tab w:val="left" w:pos="884"/>
                <w:tab w:val="left" w:pos="1196"/>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4. Fundamentarea economico-financiară</w:t>
            </w:r>
          </w:p>
        </w:tc>
      </w:tr>
      <w:tr w:rsidR="00331B65">
        <w:tc>
          <w:tcPr>
            <w:tcW w:w="10115" w:type="dxa"/>
          </w:tcPr>
          <w:p w:rsidR="00331B65" w:rsidRDefault="003A6D94" w:rsidP="00564779">
            <w:pPr>
              <w:pBdr>
                <w:top w:val="nil"/>
                <w:left w:val="nil"/>
                <w:bottom w:val="nil"/>
                <w:right w:val="nil"/>
                <w:between w:val="nil"/>
              </w:pBd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Aprobarea proiectului de hotărâre n</w:t>
            </w:r>
            <w:r w:rsidR="00564779">
              <w:rPr>
                <w:rFonts w:ascii="Times New Roman" w:eastAsia="Times New Roman" w:hAnsi="Times New Roman" w:cs="Times New Roman"/>
                <w:sz w:val="24"/>
                <w:szCs w:val="24"/>
              </w:rPr>
              <w:t>u implică alocarea resurselor financiare suplimentare.</w:t>
            </w:r>
          </w:p>
        </w:tc>
      </w:tr>
      <w:tr w:rsidR="00331B65">
        <w:tc>
          <w:tcPr>
            <w:tcW w:w="10115" w:type="dxa"/>
          </w:tcPr>
          <w:p w:rsidR="00331B65" w:rsidRDefault="003A6D94">
            <w:pPr>
              <w:tabs>
                <w:tab w:val="left" w:pos="884"/>
                <w:tab w:val="left" w:pos="1196"/>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5. Modul de încorporare a actului în cadrul normativ în vigoare</w:t>
            </w:r>
          </w:p>
        </w:tc>
      </w:tr>
      <w:tr w:rsidR="00331B65">
        <w:tc>
          <w:tcPr>
            <w:tcW w:w="10115" w:type="dxa"/>
          </w:tcPr>
          <w:p w:rsidR="00331B65" w:rsidRDefault="003A6D94">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Aprobarea proiectului de hotărâre nu necesită ajustarea cadrului normativ. Nu există recomandări de corelare a proiectului de act normativ cu reglementările legislației comunitare din domeniul de tineret.</w:t>
            </w:r>
          </w:p>
        </w:tc>
      </w:tr>
      <w:tr w:rsidR="00331B65">
        <w:tc>
          <w:tcPr>
            <w:tcW w:w="10115" w:type="dxa"/>
          </w:tcPr>
          <w:p w:rsidR="00331B65" w:rsidRDefault="003A6D94">
            <w:pPr>
              <w:tabs>
                <w:tab w:val="left" w:pos="884"/>
                <w:tab w:val="left" w:pos="1196"/>
              </w:tabs>
              <w:spacing w:after="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6. Avizarea şi consultarea publică a proiectului</w:t>
            </w:r>
          </w:p>
        </w:tc>
      </w:tr>
      <w:tr w:rsidR="00331B65">
        <w:tc>
          <w:tcPr>
            <w:tcW w:w="10115" w:type="dxa"/>
          </w:tcPr>
          <w:p w:rsidR="00331B65" w:rsidRDefault="003A6D94">
            <w:pPr>
              <w:tabs>
                <w:tab w:val="left" w:pos="884"/>
                <w:tab w:val="left" w:pos="119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În conformitate cu art. 160, alin. 1) din HG 610/2018 pentru aprobarea Regulamentului Guvernului, anunțul de </w:t>
            </w:r>
            <w:bookmarkStart w:id="1" w:name="_GoBack"/>
            <w:bookmarkEnd w:id="1"/>
            <w:r>
              <w:rPr>
                <w:rFonts w:ascii="Times New Roman" w:eastAsia="Times New Roman" w:hAnsi="Times New Roman" w:cs="Times New Roman"/>
                <w:sz w:val="24"/>
                <w:szCs w:val="24"/>
              </w:rPr>
              <w:t>inițiere și cel de consultare a proiectului de act n</w:t>
            </w:r>
            <w:r w:rsidR="00265F82">
              <w:rPr>
                <w:rFonts w:ascii="Times New Roman" w:eastAsia="Times New Roman" w:hAnsi="Times New Roman" w:cs="Times New Roman"/>
                <w:sz w:val="24"/>
                <w:szCs w:val="24"/>
              </w:rPr>
              <w:t>ormativ fost plasat</w:t>
            </w:r>
            <w:r>
              <w:rPr>
                <w:rFonts w:ascii="Times New Roman" w:eastAsia="Times New Roman" w:hAnsi="Times New Roman" w:cs="Times New Roman"/>
                <w:sz w:val="24"/>
                <w:szCs w:val="24"/>
              </w:rPr>
              <w:t xml:space="preserve"> pe pagina web a ministerului.</w:t>
            </w:r>
          </w:p>
          <w:p w:rsidR="00331B65" w:rsidRDefault="003A6D94">
            <w:pPr>
              <w:tabs>
                <w:tab w:val="left" w:pos="884"/>
                <w:tab w:val="left" w:pos="1196"/>
              </w:tabs>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În conformitate cu art.32 și 34 din Legea nr.100/2017, proiectul urmează a fi supus procedurii de avizare, consultare publică și expertizare. </w:t>
            </w:r>
          </w:p>
        </w:tc>
      </w:tr>
    </w:tbl>
    <w:p w:rsidR="00331B65" w:rsidRDefault="00331B65">
      <w:pPr>
        <w:spacing w:after="0"/>
        <w:rPr>
          <w:rFonts w:ascii="Times New Roman" w:eastAsia="Times New Roman" w:hAnsi="Times New Roman" w:cs="Times New Roman"/>
          <w:sz w:val="24"/>
          <w:szCs w:val="24"/>
          <w:vertAlign w:val="superscript"/>
        </w:rPr>
      </w:pPr>
    </w:p>
    <w:p w:rsidR="00331B65" w:rsidRDefault="00331B65">
      <w:pPr>
        <w:spacing w:after="0"/>
        <w:rPr>
          <w:rFonts w:ascii="Times New Roman" w:eastAsia="Times New Roman" w:hAnsi="Times New Roman" w:cs="Times New Roman"/>
          <w:sz w:val="24"/>
          <w:szCs w:val="24"/>
        </w:rPr>
      </w:pPr>
    </w:p>
    <w:p w:rsidR="00331B65" w:rsidRDefault="00331B65">
      <w:pPr>
        <w:spacing w:after="0"/>
        <w:rPr>
          <w:rFonts w:ascii="Times New Roman" w:eastAsia="Times New Roman" w:hAnsi="Times New Roman" w:cs="Times New Roman"/>
          <w:b/>
          <w:sz w:val="24"/>
          <w:szCs w:val="24"/>
        </w:rPr>
      </w:pPr>
    </w:p>
    <w:p w:rsidR="00331B65" w:rsidRDefault="003A6D94">
      <w:pPr>
        <w:spacing w:after="0"/>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ab/>
        <w:t>Lilia POGOLȘA</w:t>
      </w:r>
    </w:p>
    <w:p w:rsidR="00331B65" w:rsidRDefault="00331B65">
      <w:pPr>
        <w:spacing w:after="0"/>
        <w:jc w:val="right"/>
        <w:rPr>
          <w:rFonts w:ascii="Times New Roman" w:eastAsia="Times New Roman" w:hAnsi="Times New Roman" w:cs="Times New Roman"/>
          <w:b/>
          <w:sz w:val="24"/>
          <w:szCs w:val="24"/>
        </w:rPr>
      </w:pPr>
    </w:p>
    <w:p w:rsidR="00331B65" w:rsidRDefault="003A6D94">
      <w:pPr>
        <w:spacing w:after="0"/>
        <w:ind w:left="7200" w:firstLine="72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Ministru</w:t>
      </w:r>
    </w:p>
    <w:p w:rsidR="00331B65" w:rsidRDefault="00331B65">
      <w:pPr>
        <w:spacing w:after="0"/>
        <w:rPr>
          <w:rFonts w:ascii="Times New Roman" w:eastAsia="Times New Roman" w:hAnsi="Times New Roman" w:cs="Times New Roman"/>
          <w:sz w:val="24"/>
          <w:szCs w:val="24"/>
        </w:rPr>
      </w:pPr>
    </w:p>
    <w:sectPr w:rsidR="00331B65">
      <w:headerReference w:type="default" r:id="rId9"/>
      <w:footerReference w:type="even" r:id="rId10"/>
      <w:footerReference w:type="default" r:id="rId11"/>
      <w:footerReference w:type="first" r:id="rId12"/>
      <w:pgSz w:w="11906" w:h="16838"/>
      <w:pgMar w:top="1135" w:right="567" w:bottom="1418" w:left="1440"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1A8E" w:rsidRDefault="00DA1A8E">
      <w:pPr>
        <w:spacing w:after="0" w:line="240" w:lineRule="auto"/>
      </w:pPr>
      <w:r>
        <w:separator/>
      </w:r>
    </w:p>
  </w:endnote>
  <w:endnote w:type="continuationSeparator" w:id="0">
    <w:p w:rsidR="00DA1A8E" w:rsidRDefault="00DA1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65" w:rsidRDefault="003A6D94">
    <w:pPr>
      <w:pBdr>
        <w:top w:val="nil"/>
        <w:left w:val="nil"/>
        <w:bottom w:val="nil"/>
        <w:right w:val="nil"/>
        <w:between w:val="nil"/>
      </w:pBdr>
      <w:tabs>
        <w:tab w:val="center" w:pos="4677"/>
        <w:tab w:val="right" w:pos="9355"/>
      </w:tabs>
      <w:jc w:val="right"/>
      <w:rPr>
        <w:color w:val="000000"/>
      </w:rPr>
    </w:pPr>
    <w:r>
      <w:rPr>
        <w:color w:val="000000"/>
      </w:rPr>
      <w:fldChar w:fldCharType="begin"/>
    </w:r>
    <w:r>
      <w:rPr>
        <w:color w:val="000000"/>
      </w:rPr>
      <w:instrText>PAGE</w:instrText>
    </w:r>
    <w:r>
      <w:rPr>
        <w:color w:val="000000"/>
      </w:rPr>
      <w:fldChar w:fldCharType="end"/>
    </w:r>
  </w:p>
  <w:p w:rsidR="00331B65" w:rsidRDefault="00331B65">
    <w:pPr>
      <w:pBdr>
        <w:top w:val="nil"/>
        <w:left w:val="nil"/>
        <w:bottom w:val="nil"/>
        <w:right w:val="nil"/>
        <w:between w:val="nil"/>
      </w:pBdr>
      <w:tabs>
        <w:tab w:val="center" w:pos="4677"/>
        <w:tab w:val="right" w:pos="9355"/>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65" w:rsidRDefault="003A6D9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564779">
      <w:rPr>
        <w:noProof/>
        <w:color w:val="000000"/>
      </w:rPr>
      <w:t>2</w:t>
    </w:r>
    <w:r>
      <w:rPr>
        <w:color w:val="000000"/>
      </w:rPr>
      <w:fldChar w:fldCharType="end"/>
    </w:r>
  </w:p>
  <w:p w:rsidR="00331B65" w:rsidRDefault="00331B65">
    <w:pPr>
      <w:pBdr>
        <w:top w:val="nil"/>
        <w:left w:val="nil"/>
        <w:bottom w:val="nil"/>
        <w:right w:val="nil"/>
        <w:between w:val="nil"/>
      </w:pBdr>
      <w:tabs>
        <w:tab w:val="center" w:pos="4677"/>
        <w:tab w:val="right" w:pos="9355"/>
      </w:tabs>
      <w:jc w:val="center"/>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65" w:rsidRDefault="003A6D94">
    <w:pPr>
      <w:pBdr>
        <w:top w:val="nil"/>
        <w:left w:val="nil"/>
        <w:bottom w:val="nil"/>
        <w:right w:val="nil"/>
        <w:between w:val="nil"/>
      </w:pBdr>
      <w:tabs>
        <w:tab w:val="center" w:pos="4677"/>
        <w:tab w:val="right" w:pos="9355"/>
      </w:tabs>
      <w:jc w:val="center"/>
      <w:rPr>
        <w:color w:val="000000"/>
      </w:rPr>
    </w:pPr>
    <w:r>
      <w:rPr>
        <w:color w:val="000000"/>
      </w:rPr>
      <w:fldChar w:fldCharType="begin"/>
    </w:r>
    <w:r>
      <w:rPr>
        <w:color w:val="000000"/>
      </w:rPr>
      <w:instrText>PAGE</w:instrText>
    </w:r>
    <w:r>
      <w:rPr>
        <w:color w:val="000000"/>
      </w:rPr>
      <w:fldChar w:fldCharType="separate"/>
    </w:r>
    <w:r w:rsidR="00564779">
      <w:rPr>
        <w:noProof/>
        <w:color w:val="000000"/>
      </w:rPr>
      <w:t>1</w:t>
    </w:r>
    <w:r>
      <w:rPr>
        <w:color w:val="000000"/>
      </w:rPr>
      <w:fldChar w:fldCharType="end"/>
    </w:r>
  </w:p>
  <w:p w:rsidR="00331B65" w:rsidRDefault="00331B65">
    <w:pPr>
      <w:pBdr>
        <w:top w:val="nil"/>
        <w:left w:val="nil"/>
        <w:bottom w:val="nil"/>
        <w:right w:val="nil"/>
        <w:between w:val="nil"/>
      </w:pBdr>
      <w:tabs>
        <w:tab w:val="center" w:pos="4677"/>
        <w:tab w:val="right" w:pos="9355"/>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1A8E" w:rsidRDefault="00DA1A8E">
      <w:pPr>
        <w:spacing w:after="0" w:line="240" w:lineRule="auto"/>
      </w:pPr>
      <w:r>
        <w:separator/>
      </w:r>
    </w:p>
  </w:footnote>
  <w:footnote w:type="continuationSeparator" w:id="0">
    <w:p w:rsidR="00DA1A8E" w:rsidRDefault="00DA1A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1B65" w:rsidRDefault="00331B65">
    <w:pPr>
      <w:pBdr>
        <w:top w:val="nil"/>
        <w:left w:val="nil"/>
        <w:bottom w:val="nil"/>
        <w:right w:val="nil"/>
        <w:between w:val="nil"/>
      </w:pBdr>
      <w:tabs>
        <w:tab w:val="center" w:pos="4677"/>
        <w:tab w:val="right" w:pos="9355"/>
      </w:tabs>
      <w:jc w:val="right"/>
      <w:rPr>
        <w:rFonts w:ascii="Times New Roman" w:eastAsia="Times New Roman" w:hAnsi="Times New Roman" w:cs="Times New Roman"/>
        <w:color w:val="000000"/>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4D75BF"/>
    <w:multiLevelType w:val="multilevel"/>
    <w:tmpl w:val="F1CA9436"/>
    <w:lvl w:ilvl="0">
      <w:start w:val="1"/>
      <w:numFmt w:val="decimal"/>
      <w:lvlText w:val="(%1)"/>
      <w:lvlJc w:val="left"/>
      <w:pPr>
        <w:ind w:left="780" w:hanging="4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41EA5E8B"/>
    <w:multiLevelType w:val="multilevel"/>
    <w:tmpl w:val="9200927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331B65"/>
    <w:rsid w:val="00265F82"/>
    <w:rsid w:val="00331B65"/>
    <w:rsid w:val="003A6D94"/>
    <w:rsid w:val="00564779"/>
    <w:rsid w:val="00DA1A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o-RO"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1B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rsid w:val="009361B9"/>
    <w:pPr>
      <w:tabs>
        <w:tab w:val="center" w:pos="4677"/>
        <w:tab w:val="right" w:pos="9355"/>
      </w:tabs>
    </w:pPr>
    <w:rPr>
      <w:rFonts w:eastAsia="Times New Roman"/>
    </w:rPr>
  </w:style>
  <w:style w:type="character" w:customStyle="1" w:styleId="a5">
    <w:name w:val="Верхний колонтитул Знак"/>
    <w:basedOn w:val="a0"/>
    <w:link w:val="a4"/>
    <w:locked/>
    <w:rsid w:val="009361B9"/>
    <w:rPr>
      <w:rFonts w:ascii="Calibri" w:hAnsi="Calibri"/>
      <w:sz w:val="22"/>
      <w:szCs w:val="22"/>
      <w:lang w:val="ru-RU" w:eastAsia="ru-RU" w:bidi="ar-SA"/>
    </w:rPr>
  </w:style>
  <w:style w:type="paragraph" w:styleId="a6">
    <w:name w:val="footer"/>
    <w:basedOn w:val="a"/>
    <w:link w:val="a7"/>
    <w:uiPriority w:val="99"/>
    <w:rsid w:val="009361B9"/>
    <w:pPr>
      <w:tabs>
        <w:tab w:val="center" w:pos="4677"/>
        <w:tab w:val="right" w:pos="9355"/>
      </w:tabs>
    </w:pPr>
    <w:rPr>
      <w:rFonts w:eastAsia="Times New Roman"/>
    </w:rPr>
  </w:style>
  <w:style w:type="character" w:customStyle="1" w:styleId="a7">
    <w:name w:val="Нижний колонтитул Знак"/>
    <w:basedOn w:val="a0"/>
    <w:link w:val="a6"/>
    <w:uiPriority w:val="99"/>
    <w:locked/>
    <w:rsid w:val="009361B9"/>
    <w:rPr>
      <w:rFonts w:ascii="Calibri" w:hAnsi="Calibri"/>
      <w:sz w:val="22"/>
      <w:szCs w:val="22"/>
      <w:lang w:val="ru-RU" w:eastAsia="ru-RU" w:bidi="ar-SA"/>
    </w:rPr>
  </w:style>
  <w:style w:type="character" w:styleId="a8">
    <w:name w:val="page number"/>
    <w:basedOn w:val="a0"/>
    <w:rsid w:val="009361B9"/>
    <w:rPr>
      <w:rFonts w:cs="Times New Roman"/>
    </w:rPr>
  </w:style>
  <w:style w:type="paragraph" w:styleId="a9">
    <w:name w:val="List Paragraph"/>
    <w:basedOn w:val="a"/>
    <w:uiPriority w:val="34"/>
    <w:qFormat/>
    <w:rsid w:val="00333F72"/>
    <w:pPr>
      <w:ind w:left="720"/>
      <w:contextualSpacing/>
    </w:pPr>
  </w:style>
  <w:style w:type="character" w:styleId="aa">
    <w:name w:val="Hyperlink"/>
    <w:basedOn w:val="a0"/>
    <w:rsid w:val="00B2190A"/>
    <w:rPr>
      <w:color w:val="0000FF" w:themeColor="hyperlink"/>
      <w:u w:val="single"/>
    </w:rPr>
  </w:style>
  <w:style w:type="paragraph" w:styleId="ab">
    <w:name w:val="Balloon Text"/>
    <w:basedOn w:val="a"/>
    <w:link w:val="ac"/>
    <w:rsid w:val="00D24020"/>
    <w:pPr>
      <w:spacing w:after="0" w:line="240" w:lineRule="auto"/>
    </w:pPr>
    <w:rPr>
      <w:rFonts w:ascii="Tahoma" w:hAnsi="Tahoma" w:cs="Tahoma"/>
      <w:sz w:val="16"/>
      <w:szCs w:val="16"/>
    </w:rPr>
  </w:style>
  <w:style w:type="character" w:customStyle="1" w:styleId="ac">
    <w:name w:val="Текст выноски Знак"/>
    <w:basedOn w:val="a0"/>
    <w:link w:val="ab"/>
    <w:rsid w:val="00D24020"/>
    <w:rPr>
      <w:rFonts w:ascii="Tahoma" w:eastAsia="Calibri" w:hAnsi="Tahoma" w:cs="Tahoma"/>
      <w:sz w:val="16"/>
      <w:szCs w:val="16"/>
    </w:rPr>
  </w:style>
  <w:style w:type="character" w:styleId="ad">
    <w:name w:val="Emphasis"/>
    <w:basedOn w:val="a0"/>
    <w:qFormat/>
    <w:rsid w:val="00C05745"/>
    <w:rPr>
      <w:i/>
      <w:iCs/>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top w:w="0" w:type="dxa"/>
        <w:left w:w="115" w:type="dxa"/>
        <w:bottom w:w="0" w:type="dxa"/>
        <w:right w:w="115"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o-RO"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61B9"/>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header"/>
    <w:basedOn w:val="a"/>
    <w:link w:val="a5"/>
    <w:rsid w:val="009361B9"/>
    <w:pPr>
      <w:tabs>
        <w:tab w:val="center" w:pos="4677"/>
        <w:tab w:val="right" w:pos="9355"/>
      </w:tabs>
    </w:pPr>
    <w:rPr>
      <w:rFonts w:eastAsia="Times New Roman"/>
    </w:rPr>
  </w:style>
  <w:style w:type="character" w:customStyle="1" w:styleId="a5">
    <w:name w:val="Верхний колонтитул Знак"/>
    <w:basedOn w:val="a0"/>
    <w:link w:val="a4"/>
    <w:locked/>
    <w:rsid w:val="009361B9"/>
    <w:rPr>
      <w:rFonts w:ascii="Calibri" w:hAnsi="Calibri"/>
      <w:sz w:val="22"/>
      <w:szCs w:val="22"/>
      <w:lang w:val="ru-RU" w:eastAsia="ru-RU" w:bidi="ar-SA"/>
    </w:rPr>
  </w:style>
  <w:style w:type="paragraph" w:styleId="a6">
    <w:name w:val="footer"/>
    <w:basedOn w:val="a"/>
    <w:link w:val="a7"/>
    <w:uiPriority w:val="99"/>
    <w:rsid w:val="009361B9"/>
    <w:pPr>
      <w:tabs>
        <w:tab w:val="center" w:pos="4677"/>
        <w:tab w:val="right" w:pos="9355"/>
      </w:tabs>
    </w:pPr>
    <w:rPr>
      <w:rFonts w:eastAsia="Times New Roman"/>
    </w:rPr>
  </w:style>
  <w:style w:type="character" w:customStyle="1" w:styleId="a7">
    <w:name w:val="Нижний колонтитул Знак"/>
    <w:basedOn w:val="a0"/>
    <w:link w:val="a6"/>
    <w:uiPriority w:val="99"/>
    <w:locked/>
    <w:rsid w:val="009361B9"/>
    <w:rPr>
      <w:rFonts w:ascii="Calibri" w:hAnsi="Calibri"/>
      <w:sz w:val="22"/>
      <w:szCs w:val="22"/>
      <w:lang w:val="ru-RU" w:eastAsia="ru-RU" w:bidi="ar-SA"/>
    </w:rPr>
  </w:style>
  <w:style w:type="character" w:styleId="a8">
    <w:name w:val="page number"/>
    <w:basedOn w:val="a0"/>
    <w:rsid w:val="009361B9"/>
    <w:rPr>
      <w:rFonts w:cs="Times New Roman"/>
    </w:rPr>
  </w:style>
  <w:style w:type="paragraph" w:styleId="a9">
    <w:name w:val="List Paragraph"/>
    <w:basedOn w:val="a"/>
    <w:uiPriority w:val="34"/>
    <w:qFormat/>
    <w:rsid w:val="00333F72"/>
    <w:pPr>
      <w:ind w:left="720"/>
      <w:contextualSpacing/>
    </w:pPr>
  </w:style>
  <w:style w:type="character" w:styleId="aa">
    <w:name w:val="Hyperlink"/>
    <w:basedOn w:val="a0"/>
    <w:rsid w:val="00B2190A"/>
    <w:rPr>
      <w:color w:val="0000FF" w:themeColor="hyperlink"/>
      <w:u w:val="single"/>
    </w:rPr>
  </w:style>
  <w:style w:type="paragraph" w:styleId="ab">
    <w:name w:val="Balloon Text"/>
    <w:basedOn w:val="a"/>
    <w:link w:val="ac"/>
    <w:rsid w:val="00D24020"/>
    <w:pPr>
      <w:spacing w:after="0" w:line="240" w:lineRule="auto"/>
    </w:pPr>
    <w:rPr>
      <w:rFonts w:ascii="Tahoma" w:hAnsi="Tahoma" w:cs="Tahoma"/>
      <w:sz w:val="16"/>
      <w:szCs w:val="16"/>
    </w:rPr>
  </w:style>
  <w:style w:type="character" w:customStyle="1" w:styleId="ac">
    <w:name w:val="Текст выноски Знак"/>
    <w:basedOn w:val="a0"/>
    <w:link w:val="ab"/>
    <w:rsid w:val="00D24020"/>
    <w:rPr>
      <w:rFonts w:ascii="Tahoma" w:eastAsia="Calibri" w:hAnsi="Tahoma" w:cs="Tahoma"/>
      <w:sz w:val="16"/>
      <w:szCs w:val="16"/>
    </w:rPr>
  </w:style>
  <w:style w:type="character" w:styleId="ad">
    <w:name w:val="Emphasis"/>
    <w:basedOn w:val="a0"/>
    <w:qFormat/>
    <w:rsid w:val="00C05745"/>
    <w:rPr>
      <w:i/>
      <w:iCs/>
    </w:rPr>
  </w:style>
  <w:style w:type="paragraph" w:styleId="ae">
    <w:name w:val="Subtitle"/>
    <w:basedOn w:val="a"/>
    <w:next w:val="a"/>
    <w:pPr>
      <w:keepNext/>
      <w:keepLines/>
      <w:spacing w:before="360" w:after="80"/>
    </w:pPr>
    <w:rPr>
      <w:rFonts w:ascii="Georgia" w:eastAsia="Georgia" w:hAnsi="Georgia" w:cs="Georgia"/>
      <w:i/>
      <w:color w:val="666666"/>
      <w:sz w:val="48"/>
      <w:szCs w:val="48"/>
    </w:rPr>
  </w:style>
  <w:style w:type="table" w:customStyle="1" w:styleId="af">
    <w:basedOn w:val="TableNormal"/>
    <w:tblPr>
      <w:tblStyleRowBandSize w:val="1"/>
      <w:tblStyleColBandSize w:val="1"/>
      <w:tblCellMar>
        <w:top w:w="0" w:type="dxa"/>
        <w:left w:w="115" w:type="dxa"/>
        <w:bottom w:w="0"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bYiiAVLbHbKlrc3Ek7vRViMFKPA==">AMUW2mVgIZND9Lt2G61Ofl+631Tj06haoPZZJQEHOncqc6Vf8w6bQeN9PA12/sPOhi41CBpwkm8MyB4HjG62rZbXT0nOufHVIjGTHs8cDQj5jC6CkOymDrmgeHOuYuI6VMZ3hd+nKtlVls1n6MIvox8Zy3zTPb6PY1eGFLyITiLKww7o2XlFdkE=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655</Words>
  <Characters>3738</Characters>
  <Application>Microsoft Office Word</Application>
  <DocSecurity>0</DocSecurity>
  <Lines>31</Lines>
  <Paragraphs>8</Paragraphs>
  <ScaleCrop>false</ScaleCrop>
  <Company/>
  <LinksUpToDate>false</LinksUpToDate>
  <CharactersWithSpaces>4385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3</cp:revision>
  <cp:lastPrinted>2021-02-15T06:53:00Z</cp:lastPrinted>
  <dcterms:created xsi:type="dcterms:W3CDTF">2021-02-08T13:29:00Z</dcterms:created>
  <dcterms:modified xsi:type="dcterms:W3CDTF">2021-03-26T07:16:00Z</dcterms:modified>
</cp:coreProperties>
</file>