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DA6" w:rsidRPr="005B364E" w:rsidRDefault="003B1DA6">
      <w:pPr>
        <w:pStyle w:val="a5"/>
      </w:pPr>
      <w:r w:rsidRPr="005B364E">
        <w:t> </w:t>
      </w:r>
    </w:p>
    <w:tbl>
      <w:tblPr>
        <w:tblW w:w="4869" w:type="pct"/>
        <w:jc w:val="center"/>
        <w:tblLook w:val="04A0" w:firstRow="1" w:lastRow="0" w:firstColumn="1" w:lastColumn="0" w:noHBand="0" w:noVBand="1"/>
      </w:tblPr>
      <w:tblGrid>
        <w:gridCol w:w="3647"/>
        <w:gridCol w:w="5230"/>
      </w:tblGrid>
      <w:tr w:rsidR="003B1DA6" w:rsidRPr="005B364E">
        <w:trPr>
          <w:jc w:val="center"/>
        </w:trPr>
        <w:tc>
          <w:tcPr>
            <w:tcW w:w="5000" w:type="pct"/>
            <w:gridSpan w:val="2"/>
            <w:tcMar>
              <w:top w:w="15" w:type="dxa"/>
              <w:left w:w="45" w:type="dxa"/>
              <w:bottom w:w="15" w:type="dxa"/>
              <w:right w:w="45" w:type="dxa"/>
            </w:tcMar>
            <w:hideMark/>
          </w:tcPr>
          <w:p w:rsidR="003B1DA6" w:rsidRPr="005B364E" w:rsidRDefault="003B1DA6">
            <w:pPr>
              <w:jc w:val="center"/>
              <w:rPr>
                <w:rFonts w:eastAsia="Times New Roman"/>
                <w:b/>
                <w:sz w:val="28"/>
                <w:szCs w:val="28"/>
              </w:rPr>
            </w:pPr>
            <w:r w:rsidRPr="005B364E">
              <w:rPr>
                <w:rFonts w:eastAsia="Times New Roman"/>
                <w:b/>
                <w:sz w:val="28"/>
                <w:szCs w:val="28"/>
              </w:rPr>
              <w:t>Analiza impactului de reglementare</w:t>
            </w:r>
          </w:p>
          <w:p w:rsidR="003B1DA6" w:rsidRPr="005B364E" w:rsidRDefault="003B1DA6">
            <w:pPr>
              <w:rPr>
                <w:rFonts w:eastAsia="Times New Roman"/>
                <w:sz w:val="20"/>
                <w:szCs w:val="20"/>
              </w:rPr>
            </w:pPr>
            <w:r w:rsidRPr="005B364E">
              <w:rPr>
                <w:rFonts w:eastAsia="Times New Roman"/>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 xml:space="preserve">Titlul analizei impactului </w:t>
            </w:r>
          </w:p>
          <w:p w:rsidR="003B1DA6" w:rsidRPr="005B364E" w:rsidRDefault="003B1DA6">
            <w:pPr>
              <w:pStyle w:val="lf"/>
              <w:spacing w:before="0" w:beforeAutospacing="0" w:after="0" w:afterAutospacing="0"/>
              <w:rPr>
                <w:sz w:val="20"/>
                <w:szCs w:val="20"/>
              </w:rPr>
            </w:pPr>
            <w:r w:rsidRPr="005B364E">
              <w:rPr>
                <w:sz w:val="20"/>
                <w:szCs w:val="20"/>
              </w:rPr>
              <w:t xml:space="preserve">(poate </w:t>
            </w:r>
            <w:r w:rsidR="00FC43A2" w:rsidRPr="005B364E">
              <w:rPr>
                <w:sz w:val="20"/>
                <w:szCs w:val="20"/>
              </w:rPr>
              <w:t>conține</w:t>
            </w:r>
            <w:r w:rsidRPr="005B364E">
              <w:rPr>
                <w:sz w:val="20"/>
                <w:szCs w:val="20"/>
              </w:rPr>
              <w:t xml:space="preserve"> titlul propunerii de act normativ):</w:t>
            </w:r>
          </w:p>
        </w:tc>
        <w:tc>
          <w:tcPr>
            <w:tcW w:w="2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color w:val="000000"/>
                <w:lang w:eastAsia="ru-RU"/>
              </w:rPr>
            </w:pPr>
            <w:r w:rsidRPr="005B364E">
              <w:rPr>
                <w:rFonts w:eastAsia="Times New Roman"/>
                <w:color w:val="000000"/>
                <w:lang w:eastAsia="ru-RU"/>
              </w:rPr>
              <w:t xml:space="preserve">Reglementările aeronautice civile </w:t>
            </w:r>
            <w:r w:rsidR="000B0DAA" w:rsidRPr="005B364E">
              <w:rPr>
                <w:rFonts w:eastAsia="Times New Roman"/>
                <w:color w:val="000000"/>
                <w:lang w:eastAsia="ru-RU"/>
              </w:rPr>
              <w:t>„</w:t>
            </w:r>
            <w:r w:rsidRPr="005B364E">
              <w:rPr>
                <w:rFonts w:eastAsia="Times New Roman"/>
                <w:color w:val="000000"/>
                <w:lang w:eastAsia="ru-RU"/>
              </w:rPr>
              <w:t>cu privire la înregistrarea emițătoarelor radio, perfectarea și acordarea Autorizației de exploatare a acestora. Coordonarea frecvențelor și acordarea Autorizației de utilizare a acestora”</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Data:</w:t>
            </w:r>
          </w:p>
        </w:tc>
        <w:tc>
          <w:tcPr>
            <w:tcW w:w="2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Autoritatea administrației publice (autor):</w:t>
            </w:r>
          </w:p>
        </w:tc>
        <w:tc>
          <w:tcPr>
            <w:tcW w:w="2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r w:rsidRPr="005B364E">
              <w:t> Ministerul Economiei și Infrastructurii</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Subdiviziunea:</w:t>
            </w:r>
          </w:p>
        </w:tc>
        <w:tc>
          <w:tcPr>
            <w:tcW w:w="2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r w:rsidRPr="005B364E">
              <w:t> Serviciul transport aerian</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Persoana responsabilă şi datele de contact:</w:t>
            </w:r>
          </w:p>
        </w:tc>
        <w:tc>
          <w:tcPr>
            <w:tcW w:w="29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r w:rsidRPr="005B364E">
              <w:t> </w:t>
            </w:r>
            <w:r w:rsidR="001C4FB8">
              <w:rPr>
                <w:color w:val="000000" w:themeColor="text1"/>
              </w:rPr>
              <w:t>Tatiana COBZAC</w:t>
            </w:r>
            <w:r w:rsidR="001C4FB8">
              <w:t>– Consultant principal</w:t>
            </w:r>
            <w:r w:rsidRPr="005B364E">
              <w:t>, Serviciu transport aerian</w:t>
            </w: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 </w:t>
            </w:r>
          </w:p>
        </w:tc>
      </w:tr>
    </w:tbl>
    <w:p w:rsidR="003B1DA6" w:rsidRPr="005B364E" w:rsidRDefault="003B1DA6">
      <w:pPr>
        <w:jc w:val="center"/>
        <w:rPr>
          <w:rFonts w:eastAsia="Times New Roman"/>
          <w:vanish/>
        </w:rPr>
      </w:pPr>
    </w:p>
    <w:tbl>
      <w:tblPr>
        <w:tblW w:w="4873" w:type="pct"/>
        <w:jc w:val="center"/>
        <w:tblLook w:val="04A0" w:firstRow="1" w:lastRow="0" w:firstColumn="1" w:lastColumn="0" w:noHBand="0" w:noVBand="1"/>
      </w:tblPr>
      <w:tblGrid>
        <w:gridCol w:w="6563"/>
        <w:gridCol w:w="2321"/>
      </w:tblGrid>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rsidP="00AD1CC8">
            <w:pPr>
              <w:pStyle w:val="cn"/>
              <w:spacing w:before="0" w:beforeAutospacing="0" w:after="0" w:afterAutospacing="0"/>
              <w:rPr>
                <w:sz w:val="20"/>
                <w:szCs w:val="20"/>
              </w:rPr>
            </w:pPr>
            <w:r w:rsidRPr="005B364E">
              <w:rPr>
                <w:b/>
                <w:bCs/>
                <w:sz w:val="20"/>
                <w:szCs w:val="20"/>
              </w:rPr>
              <w:t>Compartimentele analizei impactului</w:t>
            </w: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1. Definirea problemei</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 xml:space="preserve">a) </w:t>
            </w:r>
            <w:r w:rsidR="000A5002" w:rsidRPr="005B364E">
              <w:rPr>
                <w:rFonts w:eastAsia="Times New Roman"/>
                <w:sz w:val="20"/>
                <w:szCs w:val="20"/>
              </w:rPr>
              <w:t>Determinați</w:t>
            </w:r>
            <w:r w:rsidRPr="005B364E">
              <w:rPr>
                <w:rFonts w:eastAsia="Times New Roman"/>
                <w:sz w:val="20"/>
                <w:szCs w:val="20"/>
              </w:rPr>
              <w:t xml:space="preserve"> clar şi concis problema şi/sau problemele care urmează să fie soluţionate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pStyle w:val="a5"/>
              <w:tabs>
                <w:tab w:val="left" w:pos="1455"/>
              </w:tabs>
            </w:pPr>
            <w:r w:rsidRPr="005B364E">
              <w:t>Cadrul normativ învechit și care</w:t>
            </w:r>
            <w:r w:rsidR="00C033C5">
              <w:t>,</w:t>
            </w:r>
            <w:r w:rsidRPr="005B364E">
              <w:t xml:space="preserve"> la moment nu corespunde/reglementează tot </w:t>
            </w:r>
            <w:r w:rsidR="00C033C5">
              <w:t xml:space="preserve">procesul, inclusiv </w:t>
            </w:r>
            <w:r w:rsidRPr="005B364E">
              <w:t>procedurile aferente procesului de înregistrare a emițătoarelor radio</w:t>
            </w:r>
            <w:r w:rsidR="003618CD" w:rsidRPr="005B364E">
              <w:t xml:space="preserve"> (nu acoperă întreaga problematică a relațiilor sociale ce constituie obiectul de reglementare al proiectului)</w:t>
            </w:r>
            <w:r w:rsidRPr="005B364E">
              <w:t>;</w:t>
            </w:r>
          </w:p>
          <w:p w:rsidR="003B1DA6" w:rsidRPr="005B364E" w:rsidRDefault="003B1DA6">
            <w:pPr>
              <w:pStyle w:val="a5"/>
              <w:tabs>
                <w:tab w:val="left" w:pos="1455"/>
              </w:tabs>
            </w:pPr>
            <w:r w:rsidRPr="005B364E">
              <w:t>Lipsa prevederilor normative sp</w:t>
            </w:r>
            <w:r w:rsidR="001C4FB8">
              <w:t>ecifice cu privire la formatul</w:t>
            </w:r>
            <w:r w:rsidRPr="005B364E">
              <w:t xml:space="preserve"> de autorizație privind exploatarea emițătoarelor radio în dependența de tipul emițătorului (de la bordul aeronavei, staționar la sol, mobil la sol);</w:t>
            </w:r>
          </w:p>
          <w:p w:rsidR="003B1DA6" w:rsidRPr="005B364E" w:rsidRDefault="003B1DA6">
            <w:pPr>
              <w:pStyle w:val="a5"/>
              <w:tabs>
                <w:tab w:val="left" w:pos="1455"/>
              </w:tabs>
            </w:pPr>
            <w:r w:rsidRPr="005B364E">
              <w:t>Neconcordanța prevederilor normative naționale cu cadrul regulatoriu internațional care reglementează e</w:t>
            </w:r>
            <w:r w:rsidR="001C4FB8">
              <w:t>xploatarea emițătoarelor radio ș</w:t>
            </w:r>
            <w:r w:rsidRPr="005B364E">
              <w:t>i managementul frecvențelor atribuite aviației civile (banda de frecvente);</w:t>
            </w:r>
          </w:p>
          <w:p w:rsidR="003B1DA6" w:rsidRPr="005B364E" w:rsidRDefault="003B1DA6">
            <w:pPr>
              <w:pStyle w:val="a5"/>
              <w:tabs>
                <w:tab w:val="left" w:pos="1455"/>
              </w:tabs>
            </w:pPr>
            <w:r w:rsidRPr="005B364E">
              <w:t>Necorespunderea termenului de valabilitate a autorizațiilor pentru exploatarea emițătoarelor radio la</w:t>
            </w:r>
            <w:r w:rsidR="00E25765">
              <w:t xml:space="preserve"> sol ș</w:t>
            </w:r>
            <w:r w:rsidRPr="005B364E">
              <w:t>i conectarea perioadei de valabilitate a autorizațiilor pentru exploatarea emițătoarelor radio de la bordul aeronavei cu perioada de valabilitate a Certificatului de navigabilitate;</w:t>
            </w:r>
          </w:p>
          <w:p w:rsidR="003B1DA6" w:rsidRPr="005B364E" w:rsidRDefault="003B1DA6">
            <w:pPr>
              <w:pStyle w:val="a5"/>
              <w:tabs>
                <w:tab w:val="left" w:pos="1455"/>
              </w:tabs>
            </w:pPr>
            <w:r w:rsidRPr="005B364E">
              <w:t>Lipsa unor proceduri clare și comprehensive cu privire la solicitarea, coordonarea, alocarea și autorizarea utilizării frecvențelor;</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b) Descrieţi problema, persoanele/entităţile afectate şi cele care contribuie la apariţia problemei, cu justificarea necesităţii schimbării situaţiei curente şi viitoare, în baza dovezilor şi datelor colectate şi examinate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ind w:firstLine="507"/>
              <w:jc w:val="both"/>
            </w:pPr>
            <w:r w:rsidRPr="005B364E">
              <w:t xml:space="preserve">Prevederile normative actuale care reglementează procesul de  înregistrare a emițătoarelor radio inclusiv prevederi ce țin de emiterea, modificarea, retragerea/anularea autorizației de exploatare/ utilizare a emițătoarelor radio sunt învechite. Cadrul normativ actual fiind cel din 2006, în mare parte depășit și neajustat noilor realități/standarde/procese aplicabile domeniul emiterii și utilizării emițătoarelor radio. </w:t>
            </w:r>
          </w:p>
          <w:p w:rsidR="003B1DA6" w:rsidRPr="005B364E" w:rsidRDefault="003B1DA6">
            <w:pPr>
              <w:ind w:firstLine="507"/>
              <w:jc w:val="both"/>
            </w:pPr>
            <w:r w:rsidRPr="005B364E">
              <w:t>Reglementările actuale nu acoperă procedurile aferente procesului de înregistrare a emițătoarelor radio, și anume procedurile de solicitare, coordonare, alocare și autorizare de utilizare a frecvențelor radio, fapt care creează neînțelegeri si abordări ocazionale/nereglementate clar pentru coordonarea si alocarea frecvențelor, precum și modul de solicitare a frecvențelor.</w:t>
            </w:r>
          </w:p>
          <w:p w:rsidR="003B1DA6" w:rsidRPr="005B364E" w:rsidRDefault="003B1DA6">
            <w:pPr>
              <w:ind w:firstLine="507"/>
              <w:jc w:val="both"/>
              <w:rPr>
                <w:rFonts w:eastAsiaTheme="minorHAnsi"/>
              </w:rPr>
            </w:pPr>
            <w:r w:rsidRPr="005B364E">
              <w:t xml:space="preserve">Domeniul de certificare/autorizare a unor componente ale aeronavelor și/sau echipamentelor aferente operațiunilor de zbor sunt în mare parte interdependente cu </w:t>
            </w:r>
            <w:r w:rsidRPr="005B364E">
              <w:lastRenderedPageBreak/>
              <w:t>procedurile de certificare aferente aeronavelor, în cazul dat</w:t>
            </w:r>
            <w:r w:rsidR="005C69DF">
              <w:t>,</w:t>
            </w:r>
            <w:r w:rsidRPr="005B364E">
              <w:t xml:space="preserve"> procedura </w:t>
            </w:r>
            <w:r w:rsidRPr="00267C48">
              <w:t xml:space="preserve">de </w:t>
            </w:r>
            <w:r w:rsidR="00267C48" w:rsidRPr="00AD1CC8">
              <w:t>autoriz</w:t>
            </w:r>
            <w:r w:rsidR="00AD1CC8">
              <w:t>are</w:t>
            </w:r>
            <w:r w:rsidR="00267C48">
              <w:t xml:space="preserve"> pentru</w:t>
            </w:r>
            <w:r w:rsidR="00AD1CC8">
              <w:t xml:space="preserve"> </w:t>
            </w:r>
            <w:r w:rsidRPr="005B364E">
              <w:t>emițătoarel</w:t>
            </w:r>
            <w:r w:rsidR="00AD1CC8">
              <w:t>e</w:t>
            </w:r>
            <w:r w:rsidRPr="005B364E">
              <w:t xml:space="preserve"> radio este interdependentă cu procedura de emitere a certificatului de navigabilitate. Astfel, în ediția actuală a reglementărilor vizate, sunt stabilite limite pentru perioadele de valabilitate a autorizațiilor pentru exploatarea emițătoarelor radio, fapt care nu mai c</w:t>
            </w:r>
            <w:r w:rsidR="00490FC0">
              <w:t>orespunde conceptului prevăzut î</w:t>
            </w:r>
            <w:r w:rsidRPr="005B364E">
              <w:t xml:space="preserve">n cadrul regulatoriu al Uniunii Europene, care stabilește faptul că certificatele și autorizațiile se emit cu termen nelimitat, iar autoritățile competente/emitente/de supraveghere dispun de pârghiile necesare pentru suspendarea și revocare certificatelor și autorizațiilor emise. </w:t>
            </w:r>
          </w:p>
          <w:p w:rsidR="003B1DA6" w:rsidRPr="005B364E" w:rsidRDefault="003B1DA6">
            <w:pPr>
              <w:pStyle w:val="a5"/>
              <w:tabs>
                <w:tab w:val="left" w:pos="1455"/>
              </w:tabs>
            </w:pPr>
            <w:r w:rsidRPr="005B364E">
              <w:t xml:space="preserve">Analiza Autorității Aeronautice Civile (denumită în continuare AAC), ca și autoritate publică responsabilă de implementarea și realizarea politicilor în domeniul aviației civile, confirmă cele evidențiate mai sus, totodată evidențiază faptul că la nivel practic, conceptul utilizat până acum întâmpină și probleme de ordin tehnic – procedural, conceptul utilizat de a emite autorizației pentru exploatarea emițătoarelor radio cu condiția asocierii acestora la o frecvență anumită, nu este practică deoarece limitează utilizarea oficială </w:t>
            </w:r>
            <w:r w:rsidR="00490FC0">
              <w:t xml:space="preserve">a </w:t>
            </w:r>
            <w:r w:rsidRPr="005B364E">
              <w:t xml:space="preserve">stațiilor radio de către agenții aeronautici. </w:t>
            </w:r>
          </w:p>
          <w:p w:rsidR="00E760D4" w:rsidRPr="005B364E" w:rsidRDefault="00E760D4" w:rsidP="00E760D4">
            <w:pPr>
              <w:autoSpaceDE w:val="0"/>
              <w:autoSpaceDN w:val="0"/>
              <w:adjustRightInd w:val="0"/>
              <w:rPr>
                <w:bCs/>
              </w:rPr>
            </w:pPr>
            <w:r w:rsidRPr="005B364E">
              <w:rPr>
                <w:b/>
                <w:bCs/>
              </w:rPr>
              <w:t xml:space="preserve">La nivel de </w:t>
            </w:r>
            <w:r w:rsidRPr="005B364E">
              <w:rPr>
                <w:b/>
              </w:rPr>
              <w:t>persoane/entități afectate</w:t>
            </w:r>
            <w:r w:rsidRPr="005B364E">
              <w:rPr>
                <w:bCs/>
              </w:rPr>
              <w:t>, enumerăm:</w:t>
            </w:r>
          </w:p>
          <w:p w:rsidR="00353BC8" w:rsidRPr="005B364E" w:rsidRDefault="00353BC8" w:rsidP="00353BC8">
            <w:pPr>
              <w:pStyle w:val="a5"/>
              <w:tabs>
                <w:tab w:val="left" w:pos="1455"/>
              </w:tabs>
            </w:pPr>
            <w:r w:rsidRPr="005B364E">
              <w:t xml:space="preserve">- </w:t>
            </w:r>
            <w:r w:rsidRPr="005B364E">
              <w:rPr>
                <w:b/>
              </w:rPr>
              <w:t>28 de operatori aerieni</w:t>
            </w:r>
            <w:r w:rsidRPr="005B364E">
              <w:t xml:space="preserve"> (inclusiv persoanele fizice) care dețin </w:t>
            </w:r>
            <w:r w:rsidR="00490FC0">
              <w:t>69 de autorizații de instalare ș</w:t>
            </w:r>
            <w:r w:rsidRPr="005B364E">
              <w:t>i exploatare a emițătoarel</w:t>
            </w:r>
            <w:r w:rsidR="00490FC0">
              <w:t xml:space="preserve">or radio instalate la bordul a </w:t>
            </w:r>
            <w:r w:rsidRPr="005B364E">
              <w:t xml:space="preserve">69 </w:t>
            </w:r>
            <w:r w:rsidR="00490FC0">
              <w:t>de aeronave</w:t>
            </w:r>
            <w:r w:rsidRPr="005B364E">
              <w:t xml:space="preserve"> (inclusiv aviație ușoară și ultra</w:t>
            </w:r>
            <w:r w:rsidR="00861A99" w:rsidRPr="005B364E">
              <w:t xml:space="preserve"> </w:t>
            </w:r>
            <w:r w:rsidRPr="005B364E">
              <w:t>u</w:t>
            </w:r>
            <w:r w:rsidR="00861A99" w:rsidRPr="005B364E">
              <w:t>ș</w:t>
            </w:r>
            <w:r w:rsidRPr="005B364E">
              <w:t>oar</w:t>
            </w:r>
            <w:r w:rsidR="00861A99" w:rsidRPr="005B364E">
              <w:t>ă</w:t>
            </w:r>
            <w:r w:rsidRPr="005B364E">
              <w:t>);</w:t>
            </w:r>
          </w:p>
          <w:p w:rsidR="00E760D4" w:rsidRPr="005B364E" w:rsidRDefault="00353BC8" w:rsidP="00353BC8">
            <w:pPr>
              <w:pStyle w:val="a5"/>
              <w:tabs>
                <w:tab w:val="left" w:pos="1455"/>
              </w:tabs>
            </w:pPr>
            <w:r w:rsidRPr="005B364E">
              <w:t xml:space="preserve">- </w:t>
            </w:r>
            <w:r w:rsidRPr="005B364E">
              <w:rPr>
                <w:b/>
              </w:rPr>
              <w:t xml:space="preserve">10 </w:t>
            </w:r>
            <w:r w:rsidR="00861A99" w:rsidRPr="005B364E">
              <w:rPr>
                <w:b/>
              </w:rPr>
              <w:t>agenți</w:t>
            </w:r>
            <w:r w:rsidRPr="005B364E">
              <w:rPr>
                <w:b/>
              </w:rPr>
              <w:t xml:space="preserve"> aeronautici</w:t>
            </w:r>
            <w:r w:rsidRPr="005B364E">
              <w:t xml:space="preserve"> care </w:t>
            </w:r>
            <w:r w:rsidR="00861A99" w:rsidRPr="005B364E">
              <w:t>exploatează</w:t>
            </w:r>
            <w:r w:rsidRPr="005B364E">
              <w:t xml:space="preserve"> </w:t>
            </w:r>
            <w:r w:rsidR="00861A99" w:rsidRPr="005B364E">
              <w:t>emițătoarele</w:t>
            </w:r>
            <w:r w:rsidR="00490FC0">
              <w:t xml:space="preserve"> radio la sol ș</w:t>
            </w:r>
            <w:r w:rsidRPr="005B364E">
              <w:t xml:space="preserve">i </w:t>
            </w:r>
            <w:r w:rsidR="00861A99" w:rsidRPr="005B364E">
              <w:t>dețin</w:t>
            </w:r>
            <w:r w:rsidRPr="005B364E">
              <w:t xml:space="preserve"> 127  de </w:t>
            </w:r>
            <w:r w:rsidR="00861A99" w:rsidRPr="005B364E">
              <w:t>autorizații</w:t>
            </w:r>
            <w:r w:rsidR="00490FC0">
              <w:t xml:space="preserve"> de instalare ș</w:t>
            </w:r>
            <w:r w:rsidRPr="005B364E">
              <w:t xml:space="preserve">i exploatare a </w:t>
            </w:r>
            <w:r w:rsidR="00861A99" w:rsidRPr="005B364E">
              <w:t>emițătoarelor</w:t>
            </w:r>
            <w:r w:rsidRPr="005B364E">
              <w:t xml:space="preserve"> radio</w:t>
            </w:r>
            <w:r w:rsidR="00861A99" w:rsidRPr="005B364E">
              <w:t>.</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lastRenderedPageBreak/>
              <w:t>c) Expuneţi clar cauzele care au dus la apariţia problemei</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pStyle w:val="a5"/>
            </w:pPr>
            <w:r w:rsidRPr="005B364E">
              <w:t xml:space="preserve"> Lipsa unor amendări periodice ale prevederilor actuale ale reglementărilor RAC – ATE, care să ajusteze cadrul normativ la cerințele/standardele și practicile reglementate de prevederile Anexei nr.10 a Organizației Aviației Civile Internaționale (denumită în continuare OACI) și documentelor subsecvente acesteia. </w:t>
            </w:r>
          </w:p>
          <w:p w:rsidR="003B1DA6" w:rsidRPr="005B364E" w:rsidRDefault="003B1DA6">
            <w:pPr>
              <w:pStyle w:val="a5"/>
            </w:pPr>
            <w:r w:rsidRPr="005B364E">
              <w:t xml:space="preserve">Lipsa unor amendări periodice ale prevederilor actuale ale reglementărilor RAC – ATE, care să aducă în concordanță prevederile reglementate cu </w:t>
            </w:r>
            <w:r w:rsidRPr="005B364E">
              <w:rPr>
                <w:color w:val="000000" w:themeColor="text1"/>
              </w:rPr>
              <w:t>Legea nr.160/ 2011 privind reglementarea prin autorizare a activității de întreprinzător și prevederile Hotărârii Guvernului nr.468/2019 pentru aprobarea Regulamentului privind stabilirea cerințelor și procedurilor administrative de certificare pentru navigabilitate și mediu a aeronavelor și a produselor, pieselor și echipamentelor aferente, precum și certificarea organizațiilor de proiectare și producție.</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d) Descrieți cum a evoluat problema şi cum va evolua fără o intervenție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pStyle w:val="a5"/>
              <w:ind w:firstLine="507"/>
            </w:pPr>
            <w:r w:rsidRPr="005B364E">
              <w:t>Problema a evoluat latent, prin lipsa unor proceduri periodice de amendare. În lipsa actualizării cadrului normativ actual, și anume aprobarea unor noi reglementări ce propun implementarea unor noi abordări în procesul de emitere, modificare, retragere/anular</w:t>
            </w:r>
            <w:r w:rsidR="00DA738B">
              <w:t>e a autorizației de exploatare/</w:t>
            </w:r>
            <w:r w:rsidRPr="005B364E">
              <w:t xml:space="preserve">utilizare a emițătoarelor radio, se vor menține neclaritățile procedurale și persista impedimente în vederea  solicitărilor și alocărilor frecvențelor,  irosirea nejustificată a resurselor alocate proceselor periodice aferente procedurii de prelungire a autorizațiilor. </w:t>
            </w:r>
          </w:p>
          <w:p w:rsidR="003B1DA6" w:rsidRPr="005B364E" w:rsidRDefault="003B1DA6">
            <w:pPr>
              <w:pStyle w:val="a5"/>
              <w:ind w:firstLine="507"/>
              <w:rPr>
                <w:sz w:val="20"/>
                <w:szCs w:val="20"/>
              </w:rPr>
            </w:pPr>
            <w:r w:rsidRPr="005B364E">
              <w:t>Lipsa aprobării și implementării noilor concepte definite în cadrul proiectului actului normativ vor conserva situația actuală, vor impune autorizarea nejustificată periodică și nu vor corespunde noilor practici implementate la nivel european și internațional.</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e) Descrieţi cadrul juridic actual aplicabil raporturilor analizate şi identificaţi carenţele prevederilor normative în vigoare, identificaţi documentele de politici şi reglementările existente care condiţionează intervenţia statului</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84DF6" w:rsidRPr="005B364E" w:rsidRDefault="00C84DF6">
            <w:pPr>
              <w:pStyle w:val="a5"/>
            </w:pPr>
            <w:r w:rsidRPr="005B364E">
              <w:t xml:space="preserve">Prezentele reglementări sunt elaborate în temeiul prevederilor art. 9, alin. (6) </w:t>
            </w:r>
            <w:r w:rsidR="002C08C8" w:rsidRPr="005B364E">
              <w:t xml:space="preserve">ale Codului aerian nr. </w:t>
            </w:r>
            <w:r w:rsidR="00FC361F" w:rsidRPr="00AD1CC8">
              <w:t>301</w:t>
            </w:r>
            <w:r w:rsidR="002C08C8" w:rsidRPr="005B364E">
              <w:t>/2017, complementar ele asigură conformitate</w:t>
            </w:r>
            <w:r w:rsidR="00E864B1" w:rsidRPr="005B364E">
              <w:t>a</w:t>
            </w:r>
            <w:r w:rsidR="002C08C8" w:rsidRPr="005B364E">
              <w:t xml:space="preserve"> cu prevederile</w:t>
            </w:r>
            <w:r w:rsidR="00E864B1" w:rsidRPr="005B364E">
              <w:t xml:space="preserve"> Legii comunicațiilor electronice, nr. 241/2007, Regulamentul radiocomunicaţiilor al Uniunii </w:t>
            </w:r>
            <w:r w:rsidR="00E864B1" w:rsidRPr="005B364E">
              <w:lastRenderedPageBreak/>
              <w:t xml:space="preserve">Internaţionale a Telecomunicaţiilor (denumit în continuare </w:t>
            </w:r>
            <w:r w:rsidR="00E864B1" w:rsidRPr="005B364E">
              <w:rPr>
                <w:bCs/>
              </w:rPr>
              <w:t>Regulamentul radiocomunicaţiilor al UIT</w:t>
            </w:r>
            <w:r w:rsidR="00E864B1" w:rsidRPr="005B364E">
              <w:t>), parte integrantă a Statutului UIT ratificat prin Hotărârea Parlamentului nr. 993/1996, Anexa 10 OACI «Telecomunicaţii aeronautice», OACI Doc 7754 EUR eANP, Volumul 2 - Planul european de navigație aeriană, OACI EUR Doc 011 - Manualul de coordonare a frecvențelor, Manualul RAFT EUROCONTROL, Documentul OACI 9718 „Handbook on Radio Frequency Spectrum Requirements for Civil Aviation" și  Reglementările aeronautice civile RAC-TA „Telecomunicaţii aeronautice”</w:t>
            </w:r>
          </w:p>
          <w:p w:rsidR="003B1DA6" w:rsidRPr="005B364E" w:rsidRDefault="003B1DA6">
            <w:pPr>
              <w:pStyle w:val="a5"/>
            </w:pPr>
            <w:r w:rsidRPr="005B364E">
              <w:t>La momentul actual se aplică prevederile reglementărilor aeronautice civile RAC – ATE (Înregistrarea emițătoarelor radio, perfectarea si acord</w:t>
            </w:r>
            <w:r w:rsidR="00D33FC5">
              <w:t>area Autorizației de instalare ș</w:t>
            </w:r>
            <w:r w:rsidRPr="005B364E">
              <w:t xml:space="preserve">i exploatare a acestora) aprobat prin Ordinul AAC nr. 02/GEN din 03.01.2006. </w:t>
            </w:r>
          </w:p>
          <w:p w:rsidR="003B1DA6" w:rsidRPr="005B364E" w:rsidRDefault="003B1DA6" w:rsidP="0099228B">
            <w:pPr>
              <w:ind w:firstLine="507"/>
              <w:jc w:val="both"/>
            </w:pPr>
            <w:r w:rsidRPr="005B364E">
              <w:t>Prevederile actuale nu reglementează adecvat procedurile specifice cu privire la managementul frecvențelor radio/ coordonarea frecvențelor atribuite serviciilor, inclusiv nu este reglementată procedura ce vizează solicitarea, coordonare</w:t>
            </w:r>
            <w:r w:rsidR="0020013B">
              <w:t>a</w:t>
            </w:r>
            <w:r w:rsidRPr="005B364E">
              <w:t>, alocarea și autorizarea utilizării frecvențelor.</w:t>
            </w:r>
          </w:p>
          <w:p w:rsidR="003B1DA6" w:rsidRPr="005B364E" w:rsidRDefault="003B1DA6" w:rsidP="0099228B">
            <w:pPr>
              <w:ind w:firstLine="507"/>
              <w:jc w:val="both"/>
            </w:pPr>
            <w:r w:rsidRPr="005B364E">
              <w:t>Totodată se atestă o neconcordanță cu prevederile:</w:t>
            </w:r>
          </w:p>
          <w:p w:rsidR="003B1DA6" w:rsidRPr="005B364E" w:rsidRDefault="003B1DA6">
            <w:pPr>
              <w:jc w:val="both"/>
            </w:pPr>
            <w:r w:rsidRPr="00516C74">
              <w:rPr>
                <w:b/>
              </w:rPr>
              <w:t>1. RAC-ATE 010</w:t>
            </w:r>
            <w:r w:rsidRPr="005B364E">
              <w:t xml:space="preserve"> Modul de înregistrare a </w:t>
            </w:r>
            <w:r w:rsidR="0089311C" w:rsidRPr="005B364E">
              <w:t>emițătoarelor</w:t>
            </w:r>
            <w:r w:rsidRPr="005B364E">
              <w:t xml:space="preserve"> radio şi de acordare a </w:t>
            </w:r>
            <w:r w:rsidR="0089311C" w:rsidRPr="005B364E">
              <w:t>autorizației</w:t>
            </w:r>
            <w:r w:rsidRPr="005B364E">
              <w:t xml:space="preserve"> de instalare şi exploatare a acestora cu prevederile aplicabile termenelor de valabilitate conform standardelor și practicilor internaționale, la moment fiind impusă o limitare de un an de zile. Practica fiind următoarea:</w:t>
            </w:r>
          </w:p>
          <w:p w:rsidR="003B1DA6" w:rsidRPr="005B364E" w:rsidRDefault="003B1DA6">
            <w:pPr>
              <w:jc w:val="both"/>
            </w:pPr>
            <w:r w:rsidRPr="005B364E">
              <w:t>a) pentru emițătoarele radio instalate și utilizate la bordul aeronavelor - termenul de valabilitate a autorizației și termenul de valabilitate a Certificatului de Navigabilitate.</w:t>
            </w:r>
          </w:p>
          <w:p w:rsidR="003B1DA6" w:rsidRPr="005B364E" w:rsidRDefault="003B1DA6">
            <w:pPr>
              <w:jc w:val="both"/>
            </w:pPr>
            <w:r w:rsidRPr="005B364E">
              <w:t>b)</w:t>
            </w:r>
            <w:r w:rsidR="00172E66">
              <w:t xml:space="preserve"> </w:t>
            </w:r>
            <w:r w:rsidRPr="005B364E">
              <w:t>pentru a</w:t>
            </w:r>
            <w:r w:rsidRPr="005B364E">
              <w:rPr>
                <w:bCs/>
                <w:lang w:eastAsia="ru-RU"/>
              </w:rPr>
              <w:t>utorizația de exploatare/utilizare a emițătoarelor radio la sol - perioadă nelimitată.</w:t>
            </w:r>
          </w:p>
          <w:p w:rsidR="003B1DA6" w:rsidRPr="005B364E" w:rsidRDefault="003B1DA6">
            <w:pPr>
              <w:jc w:val="both"/>
              <w:rPr>
                <w:bCs/>
                <w:color w:val="000000" w:themeColor="text1"/>
                <w:lang w:eastAsia="ru-RU"/>
              </w:rPr>
            </w:pPr>
            <w:r w:rsidRPr="00516C74">
              <w:rPr>
                <w:b/>
                <w:bCs/>
                <w:color w:val="000000" w:themeColor="text1"/>
                <w:lang w:eastAsia="ru-RU"/>
              </w:rPr>
              <w:t xml:space="preserve">2. </w:t>
            </w:r>
            <w:r w:rsidRPr="00516C74">
              <w:rPr>
                <w:b/>
              </w:rPr>
              <w:t>RAC- ATE 015</w:t>
            </w:r>
            <w:r w:rsidRPr="005B364E">
              <w:rPr>
                <w:bCs/>
                <w:color w:val="000000" w:themeColor="text1"/>
                <w:lang w:eastAsia="ru-RU"/>
              </w:rPr>
              <w:t xml:space="preserve"> I</w:t>
            </w:r>
            <w:r w:rsidRPr="005B364E">
              <w:t xml:space="preserve">ntroducerea modificărilor în autorizație, printre prevederile acestui punct evidențiem reglementările cu privire setul de acte care trebuie depuse de solicitant, în speță impunerea achitării unei taxe, prevedere care nu mai este aplicabilă o dată cu intrarea în vigoare a Codului aerian nr. 301/2017.  </w:t>
            </w:r>
          </w:p>
          <w:p w:rsidR="00D91CA4" w:rsidRPr="005B364E" w:rsidRDefault="003B1DA6">
            <w:pPr>
              <w:jc w:val="both"/>
              <w:rPr>
                <w:color w:val="000000" w:themeColor="text1"/>
              </w:rPr>
            </w:pPr>
            <w:r w:rsidRPr="00516C74">
              <w:rPr>
                <w:b/>
                <w:color w:val="000000" w:themeColor="text1"/>
              </w:rPr>
              <w:t xml:space="preserve">3. </w:t>
            </w:r>
            <w:r w:rsidR="00D91CA4" w:rsidRPr="00516C74">
              <w:rPr>
                <w:b/>
                <w:color w:val="000000" w:themeColor="text1"/>
              </w:rPr>
              <w:t xml:space="preserve">Punctele </w:t>
            </w:r>
            <w:r w:rsidRPr="00516C74">
              <w:rPr>
                <w:b/>
              </w:rPr>
              <w:t>RAC-ATE 020</w:t>
            </w:r>
            <w:r w:rsidRPr="00516C74">
              <w:rPr>
                <w:b/>
                <w:color w:val="000000" w:themeColor="text1"/>
              </w:rPr>
              <w:t xml:space="preserve"> </w:t>
            </w:r>
            <w:r w:rsidR="00D91CA4" w:rsidRPr="00516C74">
              <w:rPr>
                <w:b/>
                <w:color w:val="000000" w:themeColor="text1"/>
              </w:rPr>
              <w:t xml:space="preserve"> - 030</w:t>
            </w:r>
            <w:r w:rsidR="00172E66">
              <w:rPr>
                <w:b/>
                <w:color w:val="000000" w:themeColor="text1"/>
              </w:rPr>
              <w:t xml:space="preserve"> </w:t>
            </w:r>
            <w:r w:rsidRPr="005B364E">
              <w:t xml:space="preserve">– nu corespund în tocmai prevederilor </w:t>
            </w:r>
            <w:r w:rsidRPr="005B364E">
              <w:rPr>
                <w:color w:val="000000" w:themeColor="text1"/>
              </w:rPr>
              <w:t>Legii nr.160/ 2011 privind reglementarea prin autorizare a activității de întreprinzător.</w:t>
            </w:r>
          </w:p>
          <w:p w:rsidR="003B1DA6" w:rsidRPr="005B364E" w:rsidRDefault="00D91CA4" w:rsidP="00E55846">
            <w:pPr>
              <w:jc w:val="both"/>
              <w:rPr>
                <w:color w:val="000000" w:themeColor="text1"/>
              </w:rPr>
            </w:pPr>
            <w:r w:rsidRPr="00516C74">
              <w:rPr>
                <w:b/>
                <w:color w:val="000000" w:themeColor="text1"/>
              </w:rPr>
              <w:t xml:space="preserve">4. Punctele 035 </w:t>
            </w:r>
            <w:r w:rsidR="00C93EBB" w:rsidRPr="00516C74">
              <w:rPr>
                <w:b/>
                <w:color w:val="000000" w:themeColor="text1"/>
              </w:rPr>
              <w:t>–</w:t>
            </w:r>
            <w:r w:rsidRPr="00516C74">
              <w:rPr>
                <w:b/>
                <w:color w:val="000000" w:themeColor="text1"/>
              </w:rPr>
              <w:t xml:space="preserve"> </w:t>
            </w:r>
            <w:r w:rsidR="00C93EBB" w:rsidRPr="00516C74">
              <w:rPr>
                <w:b/>
                <w:color w:val="000000" w:themeColor="text1"/>
              </w:rPr>
              <w:t>050</w:t>
            </w:r>
            <w:r w:rsidR="00C93EBB" w:rsidRPr="005B364E">
              <w:rPr>
                <w:color w:val="000000" w:themeColor="text1"/>
              </w:rPr>
              <w:t xml:space="preserve"> nu corespund practicii actuale, în care frecvențele se coordonează și planifică în conformitate cu procedurile stabilite pentru regiunea europeană și aprobate în cadrul ședințelor grupurilor de lucru (OACI FMG, EUROCONTROL RAFT) pentru coordonarea frecvențelor, prezentate în următoarele documente: EUR Doc. 011, OACI - Manualul de coordonare (managementul) a frecvențelor în regiunea EUR, EUROCONTROL RAFT Manual, Doc. 9718 OACI - Manualul privind spectrul frecvențelor radio atribuite aviației civile.  </w:t>
            </w:r>
            <w:r w:rsidR="003B1DA6" w:rsidRPr="005B364E">
              <w:rPr>
                <w:sz w:val="20"/>
                <w:szCs w:val="20"/>
              </w:rPr>
              <w:t> </w:t>
            </w: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lastRenderedPageBreak/>
              <w:t>2. Stabilirea obiectivelor</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a) Expuneţi obiectivele (care trebuie să fie legate direct de problemă şi cauzele acesteia, formulate cuantificat, măsurabil, fixat în timp şi realist)</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E55846" w:rsidRPr="005B364E" w:rsidRDefault="003B1DA6" w:rsidP="00E55846">
            <w:pPr>
              <w:autoSpaceDE w:val="0"/>
              <w:autoSpaceDN w:val="0"/>
              <w:adjustRightInd w:val="0"/>
              <w:ind w:firstLine="567"/>
              <w:jc w:val="both"/>
            </w:pPr>
            <w:r w:rsidRPr="005B364E">
              <w:rPr>
                <w:sz w:val="20"/>
                <w:szCs w:val="20"/>
              </w:rPr>
              <w:t> </w:t>
            </w:r>
            <w:r w:rsidR="001446AC" w:rsidRPr="005B364E">
              <w:t>P</w:t>
            </w:r>
            <w:r w:rsidR="001446AC" w:rsidRPr="005B364E">
              <w:rPr>
                <w:color w:val="000000" w:themeColor="text1"/>
              </w:rPr>
              <w:t xml:space="preserve">roiectul RAC – ATE supus aprobării, are menirea de a actualiza cadrul normativ aplicabil </w:t>
            </w:r>
            <w:r w:rsidR="001446AC" w:rsidRPr="005B364E">
              <w:t>procesului de  înregistrare a emițătoarelor radio inclusiv prevederi ce țin de emiterea, modificarea, retragerea/anula</w:t>
            </w:r>
            <w:r w:rsidR="00987369">
              <w:t>rea autorizației de exploatare/</w:t>
            </w:r>
            <w:r w:rsidR="001446AC" w:rsidRPr="005B364E">
              <w:t xml:space="preserve">utilizare a emițătoarelor radio și urmărește </w:t>
            </w:r>
            <w:r w:rsidR="00235F7C" w:rsidRPr="005B364E">
              <w:t>realizarea următoarelor obiective:</w:t>
            </w:r>
          </w:p>
          <w:p w:rsidR="001446AC" w:rsidRPr="005B364E" w:rsidRDefault="00235F7C" w:rsidP="00235F7C">
            <w:pPr>
              <w:autoSpaceDE w:val="0"/>
              <w:autoSpaceDN w:val="0"/>
              <w:adjustRightInd w:val="0"/>
              <w:ind w:firstLine="567"/>
              <w:jc w:val="both"/>
              <w:rPr>
                <w:lang w:eastAsia="ru-RU"/>
              </w:rPr>
            </w:pPr>
            <w:r w:rsidRPr="005B364E">
              <w:rPr>
                <w:lang w:eastAsia="ru-RU"/>
              </w:rPr>
              <w:t>- p</w:t>
            </w:r>
            <w:r w:rsidR="001446AC" w:rsidRPr="005B364E">
              <w:rPr>
                <w:lang w:eastAsia="ru-RU"/>
              </w:rPr>
              <w:t xml:space="preserve">osibilitatea emiterii </w:t>
            </w:r>
            <w:r w:rsidRPr="005B364E">
              <w:rPr>
                <w:lang w:eastAsia="ru-RU"/>
              </w:rPr>
              <w:t>a</w:t>
            </w:r>
            <w:r w:rsidR="001446AC" w:rsidRPr="005B364E">
              <w:rPr>
                <w:lang w:eastAsia="ru-RU"/>
              </w:rPr>
              <w:t xml:space="preserve">utorizațiilor pentru utilizarea frecvențelor și menținerea bazei de date a acestor </w:t>
            </w:r>
            <w:r w:rsidRPr="005B364E">
              <w:rPr>
                <w:lang w:eastAsia="ru-RU"/>
              </w:rPr>
              <w:t>a</w:t>
            </w:r>
            <w:r w:rsidR="001446AC" w:rsidRPr="005B364E">
              <w:rPr>
                <w:lang w:eastAsia="ru-RU"/>
              </w:rPr>
              <w:t>utorizații și frecvențelor alocat</w:t>
            </w:r>
            <w:r w:rsidRPr="005B364E">
              <w:rPr>
                <w:lang w:eastAsia="ru-RU"/>
              </w:rPr>
              <w:t>e;</w:t>
            </w:r>
          </w:p>
          <w:p w:rsidR="00E55846" w:rsidRPr="005B364E" w:rsidRDefault="00235F7C" w:rsidP="00235F7C">
            <w:pPr>
              <w:autoSpaceDE w:val="0"/>
              <w:autoSpaceDN w:val="0"/>
              <w:adjustRightInd w:val="0"/>
              <w:ind w:firstLine="567"/>
              <w:jc w:val="both"/>
              <w:rPr>
                <w:lang w:eastAsia="ru-RU"/>
              </w:rPr>
            </w:pPr>
            <w:r w:rsidRPr="005B364E">
              <w:rPr>
                <w:lang w:eastAsia="ru-RU"/>
              </w:rPr>
              <w:t>- po</w:t>
            </w:r>
            <w:r w:rsidR="001446AC" w:rsidRPr="005B364E">
              <w:rPr>
                <w:lang w:eastAsia="ru-RU"/>
              </w:rPr>
              <w:t xml:space="preserve">sibilitatea emiterii </w:t>
            </w:r>
            <w:r w:rsidRPr="005B364E">
              <w:rPr>
                <w:lang w:eastAsia="ru-RU"/>
              </w:rPr>
              <w:t>a</w:t>
            </w:r>
            <w:r w:rsidR="001446AC" w:rsidRPr="005B364E">
              <w:rPr>
                <w:lang w:eastAsia="ru-RU"/>
              </w:rPr>
              <w:t>utorizațiilor pentru exploatarea emițătoarelor radio cu termen nelimitat (în cazul emițătoarelor la sol) și cu termenul conectat la perioada de valabilitate a Certificatului de Navigabilitate pentru emițătoarele de la bordul aeronavelor</w:t>
            </w:r>
            <w:r w:rsidRPr="005B364E">
              <w:rPr>
                <w:lang w:eastAsia="ru-RU"/>
              </w:rPr>
              <w:t>.</w:t>
            </w:r>
          </w:p>
          <w:p w:rsidR="003B1DA6" w:rsidRPr="005B364E" w:rsidRDefault="00235F7C" w:rsidP="002602A8">
            <w:pPr>
              <w:autoSpaceDE w:val="0"/>
              <w:autoSpaceDN w:val="0"/>
              <w:adjustRightInd w:val="0"/>
              <w:ind w:firstLine="567"/>
              <w:jc w:val="both"/>
              <w:rPr>
                <w:lang w:eastAsia="ru-RU"/>
              </w:rPr>
            </w:pPr>
            <w:r w:rsidRPr="005B364E">
              <w:rPr>
                <w:lang w:eastAsia="ru-RU"/>
              </w:rPr>
              <w:t xml:space="preserve">- ajustarea procedurilor </w:t>
            </w:r>
            <w:r w:rsidR="006508CE" w:rsidRPr="005B364E">
              <w:rPr>
                <w:lang w:eastAsia="ru-RU"/>
              </w:rPr>
              <w:t>cu privire la modul de înregistrare a emițătoarelor radio și de acordare a autorizației de exploatare/utilizare inclusiv</w:t>
            </w:r>
            <w:r w:rsidR="00C23319" w:rsidRPr="005B364E">
              <w:rPr>
                <w:lang w:eastAsia="ru-RU"/>
              </w:rPr>
              <w:t xml:space="preserve">, modificarea, anularea acordarea </w:t>
            </w:r>
            <w:r w:rsidR="00C23319" w:rsidRPr="005B364E">
              <w:rPr>
                <w:lang w:eastAsia="ru-RU"/>
              </w:rPr>
              <w:lastRenderedPageBreak/>
              <w:t>duplicatului și</w:t>
            </w:r>
            <w:r w:rsidR="006508CE" w:rsidRPr="005B364E">
              <w:rPr>
                <w:lang w:eastAsia="ru-RU"/>
              </w:rPr>
              <w:t xml:space="preserve"> termenii de valabilitate cu prevederile normative aplicabile;</w:t>
            </w:r>
            <w:r w:rsidR="003B1DA6" w:rsidRPr="005B364E">
              <w:rPr>
                <w:sz w:val="20"/>
                <w:szCs w:val="20"/>
              </w:rPr>
              <w:t> </w:t>
            </w: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lastRenderedPageBreak/>
              <w:t>3. Identificarea opţiunilor</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a) Expuneţi succint opţiunea „a nu face nimic”, care presupune lipsa de intervenţie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9D6344" w:rsidRPr="005B364E" w:rsidRDefault="003B1DA6" w:rsidP="00BD1D62">
            <w:pPr>
              <w:jc w:val="both"/>
              <w:rPr>
                <w:bCs/>
              </w:rPr>
            </w:pPr>
            <w:r w:rsidRPr="005B364E">
              <w:rPr>
                <w:sz w:val="20"/>
                <w:szCs w:val="20"/>
              </w:rPr>
              <w:t> </w:t>
            </w:r>
            <w:r w:rsidR="000B0DAA" w:rsidRPr="005B364E">
              <w:rPr>
                <w:sz w:val="20"/>
                <w:szCs w:val="20"/>
              </w:rPr>
              <w:t xml:space="preserve">        </w:t>
            </w:r>
            <w:r w:rsidR="000B0DAA" w:rsidRPr="005B364E">
              <w:t>Opțiunea „</w:t>
            </w:r>
            <w:r w:rsidR="000B0DAA" w:rsidRPr="005B364E">
              <w:rPr>
                <w:b/>
              </w:rPr>
              <w:t>a nu face nimic</w:t>
            </w:r>
            <w:r w:rsidR="000B0DAA" w:rsidRPr="005B364E">
              <w:t xml:space="preserve">” </w:t>
            </w:r>
            <w:r w:rsidR="000B0DAA" w:rsidRPr="005B364E">
              <w:rPr>
                <w:bCs/>
              </w:rPr>
              <w:t>– prevede lipsa intervenției propuse și anume lipsa proiectul</w:t>
            </w:r>
            <w:r w:rsidR="00A17520">
              <w:rPr>
                <w:bCs/>
              </w:rPr>
              <w:t>ui</w:t>
            </w:r>
            <w:r w:rsidR="000B0DAA" w:rsidRPr="005B364E">
              <w:rPr>
                <w:bCs/>
              </w:rPr>
              <w:t xml:space="preserve"> Reglementărilor Aeronautice Civile  „</w:t>
            </w:r>
            <w:r w:rsidR="009D6344" w:rsidRPr="005B364E">
              <w:rPr>
                <w:bCs/>
              </w:rPr>
              <w:t xml:space="preserve">cu privire la înregistrarea emițătoarelor radio, perfectarea şi acordarea Autorizației de exploatare a acestora. Coordonarea frecvențelor şi acordarea Autorizației de utilizare a acestora” </w:t>
            </w:r>
          </w:p>
          <w:p w:rsidR="000B0DAA" w:rsidRPr="005B364E" w:rsidRDefault="000B0DAA" w:rsidP="00516C74">
            <w:pPr>
              <w:ind w:firstLine="651"/>
              <w:jc w:val="both"/>
              <w:rPr>
                <w:bCs/>
              </w:rPr>
            </w:pPr>
            <w:r w:rsidRPr="005B364E">
              <w:rPr>
                <w:bCs/>
              </w:rPr>
              <w:t>Lipsa unei intervenții din partea statului va genera</w:t>
            </w:r>
            <w:r w:rsidR="00A17520">
              <w:rPr>
                <w:bCs/>
              </w:rPr>
              <w:t xml:space="preserve"> în continuare un gra</w:t>
            </w:r>
            <w:r w:rsidR="009D6344" w:rsidRPr="005B364E">
              <w:rPr>
                <w:bCs/>
              </w:rPr>
              <w:t xml:space="preserve">d sporit de incertitudine legat de procesele de acordare a autorizațiilor, inclusiv procedurilor subsecvente acesteia, pe de o parte,  prin lipsa unor reglementări clare pe anumite domenii, pe de altă parte prin necorespunderea cu prevederile normative aplicabile. </w:t>
            </w:r>
          </w:p>
          <w:p w:rsidR="003B1DA6" w:rsidRPr="005B364E" w:rsidRDefault="00BD1D62" w:rsidP="00BD1D62">
            <w:pPr>
              <w:pStyle w:val="a5"/>
              <w:rPr>
                <w:sz w:val="20"/>
                <w:szCs w:val="20"/>
              </w:rPr>
            </w:pPr>
            <w:r w:rsidRPr="005B364E">
              <w:rPr>
                <w:bCs/>
              </w:rPr>
              <w:t xml:space="preserve">Astfel, </w:t>
            </w:r>
            <w:r w:rsidR="000B0DAA" w:rsidRPr="005B364E">
              <w:rPr>
                <w:bCs/>
              </w:rPr>
              <w:t>AAC, urmând obiectivul de</w:t>
            </w:r>
            <w:r w:rsidRPr="005B364E">
              <w:rPr>
                <w:bCs/>
              </w:rPr>
              <w:t xml:space="preserve"> nu opri și/sau limita procesul de acordare a autorizațiilor va fi impusă în continuare să </w:t>
            </w:r>
            <w:r w:rsidR="00A564C0" w:rsidRPr="005B364E">
              <w:rPr>
                <w:bCs/>
              </w:rPr>
              <w:t>aplice întocmai prevederile învechite ale RAC – ATE (ediția veche).</w:t>
            </w:r>
            <w:r w:rsidR="003B1DA6" w:rsidRPr="005B364E">
              <w:rPr>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b) Expuneţi principalele prevederi ale proiectului, cu impact, explicînd cum acestea ţintesc cauzele problemei, cu indicarea novaţiilor şi întregului spectru de soluţii/drepturi/obligaţii ce se doresc să fie aprobate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0B0761" w:rsidRPr="005B364E" w:rsidRDefault="003B1DA6" w:rsidP="00D60DEB">
            <w:pPr>
              <w:pStyle w:val="a5"/>
            </w:pPr>
            <w:r w:rsidRPr="005B364E">
              <w:t> </w:t>
            </w:r>
            <w:r w:rsidR="00A564C0" w:rsidRPr="005B364E">
              <w:t xml:space="preserve">Proiectul reglementărilor aeronautice civile </w:t>
            </w:r>
            <w:r w:rsidR="00D60DEB" w:rsidRPr="005B364E">
              <w:t>are menirea de a actualiza cadrul normativ aplicabil procesului de  înregistrare a emițătoarelor radio inclusiv prevederi ce țin de emiterea, modificarea, retragerea/anula</w:t>
            </w:r>
            <w:r w:rsidR="00A17520">
              <w:t>rea autorizației de exploatare/</w:t>
            </w:r>
            <w:r w:rsidR="00D60DEB" w:rsidRPr="005B364E">
              <w:t xml:space="preserve">utilizare a emițătoarelor radio. </w:t>
            </w:r>
          </w:p>
          <w:p w:rsidR="00D60DEB" w:rsidRPr="005B364E" w:rsidRDefault="00D60DEB" w:rsidP="00D60DEB">
            <w:pPr>
              <w:pStyle w:val="a5"/>
            </w:pPr>
            <w:r w:rsidRPr="005B364E">
              <w:t>Aspectul inovativ al proiectului actului normativ îl consti</w:t>
            </w:r>
            <w:r w:rsidR="00A17520">
              <w:t>tuie prezența reglementărilor/</w:t>
            </w:r>
            <w:r w:rsidRPr="005B364E">
              <w:t>procedurilor specifice cu privire la managementul frecvențelor radio/ coordonarea frecvențelor atribuite serviciilor, cât și ajustarea termenelor de valabilitate aplicabile acestor tipuri de autorizații, fiind reglementată pentru emițătoarele radio instalate și utilizate la bordul aeronavelor conexiunea logică între termenul de valabilitate a autorizației și termenul de valabilitate a Certificatului de Navigabilitate. Autorizația de exploatare/utilizare a emițătoarelor radio la sol fiind emisă pentru o perioadă nelimitată.</w:t>
            </w:r>
          </w:p>
          <w:p w:rsidR="00D60DEB" w:rsidRPr="005B364E" w:rsidRDefault="00D60DEB" w:rsidP="00D60DEB">
            <w:pPr>
              <w:pStyle w:val="a5"/>
            </w:pPr>
            <w:r w:rsidRPr="005B364E">
              <w:t>La nivel desfășurat, proiectul RAC – ATE propus urmărește implementarea prevederilor ce reglementează:</w:t>
            </w:r>
          </w:p>
          <w:p w:rsidR="00D60DEB" w:rsidRPr="005B364E" w:rsidRDefault="00D60DEB" w:rsidP="00D60DEB">
            <w:pPr>
              <w:pStyle w:val="a5"/>
            </w:pPr>
            <w:r w:rsidRPr="005B364E">
              <w:t>-</w:t>
            </w:r>
            <w:r w:rsidRPr="005B364E">
              <w:tab/>
              <w:t>Aplicabilitatea și scopul acestor cerințe tehnice;</w:t>
            </w:r>
          </w:p>
          <w:p w:rsidR="00D60DEB" w:rsidRPr="005B364E" w:rsidRDefault="00D60DEB" w:rsidP="00D60DEB">
            <w:pPr>
              <w:pStyle w:val="a5"/>
            </w:pPr>
            <w:r w:rsidRPr="005B364E">
              <w:t>-</w:t>
            </w:r>
            <w:r w:rsidRPr="005B364E">
              <w:tab/>
              <w:t>Coordonarea frecvențelor</w:t>
            </w:r>
            <w:r w:rsidR="00B44D82" w:rsidRPr="005B364E">
              <w:t xml:space="preserve"> –</w:t>
            </w:r>
            <w:r w:rsidR="00AD619C" w:rsidRPr="005B364E">
              <w:t xml:space="preserve"> aspecte noi reglementate</w:t>
            </w:r>
            <w:r w:rsidR="00492389" w:rsidRPr="005B364E">
              <w:t xml:space="preserve"> - </w:t>
            </w:r>
            <w:r w:rsidR="00B44D82" w:rsidRPr="005B364E">
              <w:t xml:space="preserve">care </w:t>
            </w:r>
            <w:r w:rsidR="00492389" w:rsidRPr="005B364E">
              <w:t>sunt</w:t>
            </w:r>
            <w:r w:rsidR="00B44D82" w:rsidRPr="005B364E">
              <w:t xml:space="preserve"> realizat</w:t>
            </w:r>
            <w:r w:rsidR="00492389" w:rsidRPr="005B364E">
              <w:t>e</w:t>
            </w:r>
            <w:r w:rsidR="00B44D82" w:rsidRPr="005B364E">
              <w:t xml:space="preserve"> prin intermediul unui manager național al frecvențelor aeronautice. Totodată este clar reglementat faptul </w:t>
            </w:r>
            <w:r w:rsidR="00777C71" w:rsidRPr="005B364E">
              <w:t>că planificarea și coordonarea frecvențelor se realizează în conformitate cu procedurile stabilite</w:t>
            </w:r>
            <w:r w:rsidR="003C06C3" w:rsidRPr="005B364E">
              <w:t xml:space="preserve"> în următoarele documente: EUR Doc. 011, OACI - Manualul de coordonare (managementul) a frecvențelor în regiunea EUR, EUROCONTROL RAFT Manual, Doc. 9718 OACI - Manualul privind spectrul frecvențelor radio atribuite aviației civile</w:t>
            </w:r>
            <w:r w:rsidRPr="005B364E">
              <w:t>;</w:t>
            </w:r>
          </w:p>
          <w:p w:rsidR="00A74DA0" w:rsidRPr="005B364E" w:rsidRDefault="00D60DEB" w:rsidP="00D60DEB">
            <w:pPr>
              <w:pStyle w:val="a5"/>
            </w:pPr>
            <w:r w:rsidRPr="005B364E">
              <w:t>-</w:t>
            </w:r>
            <w:r w:rsidRPr="005B364E">
              <w:tab/>
            </w:r>
            <w:r w:rsidR="00A74DA0" w:rsidRPr="005B364E">
              <w:t>Reglementarea clară și unitară ce ține de c</w:t>
            </w:r>
            <w:r w:rsidRPr="005B364E">
              <w:t>odificarea  ELT</w:t>
            </w:r>
            <w:r w:rsidR="00A74DA0" w:rsidRPr="005B364E">
              <w:t xml:space="preserve"> (</w:t>
            </w:r>
            <w:r w:rsidR="008B4311" w:rsidRPr="005B364E">
              <w:t xml:space="preserve">Transmițător automat de localizare pentru situații de urgență - </w:t>
            </w:r>
            <w:r w:rsidR="00A74DA0" w:rsidRPr="005B364E">
              <w:rPr>
                <w:i/>
              </w:rPr>
              <w:t>EMERGENCY LOCATOR TRANSMITTER</w:t>
            </w:r>
            <w:r w:rsidR="00A74DA0" w:rsidRPr="005B364E">
              <w:t xml:space="preserve">) – prin cadrul noilor reglementări se instituie prevederi unitare cu privire la acordarea </w:t>
            </w:r>
            <w:r w:rsidR="00594591" w:rsidRPr="005B364E">
              <w:t xml:space="preserve">codurilor ELT, acestea nefiind reglementate expres într-un astfel de act normativ, dar totuși fiind obligatorii conform practicii internaționale. </w:t>
            </w:r>
          </w:p>
          <w:p w:rsidR="00D60DEB" w:rsidRPr="005B364E" w:rsidRDefault="00D60DEB" w:rsidP="00D60DEB">
            <w:pPr>
              <w:pStyle w:val="a5"/>
            </w:pPr>
            <w:r w:rsidRPr="005B364E">
              <w:t>-</w:t>
            </w:r>
            <w:r w:rsidRPr="005B364E">
              <w:tab/>
              <w:t>Cerințe față de persoanele care exploatează/utilizează emițătoare radio;</w:t>
            </w:r>
          </w:p>
          <w:p w:rsidR="00A27062" w:rsidRPr="005B364E" w:rsidRDefault="00D60DEB" w:rsidP="00A27062">
            <w:pPr>
              <w:ind w:firstLine="507"/>
              <w:jc w:val="both"/>
            </w:pPr>
            <w:r w:rsidRPr="005B364E">
              <w:t>-</w:t>
            </w:r>
            <w:r w:rsidRPr="005B364E">
              <w:tab/>
              <w:t>Termenii și modul de înregistrare a emițătoarelor radio și de acordare a autorizației de exploatare/utilizare</w:t>
            </w:r>
            <w:r w:rsidR="00A916A9" w:rsidRPr="005B364E">
              <w:t xml:space="preserve"> (certificatele și autorizațiile se emit cu termen nelimitat,</w:t>
            </w:r>
            <w:r w:rsidR="00A27062" w:rsidRPr="005B364E">
              <w:t xml:space="preserve"> sau în funcție de certificatele de navigabilitate,</w:t>
            </w:r>
            <w:r w:rsidR="00A916A9" w:rsidRPr="005B364E">
              <w:t xml:space="preserve"> iar </w:t>
            </w:r>
            <w:r w:rsidR="00E867F8" w:rsidRPr="005B364E">
              <w:t>AAC</w:t>
            </w:r>
            <w:r w:rsidR="00A916A9" w:rsidRPr="005B364E">
              <w:t xml:space="preserve"> dispun</w:t>
            </w:r>
            <w:r w:rsidR="00E867F8" w:rsidRPr="005B364E">
              <w:t>e</w:t>
            </w:r>
            <w:r w:rsidR="00A916A9" w:rsidRPr="005B364E">
              <w:t xml:space="preserve"> de pârghiile necesare pentru suspendarea și revocare certificatelor și autorizațiilor emise</w:t>
            </w:r>
            <w:r w:rsidR="00A27062" w:rsidRPr="005B364E">
              <w:t>);</w:t>
            </w:r>
          </w:p>
          <w:p w:rsidR="00D60DEB" w:rsidRPr="005B364E" w:rsidRDefault="00D60DEB" w:rsidP="00A27062">
            <w:pPr>
              <w:ind w:firstLine="507"/>
              <w:jc w:val="both"/>
              <w:rPr>
                <w:rFonts w:eastAsiaTheme="minorHAnsi"/>
              </w:rPr>
            </w:pPr>
            <w:r w:rsidRPr="005B364E">
              <w:t>-</w:t>
            </w:r>
            <w:r w:rsidRPr="005B364E">
              <w:tab/>
              <w:t>Introducerea modificărilor în autorizație;</w:t>
            </w:r>
          </w:p>
          <w:p w:rsidR="00D60DEB" w:rsidRPr="005B364E" w:rsidRDefault="00D60DEB" w:rsidP="00D60DEB">
            <w:pPr>
              <w:pStyle w:val="a5"/>
            </w:pPr>
            <w:r w:rsidRPr="005B364E">
              <w:lastRenderedPageBreak/>
              <w:t>-</w:t>
            </w:r>
            <w:r w:rsidRPr="005B364E">
              <w:tab/>
              <w:t>Acordarea duplicatului autorizației;</w:t>
            </w:r>
          </w:p>
          <w:p w:rsidR="00D60DEB" w:rsidRPr="005B364E" w:rsidRDefault="00D60DEB" w:rsidP="00D60DEB">
            <w:pPr>
              <w:pStyle w:val="a5"/>
            </w:pPr>
            <w:r w:rsidRPr="005B364E">
              <w:t>-</w:t>
            </w:r>
            <w:r w:rsidRPr="005B364E">
              <w:tab/>
              <w:t>Anu</w:t>
            </w:r>
            <w:r w:rsidR="00A17520">
              <w:t>larea autorizației, suspendarea</w:t>
            </w:r>
            <w:r w:rsidRPr="005B364E">
              <w:t>/reînnoirea termenului de valabilitate a acesteia</w:t>
            </w:r>
            <w:r w:rsidR="00A17520">
              <w:t xml:space="preserve"> (în cazul </w:t>
            </w:r>
            <w:r w:rsidR="00A27062" w:rsidRPr="005B364E">
              <w:t xml:space="preserve"> </w:t>
            </w:r>
            <w:r w:rsidR="00A17520">
              <w:t>c</w:t>
            </w:r>
            <w:r w:rsidR="00A27062" w:rsidRPr="005B364E">
              <w:t>are certificatele de navigabilitate sunt reînnoite)</w:t>
            </w:r>
            <w:r w:rsidRPr="005B364E">
              <w:t>;</w:t>
            </w:r>
          </w:p>
          <w:p w:rsidR="00D60DEB" w:rsidRPr="005B364E" w:rsidRDefault="00D60DEB" w:rsidP="00D60DEB">
            <w:pPr>
              <w:pStyle w:val="a5"/>
            </w:pPr>
            <w:r w:rsidRPr="005B364E">
              <w:t>-</w:t>
            </w:r>
            <w:r w:rsidRPr="005B364E">
              <w:tab/>
              <w:t>Asignarea semnalului de identificare sau de apel;</w:t>
            </w:r>
          </w:p>
          <w:p w:rsidR="003B1DA6" w:rsidRPr="005B364E" w:rsidRDefault="00D60DEB" w:rsidP="00D60DEB">
            <w:pPr>
              <w:pStyle w:val="a5"/>
            </w:pPr>
            <w:r w:rsidRPr="005B364E">
              <w:t>-</w:t>
            </w:r>
            <w:r w:rsidRPr="005B364E">
              <w:tab/>
              <w:t>Controlul asupra exploatării/utilizării emițătoarelor radio.</w:t>
            </w:r>
          </w:p>
          <w:p w:rsidR="003B1DA6" w:rsidRPr="005B364E" w:rsidRDefault="003B1DA6">
            <w:pPr>
              <w:pStyle w:val="a5"/>
              <w:rPr>
                <w:sz w:val="20"/>
                <w:szCs w:val="20"/>
              </w:rPr>
            </w:pPr>
            <w:r w:rsidRPr="005B364E">
              <w:rPr>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lastRenderedPageBreak/>
              <w:t>c) Expuneţi opţiunile alternative analizate sau explicaţi motivul de ce acestea nu au fost luate în considerare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pStyle w:val="a5"/>
            </w:pPr>
            <w:r w:rsidRPr="005B364E">
              <w:t> </w:t>
            </w:r>
            <w:r w:rsidR="003D1873" w:rsidRPr="005B364E">
              <w:t xml:space="preserve">O opțiune alternativă ar fi amendarea prevederilor actuale ale RAC – ATE, </w:t>
            </w:r>
            <w:r w:rsidR="00783A7C" w:rsidRPr="005B364E">
              <w:t xml:space="preserve">însă aici evidențiem </w:t>
            </w:r>
            <w:r w:rsidR="00BC60CB" w:rsidRPr="005B364E">
              <w:t>următoarele</w:t>
            </w:r>
            <w:r w:rsidR="00783A7C" w:rsidRPr="005B364E">
              <w:t xml:space="preserve"> im</w:t>
            </w:r>
            <w:r w:rsidR="00BC60CB" w:rsidRPr="005B364E">
              <w:t xml:space="preserve">pedimente: </w:t>
            </w:r>
          </w:p>
          <w:p w:rsidR="00BC60CB" w:rsidRPr="005B364E" w:rsidRDefault="00BC60CB" w:rsidP="00BC60CB">
            <w:pPr>
              <w:pStyle w:val="a5"/>
            </w:pPr>
            <w:r w:rsidRPr="005B364E">
              <w:t xml:space="preserve">- Impediment de ordin </w:t>
            </w:r>
            <w:r w:rsidR="000B5893" w:rsidRPr="005B364E">
              <w:t>instituțional</w:t>
            </w:r>
            <w:r w:rsidRPr="005B364E">
              <w:t>:</w:t>
            </w:r>
          </w:p>
          <w:p w:rsidR="00BC60CB" w:rsidRPr="005B364E" w:rsidRDefault="00BC60CB" w:rsidP="00BC60CB">
            <w:pPr>
              <w:pStyle w:val="a5"/>
            </w:pPr>
            <w:r w:rsidRPr="005B364E">
              <w:t xml:space="preserve">Actualele reglementări au fost elaborate de către Administrația de Stat a Aviației Civile, </w:t>
            </w:r>
            <w:r w:rsidR="005F652D" w:rsidRPr="005B364E">
              <w:t xml:space="preserve">(denumită în continuare ASAC), </w:t>
            </w:r>
            <w:r w:rsidRPr="005B364E">
              <w:t>care a fost lichidată</w:t>
            </w:r>
            <w:r w:rsidR="00EB7446" w:rsidRPr="005B364E">
              <w:t xml:space="preserve"> </w:t>
            </w:r>
            <w:r w:rsidR="00656313" w:rsidRPr="005B364E">
              <w:t>în 2012,</w:t>
            </w:r>
            <w:r w:rsidRPr="005B364E">
              <w:t xml:space="preserve"> nefiind stabilit succesorul de drepturi,</w:t>
            </w:r>
            <w:r w:rsidR="00656313" w:rsidRPr="005B364E">
              <w:t xml:space="preserve"> în sensul art. 19 alin. (2) a Legii nr.100/2017 cu privire la actele normative,</w:t>
            </w:r>
            <w:r w:rsidRPr="005B364E">
              <w:t xml:space="preserve"> prin urmare, ținând cont de prevederile </w:t>
            </w:r>
            <w:r w:rsidR="00EB7446" w:rsidRPr="005B364E">
              <w:t>art. 9, alin. (6) ale Codului aerian nr. 310/2017</w:t>
            </w:r>
            <w:r w:rsidR="00656313" w:rsidRPr="005B364E">
              <w:t xml:space="preserve">, coroborat cu prevederile </w:t>
            </w:r>
            <w:r w:rsidR="007B6BD9" w:rsidRPr="005B364E">
              <w:t xml:space="preserve">art. 5 </w:t>
            </w:r>
            <w:r w:rsidR="004612BC" w:rsidRPr="005B364E">
              <w:t>(noțiunea de reglementări aeronautice civile care definește acest tip de acte normative ca și act aprobat exclusiv de către organul central de specialitate în domeniul aviației civile (Ministerul Economiei și Infrastructurii</w:t>
            </w:r>
            <w:r w:rsidR="00276ACF">
              <w:t>)</w:t>
            </w:r>
            <w:r w:rsidR="00DA102D" w:rsidRPr="005B364E">
              <w:t xml:space="preserve">, unica soluție juridică corectă este aprobarea unor noi reglementarea aeronautice civile și abrogarea versiunii actuale ale RAC -ATE. </w:t>
            </w:r>
          </w:p>
          <w:p w:rsidR="00DA102D" w:rsidRPr="005B364E" w:rsidRDefault="003B1DA6" w:rsidP="00DA102D">
            <w:pPr>
              <w:pStyle w:val="a5"/>
            </w:pPr>
            <w:r w:rsidRPr="005B364E">
              <w:rPr>
                <w:sz w:val="20"/>
                <w:szCs w:val="20"/>
              </w:rPr>
              <w:t> </w:t>
            </w:r>
            <w:r w:rsidR="00DA102D" w:rsidRPr="005B364E">
              <w:t>- Impediment de ordin juridic:</w:t>
            </w:r>
          </w:p>
          <w:p w:rsidR="00DA102D" w:rsidRPr="005B364E" w:rsidRDefault="00DA102D" w:rsidP="00DA102D">
            <w:pPr>
              <w:pStyle w:val="a5"/>
            </w:pPr>
            <w:r w:rsidRPr="005B364E">
              <w:t xml:space="preserve">Amendarea actualelor RAC- ATE vor duce la modificarea a mai mult de 70 % din prevederile normative actuale, ceea ce </w:t>
            </w:r>
            <w:r w:rsidR="00836C83" w:rsidRPr="005B364E">
              <w:t xml:space="preserve">creează </w:t>
            </w:r>
            <w:r w:rsidR="000B5893" w:rsidRPr="005B364E">
              <w:t xml:space="preserve">premise pentru intervenirea procedurii de abrogare a actului normativ în conformitate cu prevederile art. 65 a Legii nr. 100/2017 cu privire la actele normative. </w:t>
            </w:r>
          </w:p>
          <w:p w:rsidR="000B5893" w:rsidRPr="005B364E" w:rsidRDefault="000B5893" w:rsidP="00DA102D">
            <w:pPr>
              <w:pStyle w:val="a5"/>
            </w:pPr>
            <w:r w:rsidRPr="005B364E">
              <w:t xml:space="preserve">În concluzie unica soluție viabilă este aprobarea noilor reglementări aeronautice și abrogarea ediției actuale ale  RAC – ATE. </w:t>
            </w:r>
          </w:p>
          <w:p w:rsidR="003B1DA6" w:rsidRPr="005B364E" w:rsidRDefault="003B1DA6">
            <w:pPr>
              <w:pStyle w:val="a5"/>
              <w:rPr>
                <w:sz w:val="20"/>
                <w:szCs w:val="20"/>
              </w:rPr>
            </w:pP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4. Analiza impacturilor opţiunilor</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a) Expuneţi efectele negative şi pozitive ale stării actuale şi evoluţia acestora în viitor, care vor sta la baza calculării impacturilor opţiunii recomandate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2A4C2D" w:rsidRPr="005B364E" w:rsidRDefault="002A4C2D" w:rsidP="002A4C2D">
            <w:r w:rsidRPr="005B364E">
              <w:t>Starea actuală nu se poate descrie prin anumite aspecte pozitive.</w:t>
            </w:r>
          </w:p>
          <w:p w:rsidR="003B1DA6" w:rsidRPr="005B364E" w:rsidRDefault="002A4C2D" w:rsidP="00557A53">
            <w:pPr>
              <w:jc w:val="both"/>
              <w:rPr>
                <w:color w:val="000000" w:themeColor="text1"/>
              </w:rPr>
            </w:pPr>
            <w:r w:rsidRPr="005B364E">
              <w:t>La nivel de efecte negative remarcăm</w:t>
            </w:r>
            <w:r w:rsidR="00557A53" w:rsidRPr="005B364E">
              <w:t xml:space="preserve"> lipsa unor reglementări </w:t>
            </w:r>
            <w:r w:rsidR="00E27AE6" w:rsidRPr="005B364E">
              <w:t>comprehensive</w:t>
            </w:r>
            <w:r w:rsidR="00557A53" w:rsidRPr="005B364E">
              <w:t xml:space="preserve"> cu privire la </w:t>
            </w:r>
            <w:r w:rsidR="00557A53" w:rsidRPr="005B364E">
              <w:rPr>
                <w:color w:val="000000" w:themeColor="text1"/>
              </w:rPr>
              <w:t>înregistrarea emițătoarelor radio, perfectarea și acordarea autorizației de exploatare/utilizare a acestora și anume:</w:t>
            </w:r>
          </w:p>
          <w:p w:rsidR="00E27AE6" w:rsidRPr="005B364E" w:rsidRDefault="00E27AE6" w:rsidP="00E27AE6">
            <w:pPr>
              <w:pStyle w:val="a5"/>
              <w:tabs>
                <w:tab w:val="left" w:pos="1455"/>
              </w:tabs>
            </w:pPr>
            <w:r w:rsidRPr="005B364E">
              <w:t xml:space="preserve"> - Lipsa prevederilor normative specifice cu privire la formatului de autorizație privind exploatarea emițătoarelor radio în dependența de tipul emițătorului (de la bordul aeronavei, staționar la sol, mobil la sol);</w:t>
            </w:r>
          </w:p>
          <w:p w:rsidR="00E27AE6" w:rsidRPr="005B364E" w:rsidRDefault="008050F3" w:rsidP="00E27AE6">
            <w:pPr>
              <w:pStyle w:val="a5"/>
              <w:tabs>
                <w:tab w:val="left" w:pos="1455"/>
              </w:tabs>
            </w:pPr>
            <w:r>
              <w:t xml:space="preserve"> - </w:t>
            </w:r>
            <w:r w:rsidR="00E27AE6" w:rsidRPr="005B364E">
              <w:t>Neconcordanța prevederilor normative naționale cu cadrul regulatoriu internațional care reglementează e</w:t>
            </w:r>
            <w:r>
              <w:t>xploatarea emițătoarelor radio ș</w:t>
            </w:r>
            <w:r w:rsidR="00E27AE6" w:rsidRPr="005B364E">
              <w:t>i managementul frecvențelor atribuite av</w:t>
            </w:r>
            <w:r>
              <w:t>iației civile (banda de frecvenț</w:t>
            </w:r>
            <w:r w:rsidR="00E27AE6" w:rsidRPr="005B364E">
              <w:t>e);</w:t>
            </w:r>
          </w:p>
          <w:p w:rsidR="00E27AE6" w:rsidRPr="005B364E" w:rsidRDefault="00E27AE6" w:rsidP="00E27AE6">
            <w:pPr>
              <w:pStyle w:val="a5"/>
              <w:tabs>
                <w:tab w:val="left" w:pos="1455"/>
              </w:tabs>
            </w:pPr>
            <w:r w:rsidRPr="005B364E">
              <w:t xml:space="preserve"> - Necorespunderea termenului de valabilitate a autorizațiilor pentru exploata</w:t>
            </w:r>
            <w:r w:rsidR="008050F3">
              <w:t>rea emițătoarelor radio la sol ș</w:t>
            </w:r>
            <w:r w:rsidRPr="005B364E">
              <w:t>i conectarea perioadei de valabilitate a autorizațiilor pentru exploatarea emițătoarelor radio de la bordul aeronavei cu perioada de valabilitate a Certificatului de navigabilitate;</w:t>
            </w:r>
          </w:p>
          <w:p w:rsidR="009264CB" w:rsidRDefault="00E27AE6" w:rsidP="00E27AE6">
            <w:pPr>
              <w:jc w:val="both"/>
            </w:pPr>
            <w:r w:rsidRPr="005B364E">
              <w:t xml:space="preserve">         - Lipsa unor proceduri clare și exhaustive cu privire la solicitarea, coordonarea, alocarea și autorizarea utilizării frecvențelor;</w:t>
            </w:r>
          </w:p>
          <w:p w:rsidR="00E27AE6" w:rsidRPr="005B364E" w:rsidRDefault="009264CB" w:rsidP="001003FD">
            <w:pPr>
              <w:jc w:val="both"/>
              <w:rPr>
                <w:color w:val="000000" w:themeColor="text1"/>
              </w:rPr>
            </w:pPr>
            <w:r>
              <w:t xml:space="preserve">         - </w:t>
            </w:r>
            <w:r w:rsidR="00E27AE6" w:rsidRPr="005B364E">
              <w:t>Lipsa unor măsuri de reacție și intervenție din partea statului va conserva starea actuală care nu corespunde realităților și tendințelor din cadrul domeniului av</w:t>
            </w:r>
            <w:r>
              <w:t xml:space="preserve">iației civile, și ne v-a plasa </w:t>
            </w:r>
            <w:r w:rsidR="00E27AE6" w:rsidRPr="005B364E">
              <w:t xml:space="preserve">mult în urma </w:t>
            </w:r>
            <w:r w:rsidR="006661DE" w:rsidRPr="005B364E">
              <w:t xml:space="preserve">actualelor practici aplicabile în raport cu procesul de </w:t>
            </w:r>
            <w:r w:rsidR="006661DE" w:rsidRPr="005B364E">
              <w:rPr>
                <w:color w:val="000000" w:themeColor="text1"/>
              </w:rPr>
              <w:t>înregistrare</w:t>
            </w:r>
            <w:r>
              <w:rPr>
                <w:color w:val="000000" w:themeColor="text1"/>
              </w:rPr>
              <w:t xml:space="preserve"> </w:t>
            </w:r>
            <w:r w:rsidR="006661DE" w:rsidRPr="005B364E">
              <w:rPr>
                <w:color w:val="000000" w:themeColor="text1"/>
              </w:rPr>
              <w:lastRenderedPageBreak/>
              <w:t>a emițătoarelor radio, perfectarea și acordarea autorizației de exploatare/utilizare a acestora.</w:t>
            </w:r>
          </w:p>
          <w:p w:rsidR="003B1DA6" w:rsidRPr="005B364E" w:rsidRDefault="006661DE" w:rsidP="008D44AB">
            <w:pPr>
              <w:jc w:val="both"/>
              <w:rPr>
                <w:color w:val="000000" w:themeColor="text1"/>
              </w:rPr>
            </w:pPr>
            <w:r w:rsidRPr="005B364E">
              <w:rPr>
                <w:color w:val="000000" w:themeColor="text1"/>
              </w:rPr>
              <w:t xml:space="preserve">Totodată evidențiem </w:t>
            </w:r>
            <w:r w:rsidR="001003FD" w:rsidRPr="005B364E">
              <w:rPr>
                <w:color w:val="000000" w:themeColor="text1"/>
              </w:rPr>
              <w:t xml:space="preserve">discrepanța </w:t>
            </w:r>
            <w:r w:rsidR="008D44AB" w:rsidRPr="005B364E">
              <w:rPr>
                <w:color w:val="000000" w:themeColor="text1"/>
              </w:rPr>
              <w:t xml:space="preserve">cu unele </w:t>
            </w:r>
            <w:r w:rsidRPr="005B364E">
              <w:rPr>
                <w:color w:val="000000" w:themeColor="text1"/>
              </w:rPr>
              <w:t>acte normative naționale</w:t>
            </w:r>
            <w:r w:rsidR="001003FD" w:rsidRPr="005B364E">
              <w:rPr>
                <w:color w:val="000000" w:themeColor="text1"/>
              </w:rPr>
              <w:t xml:space="preserve"> (a se vedea Hotărârea</w:t>
            </w:r>
            <w:r w:rsidR="00F97F12" w:rsidRPr="005B364E">
              <w:rPr>
                <w:color w:val="000000" w:themeColor="text1"/>
              </w:rPr>
              <w:t xml:space="preserve"> Guvernului nr. 468/2019</w:t>
            </w:r>
            <w:r w:rsidR="001003FD" w:rsidRPr="005B364E">
              <w:rPr>
                <w:color w:val="000000" w:themeColor="text1"/>
              </w:rPr>
              <w:t xml:space="preserve"> pentru aprobarea Regulamentului privind stabilirea </w:t>
            </w:r>
            <w:r w:rsidR="00781D97" w:rsidRPr="005B364E">
              <w:rPr>
                <w:color w:val="000000" w:themeColor="text1"/>
              </w:rPr>
              <w:t>cerințelor</w:t>
            </w:r>
            <w:r w:rsidR="001003FD" w:rsidRPr="005B364E">
              <w:rPr>
                <w:color w:val="000000" w:themeColor="text1"/>
              </w:rPr>
              <w:t xml:space="preserve"> şi procedurilor administrative de certificare pentru navigabilitate </w:t>
            </w:r>
            <w:r w:rsidR="00781D97" w:rsidRPr="005B364E">
              <w:rPr>
                <w:color w:val="000000" w:themeColor="text1"/>
              </w:rPr>
              <w:t>și</w:t>
            </w:r>
            <w:r w:rsidR="001003FD" w:rsidRPr="005B364E">
              <w:rPr>
                <w:color w:val="000000" w:themeColor="text1"/>
              </w:rPr>
              <w:t xml:space="preserve"> mediu a aeronavelor şi a produselor, pieselor </w:t>
            </w:r>
            <w:r w:rsidR="00781D97" w:rsidRPr="005B364E">
              <w:rPr>
                <w:color w:val="000000" w:themeColor="text1"/>
              </w:rPr>
              <w:t>și</w:t>
            </w:r>
            <w:r w:rsidR="001003FD" w:rsidRPr="005B364E">
              <w:rPr>
                <w:color w:val="000000" w:themeColor="text1"/>
              </w:rPr>
              <w:t xml:space="preserve"> echipamentelor aferente, precum </w:t>
            </w:r>
            <w:r w:rsidR="00781D97" w:rsidRPr="005B364E">
              <w:rPr>
                <w:color w:val="000000" w:themeColor="text1"/>
              </w:rPr>
              <w:t>și</w:t>
            </w:r>
            <w:r w:rsidR="001003FD" w:rsidRPr="005B364E">
              <w:rPr>
                <w:color w:val="000000" w:themeColor="text1"/>
              </w:rPr>
              <w:t xml:space="preserve"> certificarea </w:t>
            </w:r>
            <w:r w:rsidR="00781D97" w:rsidRPr="005B364E">
              <w:rPr>
                <w:color w:val="000000" w:themeColor="text1"/>
              </w:rPr>
              <w:t>organizațiilor</w:t>
            </w:r>
            <w:r w:rsidR="001003FD" w:rsidRPr="005B364E">
              <w:rPr>
                <w:color w:val="000000" w:themeColor="text1"/>
              </w:rPr>
              <w:t xml:space="preserve"> de proiectare şi </w:t>
            </w:r>
            <w:r w:rsidR="00F97F12" w:rsidRPr="005B364E">
              <w:rPr>
                <w:color w:val="000000" w:themeColor="text1"/>
              </w:rPr>
              <w:t xml:space="preserve">producție) </w:t>
            </w:r>
            <w:r w:rsidRPr="005B364E">
              <w:rPr>
                <w:color w:val="000000" w:themeColor="text1"/>
              </w:rPr>
              <w:t xml:space="preserve">cât și </w:t>
            </w:r>
            <w:r w:rsidR="008D44AB" w:rsidRPr="005B364E">
              <w:rPr>
                <w:color w:val="000000" w:themeColor="text1"/>
              </w:rPr>
              <w:t xml:space="preserve">cu </w:t>
            </w:r>
            <w:r w:rsidRPr="005B364E">
              <w:rPr>
                <w:color w:val="000000" w:themeColor="text1"/>
              </w:rPr>
              <w:t>acte</w:t>
            </w:r>
            <w:r w:rsidR="00F97F12" w:rsidRPr="005B364E">
              <w:rPr>
                <w:color w:val="000000" w:themeColor="text1"/>
              </w:rPr>
              <w:t>le</w:t>
            </w:r>
            <w:r w:rsidRPr="005B364E">
              <w:rPr>
                <w:color w:val="000000" w:themeColor="text1"/>
              </w:rPr>
              <w:t xml:space="preserve"> regulatorii comunitare</w:t>
            </w:r>
            <w:r w:rsidR="008D44AB" w:rsidRPr="005B364E">
              <w:rPr>
                <w:color w:val="000000" w:themeColor="text1"/>
              </w:rPr>
              <w:t xml:space="preserve"> (reglementează lipsa unor termeni de valabilitate expres stabiliți)</w:t>
            </w:r>
            <w:r w:rsidRPr="005B364E">
              <w:rPr>
                <w:color w:val="000000" w:themeColor="text1"/>
              </w:rPr>
              <w:t xml:space="preserve"> care conform prevederilor Acordului privind spațiul aerian comun dintre UE și RM</w:t>
            </w:r>
            <w:r w:rsidR="00F97F12" w:rsidRPr="005B364E">
              <w:rPr>
                <w:color w:val="000000" w:themeColor="text1"/>
              </w:rPr>
              <w:t xml:space="preserve">, trebuie transpuse în cadrul normativ național.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lastRenderedPageBreak/>
              <w:t>b</w:t>
            </w:r>
            <w:r w:rsidRPr="005B364E">
              <w:rPr>
                <w:rFonts w:eastAsia="Times New Roman"/>
                <w:sz w:val="20"/>
                <w:szCs w:val="20"/>
                <w:vertAlign w:val="superscript"/>
              </w:rPr>
              <w:t>1</w:t>
            </w:r>
            <w:r w:rsidRPr="005B364E">
              <w:rPr>
                <w:rFonts w:eastAsia="Times New Roman"/>
                <w:sz w:val="20"/>
                <w:szCs w:val="20"/>
              </w:rPr>
              <w:t>) Pentru opţiunea recomandată, identificaţi impacturile completînd tabelul din anexa la prezentul formular. Descrieţi pe larg impacturile sub formă de costuri sau beneficii, inclusiv părţile interesate care ar putea fi afectate pozitiv şi negativ de acestea</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57E71" w:rsidRPr="005B364E" w:rsidRDefault="003B1DA6" w:rsidP="00A57E71">
            <w:pPr>
              <w:pStyle w:val="a8"/>
              <w:jc w:val="both"/>
              <w:rPr>
                <w:lang w:val="ro-RO"/>
              </w:rPr>
            </w:pPr>
            <w:r w:rsidRPr="005B364E">
              <w:rPr>
                <w:sz w:val="20"/>
                <w:szCs w:val="20"/>
                <w:lang w:val="ro-RO"/>
              </w:rPr>
              <w:t> </w:t>
            </w:r>
            <w:r w:rsidR="00A57E71" w:rsidRPr="005B364E">
              <w:rPr>
                <w:lang w:val="ro-RO"/>
              </w:rPr>
              <w:t>Formularul a fost completat la pozițiile ce pot fi afectate de implementarea prezentului Regulament (anexă).</w:t>
            </w:r>
          </w:p>
          <w:p w:rsidR="00A57E71" w:rsidRPr="005B364E" w:rsidRDefault="00A57E71" w:rsidP="00A57E71">
            <w:pPr>
              <w:pStyle w:val="a8"/>
              <w:jc w:val="both"/>
              <w:rPr>
                <w:lang w:val="ro-RO"/>
              </w:rPr>
            </w:pPr>
            <w:r w:rsidRPr="005B364E">
              <w:rPr>
                <w:lang w:val="ro-RO"/>
              </w:rPr>
              <w:t>Categoria de impact:</w:t>
            </w:r>
          </w:p>
          <w:p w:rsidR="00A57E71" w:rsidRPr="005B364E" w:rsidRDefault="00A57E71" w:rsidP="00A57E71">
            <w:pPr>
              <w:pStyle w:val="a8"/>
              <w:jc w:val="both"/>
              <w:rPr>
                <w:lang w:val="ro-RO"/>
              </w:rPr>
            </w:pPr>
            <w:r w:rsidRPr="005B364E">
              <w:rPr>
                <w:b/>
                <w:i/>
                <w:lang w:val="ro-RO"/>
              </w:rPr>
              <w:t>Economic</w:t>
            </w:r>
            <w:r w:rsidRPr="005B364E">
              <w:rPr>
                <w:lang w:val="ro-RO"/>
              </w:rPr>
              <w:t xml:space="preserve">, </w:t>
            </w:r>
          </w:p>
          <w:p w:rsidR="003B1DA6" w:rsidRPr="005B364E" w:rsidRDefault="00A57E71" w:rsidP="00A57E71">
            <w:pPr>
              <w:pStyle w:val="a5"/>
              <w:rPr>
                <w:bCs/>
              </w:rPr>
            </w:pPr>
            <w:r w:rsidRPr="005B364E">
              <w:t xml:space="preserve">      poziția </w:t>
            </w:r>
            <w:r w:rsidRPr="005B364E">
              <w:rPr>
                <w:b/>
                <w:bCs/>
                <w:i/>
              </w:rPr>
              <w:t xml:space="preserve">costurile desfășurării afacerilor </w:t>
            </w:r>
            <w:r w:rsidRPr="005B364E">
              <w:rPr>
                <w:bCs/>
              </w:rPr>
              <w:t>a fost apreciată cu +</w:t>
            </w:r>
            <w:r w:rsidR="00695513" w:rsidRPr="005B364E">
              <w:rPr>
                <w:bCs/>
              </w:rPr>
              <w:t>2</w:t>
            </w:r>
            <w:r w:rsidRPr="005B364E">
              <w:rPr>
                <w:bCs/>
              </w:rPr>
              <w:t xml:space="preserve">, oferind posibilitatea agenților aeronautici, </w:t>
            </w:r>
            <w:r w:rsidR="003C1039" w:rsidRPr="005B364E">
              <w:rPr>
                <w:bCs/>
              </w:rPr>
              <w:t xml:space="preserve">să își desfășoare activitățile economice în  conformitate cu o planificare de lungă durată, nefiind dependenți periodic de acordarea unor autorizări, și doar asigurând condițiile de autorizare în cadrul procesului de supraveghere continuă a AAC. </w:t>
            </w:r>
          </w:p>
          <w:p w:rsidR="00695513" w:rsidRPr="005B364E" w:rsidRDefault="00695513" w:rsidP="00695513">
            <w:pPr>
              <w:jc w:val="both"/>
            </w:pPr>
            <w:r w:rsidRPr="005B364E">
              <w:t xml:space="preserve">               poziția </w:t>
            </w:r>
            <w:r w:rsidRPr="005B364E">
              <w:rPr>
                <w:b/>
                <w:i/>
              </w:rPr>
              <w:t>povara administrativă</w:t>
            </w:r>
            <w:r w:rsidRPr="005B364E">
              <w:rPr>
                <w:i/>
              </w:rPr>
              <w:t xml:space="preserve"> </w:t>
            </w:r>
            <w:r w:rsidRPr="005B364E">
              <w:t xml:space="preserve">a fost apreciată cu +2, fiind un efect direct al implementării modificărilor propuse prin prezenta </w:t>
            </w:r>
            <w:r w:rsidR="00444C62" w:rsidRPr="005B364E">
              <w:t>reglementare</w:t>
            </w:r>
            <w:r w:rsidRPr="005B364E">
              <w:t>. Așa cum a fost motivat anterior, prevederile normative,</w:t>
            </w:r>
            <w:r w:rsidR="00444C62" w:rsidRPr="005B364E">
              <w:t xml:space="preserve"> nu reglementează comprehensiv tot spectrul de activități pe care ar trebui să le desfășoare o autoritate de profil în procesul de acordare a autorizațiilor și activităților subsecvente acesteia, implementarea noilor reglementări va aduce claritate și va legifera activitățile AAC și ale agenților aeronautici</w:t>
            </w:r>
            <w:r w:rsidR="0033422E" w:rsidRPr="005B364E">
              <w:t xml:space="preserve"> în cadrul procesului de </w:t>
            </w:r>
            <w:r w:rsidR="0033422E" w:rsidRPr="005B364E">
              <w:rPr>
                <w:color w:val="000000" w:themeColor="text1"/>
              </w:rPr>
              <w:t>înregistrare a emițătoarelor radio, perfectarea și acordarea autorizației de exploatare/utilizare a acestora</w:t>
            </w:r>
            <w:r w:rsidRPr="005B364E">
              <w:t xml:space="preserve">. </w:t>
            </w:r>
          </w:p>
          <w:p w:rsidR="00695513" w:rsidRPr="005B364E" w:rsidRDefault="00695513" w:rsidP="00A57E71">
            <w:pPr>
              <w:pStyle w:val="a5"/>
              <w:rPr>
                <w:sz w:val="20"/>
                <w:szCs w:val="20"/>
              </w:rPr>
            </w:pPr>
          </w:p>
          <w:p w:rsidR="00936082" w:rsidRPr="005B364E" w:rsidRDefault="00936082" w:rsidP="00A57E71">
            <w:pPr>
              <w:pStyle w:val="a5"/>
              <w:rPr>
                <w:bCs/>
              </w:rPr>
            </w:pPr>
            <w:r w:rsidRPr="005B364E">
              <w:t xml:space="preserve">poziția </w:t>
            </w:r>
            <w:r w:rsidRPr="005B364E">
              <w:rPr>
                <w:b/>
                <w:bCs/>
                <w:i/>
              </w:rPr>
              <w:t xml:space="preserve">activitatea diferitor categorii de întreprinderi mici și mijlocii </w:t>
            </w:r>
            <w:r w:rsidRPr="005B364E">
              <w:rPr>
                <w:color w:val="000000" w:themeColor="text1"/>
              </w:rPr>
              <w:t xml:space="preserve">a fost apreciată cu valoarea +1. </w:t>
            </w:r>
            <w:r w:rsidR="003E6F85" w:rsidRPr="005B364E">
              <w:rPr>
                <w:color w:val="000000" w:themeColor="text1"/>
              </w:rPr>
              <w:t xml:space="preserve">Complementar argumentărilor prezentate la poziția </w:t>
            </w:r>
            <w:r w:rsidR="003E6F85" w:rsidRPr="005B364E">
              <w:rPr>
                <w:b/>
                <w:bCs/>
                <w:i/>
              </w:rPr>
              <w:t>costurile desfășurării afacerilor,</w:t>
            </w:r>
            <w:r w:rsidR="003E6F85" w:rsidRPr="005B364E">
              <w:rPr>
                <w:bCs/>
                <w:i/>
              </w:rPr>
              <w:t xml:space="preserve"> </w:t>
            </w:r>
            <w:r w:rsidR="003E6F85" w:rsidRPr="005B364E">
              <w:rPr>
                <w:bCs/>
              </w:rPr>
              <w:t>reglementările</w:t>
            </w:r>
            <w:r w:rsidR="003E6F85" w:rsidRPr="005B364E">
              <w:rPr>
                <w:b/>
                <w:bCs/>
              </w:rPr>
              <w:t xml:space="preserve"> </w:t>
            </w:r>
            <w:r w:rsidR="003E6F85" w:rsidRPr="005B364E">
              <w:rPr>
                <w:bCs/>
              </w:rPr>
              <w:t>propuse vin în întâmpinarea întreprinderilor cu resurse umane limitate, fiind excluse unele aspecte birocratice</w:t>
            </w:r>
            <w:r w:rsidR="00BC7AFB" w:rsidRPr="005B364E">
              <w:rPr>
                <w:bCs/>
              </w:rPr>
              <w:t xml:space="preserve"> ce țin de acordarea autorizației. </w:t>
            </w:r>
          </w:p>
          <w:p w:rsidR="00BC7AFB" w:rsidRPr="005B364E" w:rsidRDefault="00BC7AFB" w:rsidP="00A57E71">
            <w:pPr>
              <w:pStyle w:val="a5"/>
              <w:rPr>
                <w:bCs/>
              </w:rPr>
            </w:pPr>
          </w:p>
          <w:p w:rsidR="00BC7AFB" w:rsidRPr="005B364E" w:rsidRDefault="00BC7AFB" w:rsidP="00BC7AFB">
            <w:pPr>
              <w:rPr>
                <w:b/>
                <w:i/>
                <w:color w:val="000000" w:themeColor="text1"/>
              </w:rPr>
            </w:pPr>
            <w:r w:rsidRPr="005B364E">
              <w:rPr>
                <w:b/>
                <w:i/>
                <w:color w:val="000000" w:themeColor="text1"/>
              </w:rPr>
              <w:t>Social</w:t>
            </w:r>
          </w:p>
          <w:p w:rsidR="00BC7AFB" w:rsidRPr="005B364E" w:rsidRDefault="00BC7AFB" w:rsidP="00BC7AFB">
            <w:pPr>
              <w:jc w:val="both"/>
            </w:pPr>
            <w:r w:rsidRPr="005B364E">
              <w:rPr>
                <w:i/>
                <w:color w:val="000000" w:themeColor="text1"/>
              </w:rPr>
              <w:t xml:space="preserve">          </w:t>
            </w:r>
            <w:r w:rsidRPr="005B364E">
              <w:rPr>
                <w:color w:val="000000" w:themeColor="text1"/>
              </w:rPr>
              <w:t>poziția</w:t>
            </w:r>
            <w:r w:rsidRPr="005B364E">
              <w:rPr>
                <w:b/>
                <w:i/>
                <w:color w:val="000000" w:themeColor="text1"/>
              </w:rPr>
              <w:t xml:space="preserve"> sănătatea şi securitatea muncii </w:t>
            </w:r>
            <w:r w:rsidRPr="005B364E">
              <w:t>a fost apreciată cu calificativul +1,  asigurarea activității agenților aeronautici prin intermundiul noilor reglementări</w:t>
            </w:r>
            <w:r w:rsidR="00025690" w:rsidRPr="005B364E">
              <w:t xml:space="preserve">, legiferarea și reglementarea clară prin intermundiul unor acte normative a procedurilor precum codificarea ELT </w:t>
            </w:r>
            <w:r w:rsidRPr="005B364E">
              <w:t xml:space="preserve">va duce implicit </w:t>
            </w:r>
            <w:r w:rsidR="00025690" w:rsidRPr="005B364E">
              <w:t>la sporirea măsurilor de siguranță a operațiunilor aeriene.</w:t>
            </w:r>
          </w:p>
          <w:p w:rsidR="003B1DA6" w:rsidRPr="005B364E" w:rsidRDefault="00AF3690" w:rsidP="00BA3BA8">
            <w:pPr>
              <w:pStyle w:val="a5"/>
            </w:pPr>
            <w:r w:rsidRPr="005B364E">
              <w:t xml:space="preserve">poziția </w:t>
            </w:r>
            <w:r w:rsidRPr="005B364E">
              <w:rPr>
                <w:b/>
                <w:bCs/>
                <w:i/>
              </w:rPr>
              <w:t xml:space="preserve">accesul şi calitatea serviciilor publice administrative </w:t>
            </w:r>
            <w:r w:rsidRPr="005B364E">
              <w:t>a fost apreciată cu calificativul +2. Noile reglementări vor asigura o interacțiune mai eficientă dintre organul de control/certificare și agenții aeronautici, o reglementare comprehensivă asigură o limitare de impedimente și întrebări din p</w:t>
            </w:r>
            <w:r w:rsidR="00BA3BA8" w:rsidRPr="005B364E">
              <w:t>a</w:t>
            </w:r>
            <w:r w:rsidRPr="005B364E">
              <w:t>rtea agențilo</w:t>
            </w:r>
            <w:r w:rsidR="00BA3BA8" w:rsidRPr="005B364E">
              <w:t>r</w:t>
            </w:r>
            <w:r w:rsidRPr="005B364E">
              <w:t xml:space="preserve"> aeronautici</w:t>
            </w:r>
            <w:r w:rsidR="00BA3BA8" w:rsidRPr="005B364E">
              <w:t xml:space="preserve"> ceea ce v-a spori eficiența și calitatea serviciilor cordate de către AAC. </w:t>
            </w:r>
            <w:r w:rsidR="003B1DA6" w:rsidRPr="005B364E">
              <w:rPr>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b</w:t>
            </w:r>
            <w:r w:rsidRPr="005B364E">
              <w:rPr>
                <w:rFonts w:eastAsia="Times New Roman"/>
                <w:sz w:val="20"/>
                <w:szCs w:val="20"/>
                <w:vertAlign w:val="superscript"/>
              </w:rPr>
              <w:t>2</w:t>
            </w:r>
            <w:r w:rsidRPr="005B364E">
              <w:rPr>
                <w:rFonts w:eastAsia="Times New Roman"/>
                <w:sz w:val="20"/>
                <w:szCs w:val="20"/>
              </w:rPr>
              <w:t>) Pentru opţiunile alternative analizate, identificaţi impacturile completînd tabelul din anexa la prezentul formular. Descrieţi pe larg impacturile sub formă de costuri sau beneficii, inclusiv părţile interesate care ar putea fi afectate pozitiv şi negativ de acestea</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0F251B" w:rsidP="00276ACF">
            <w:pPr>
              <w:pStyle w:val="a5"/>
              <w:ind w:firstLine="0"/>
            </w:pPr>
            <w:r w:rsidRPr="005B364E">
              <w:t xml:space="preserve">Nu au fost identificate opțiuni alternative aplicabile care ar putea genera impacturi conform </w:t>
            </w:r>
            <w:r w:rsidRPr="005B364E">
              <w:lastRenderedPageBreak/>
              <w:t xml:space="preserve">anexei la prezentul formular.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lastRenderedPageBreak/>
              <w:t>c) Pentru opţiunile analizate, expuneţi cele mai relevante/iminente riscuri care pot duce la eşecul intervenţiei şi/sau schimba substanţial valoarea beneficiilor şi costurilor estimate şi prezentaţi presupuneri privind gradul de conformare cu prevederile proiectului a celor vizaţi în acesta</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0F251B" w:rsidRPr="005B364E" w:rsidRDefault="003B1DA6" w:rsidP="000F251B">
            <w:pPr>
              <w:rPr>
                <w:bCs/>
              </w:rPr>
            </w:pPr>
            <w:r w:rsidRPr="005B364E">
              <w:rPr>
                <w:sz w:val="20"/>
                <w:szCs w:val="20"/>
              </w:rPr>
              <w:t> </w:t>
            </w:r>
            <w:r w:rsidR="000F251B" w:rsidRPr="005B364E">
              <w:rPr>
                <w:bCs/>
              </w:rPr>
              <w:t>Riscurile relevante/iminente identificate care pot cauza eșecul intervenției preconizate:</w:t>
            </w:r>
          </w:p>
          <w:p w:rsidR="000F251B" w:rsidRPr="005B364E" w:rsidRDefault="000F251B" w:rsidP="000F251B">
            <w:pPr>
              <w:pStyle w:val="a9"/>
              <w:numPr>
                <w:ilvl w:val="0"/>
                <w:numId w:val="1"/>
              </w:numPr>
              <w:rPr>
                <w:bCs/>
                <w:sz w:val="24"/>
                <w:szCs w:val="24"/>
                <w:lang w:val="ro-RO"/>
              </w:rPr>
            </w:pPr>
            <w:r w:rsidRPr="005B364E">
              <w:rPr>
                <w:bCs/>
                <w:sz w:val="24"/>
                <w:szCs w:val="24"/>
                <w:lang w:val="ro-RO"/>
              </w:rPr>
              <w:t>Viziunile diferite ale autorităților publice centrale asupra problemei date;</w:t>
            </w:r>
          </w:p>
          <w:p w:rsidR="000F251B" w:rsidRPr="005B364E" w:rsidRDefault="000F251B" w:rsidP="000F251B">
            <w:pPr>
              <w:pStyle w:val="a9"/>
              <w:numPr>
                <w:ilvl w:val="0"/>
                <w:numId w:val="1"/>
              </w:numPr>
              <w:rPr>
                <w:bCs/>
                <w:sz w:val="24"/>
                <w:szCs w:val="24"/>
                <w:lang w:val="ro-RO"/>
              </w:rPr>
            </w:pPr>
            <w:r w:rsidRPr="005B364E">
              <w:rPr>
                <w:bCs/>
                <w:sz w:val="24"/>
                <w:szCs w:val="24"/>
                <w:lang w:val="ro-RO"/>
              </w:rPr>
              <w:t>Abordarea tardivă a subiectului vizat din partea unor factori de decizie;</w:t>
            </w:r>
          </w:p>
          <w:p w:rsidR="000F251B" w:rsidRPr="005B364E" w:rsidRDefault="000F251B" w:rsidP="000F251B">
            <w:pPr>
              <w:pStyle w:val="a9"/>
              <w:numPr>
                <w:ilvl w:val="0"/>
                <w:numId w:val="1"/>
              </w:numPr>
              <w:rPr>
                <w:bCs/>
                <w:sz w:val="24"/>
                <w:szCs w:val="24"/>
                <w:lang w:val="ro-RO"/>
              </w:rPr>
            </w:pPr>
            <w:r w:rsidRPr="005B364E">
              <w:rPr>
                <w:bCs/>
                <w:sz w:val="24"/>
                <w:szCs w:val="24"/>
                <w:lang w:val="ro-RO"/>
              </w:rPr>
              <w:t xml:space="preserve">Agenda guvernamentală încărcată, </w:t>
            </w:r>
            <w:r w:rsidR="000A5002" w:rsidRPr="005B364E">
              <w:rPr>
                <w:bCs/>
                <w:sz w:val="24"/>
                <w:szCs w:val="24"/>
                <w:lang w:val="ro-RO"/>
              </w:rPr>
              <w:t>aprobarea</w:t>
            </w:r>
            <w:r w:rsidRPr="005B364E">
              <w:rPr>
                <w:bCs/>
                <w:sz w:val="24"/>
                <w:szCs w:val="24"/>
                <w:lang w:val="ro-RO"/>
              </w:rPr>
              <w:t xml:space="preserve"> târzie a proiectului actului normativ;</w:t>
            </w:r>
          </w:p>
          <w:p w:rsidR="003B1DA6" w:rsidRPr="005B364E" w:rsidRDefault="003B1DA6">
            <w:pPr>
              <w:pStyle w:val="a5"/>
              <w:rPr>
                <w:sz w:val="20"/>
                <w:szCs w:val="20"/>
              </w:rPr>
            </w:pPr>
            <w:r w:rsidRPr="005B364E">
              <w:rPr>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d) Dacă este cazul, pentru opţiunea recomandată expuneţi costurile de conformare pentru întreprinderi, dacă există impact disproporţionat care poate distorsiona concurenţa şi ce impact are opţiunea asupra întreprinderilor mici şi mijlocii. Se explică dacă sînt propuse măsuri de diminuare a acestor impacturi</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8F6220" w:rsidP="00545862">
            <w:pPr>
              <w:pStyle w:val="a5"/>
              <w:rPr>
                <w:sz w:val="20"/>
                <w:szCs w:val="20"/>
              </w:rPr>
            </w:pPr>
            <w:r w:rsidRPr="005B364E">
              <w:rPr>
                <w:bCs/>
              </w:rPr>
              <w:t>Opțiunea recomandată nu implică costuri suplimentare/de conformare pentru întreprinderi și nu există impact disproporționat care poate distorsiona concurența.</w:t>
            </w:r>
            <w:r w:rsidR="003B1DA6" w:rsidRPr="005B364E">
              <w:rPr>
                <w:sz w:val="20"/>
                <w:szCs w:val="20"/>
              </w:rPr>
              <w:t> </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u w:val="single"/>
              </w:rPr>
              <w:t>Concluzie</w:t>
            </w:r>
            <w:r w:rsidRPr="005B364E">
              <w:rPr>
                <w:rFonts w:eastAsia="Times New Roman"/>
                <w:sz w:val="20"/>
                <w:szCs w:val="20"/>
              </w:rPr>
              <w:t xml:space="preserve"> </w:t>
            </w:r>
          </w:p>
          <w:p w:rsidR="003B1DA6" w:rsidRPr="005B364E" w:rsidRDefault="003B1DA6">
            <w:pPr>
              <w:pStyle w:val="lf"/>
              <w:spacing w:before="0" w:beforeAutospacing="0" w:after="0" w:afterAutospacing="0"/>
              <w:rPr>
                <w:sz w:val="20"/>
                <w:szCs w:val="20"/>
              </w:rPr>
            </w:pPr>
            <w:r w:rsidRPr="005B364E">
              <w:rPr>
                <w:sz w:val="20"/>
                <w:szCs w:val="20"/>
              </w:rPr>
              <w:t xml:space="preserve">e) </w:t>
            </w:r>
            <w:r w:rsidR="00701606" w:rsidRPr="005B364E">
              <w:rPr>
                <w:sz w:val="20"/>
                <w:szCs w:val="20"/>
              </w:rPr>
              <w:t>Argumentați</w:t>
            </w:r>
            <w:r w:rsidRPr="005B364E">
              <w:rPr>
                <w:sz w:val="20"/>
                <w:szCs w:val="20"/>
              </w:rPr>
              <w:t xml:space="preserve"> selectarea unei </w:t>
            </w:r>
            <w:r w:rsidR="00701606" w:rsidRPr="005B364E">
              <w:rPr>
                <w:sz w:val="20"/>
                <w:szCs w:val="20"/>
              </w:rPr>
              <w:t>opțiunii</w:t>
            </w:r>
            <w:r w:rsidRPr="005B364E">
              <w:rPr>
                <w:sz w:val="20"/>
                <w:szCs w:val="20"/>
              </w:rPr>
              <w:t xml:space="preserve">, în baza atingerii obiectivelor, beneficiilor şi costurilor, precum şi a asigurării celui mai mic impact negativ asupra celor </w:t>
            </w:r>
            <w:r w:rsidR="00701606" w:rsidRPr="005B364E">
              <w:rPr>
                <w:sz w:val="20"/>
                <w:szCs w:val="20"/>
              </w:rPr>
              <w:t>afectați</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BE41F4" w:rsidRDefault="00A116A6" w:rsidP="00BE41F4">
            <w:pPr>
              <w:pStyle w:val="a5"/>
            </w:pPr>
            <w:r w:rsidRPr="005B364E">
              <w:t>Reieșind din cele specificate în secțiunea cu privire la desfășurarea opțiunilor</w:t>
            </w:r>
            <w:r w:rsidR="002B6480" w:rsidRPr="005B364E">
              <w:t xml:space="preserve"> și </w:t>
            </w:r>
            <w:r w:rsidR="000C35A9" w:rsidRPr="005B364E">
              <w:t>beneficiile evidențiate</w:t>
            </w:r>
            <w:r w:rsidR="002B6480" w:rsidRPr="005B364E">
              <w:t xml:space="preserve"> (</w:t>
            </w:r>
            <w:r w:rsidR="00FD0345" w:rsidRPr="005B364E">
              <w:t xml:space="preserve">asigurarea unui cadru de activitate simplificat aplicabil agenților aeronautici </w:t>
            </w:r>
            <w:r w:rsidR="000C35A9" w:rsidRPr="005B364E">
              <w:t xml:space="preserve"> </w:t>
            </w:r>
            <w:r w:rsidR="00FD0345" w:rsidRPr="005B364E">
              <w:t>cărora</w:t>
            </w:r>
            <w:r w:rsidR="000C35A9" w:rsidRPr="005B364E">
              <w:t xml:space="preserve"> le sunt alocate frecvențe radio și care </w:t>
            </w:r>
            <w:r w:rsidR="00FD0345" w:rsidRPr="005B364E">
              <w:t>exploatează</w:t>
            </w:r>
            <w:r w:rsidR="000C35A9" w:rsidRPr="005B364E">
              <w:t xml:space="preserve"> emițătoarele radio</w:t>
            </w:r>
            <w:r w:rsidR="008B4311" w:rsidRPr="005B364E">
              <w:t>; și</w:t>
            </w:r>
            <w:r w:rsidR="000C35A9" w:rsidRPr="005B364E">
              <w:t xml:space="preserve"> </w:t>
            </w:r>
            <w:r w:rsidR="008B4311" w:rsidRPr="005B364E">
              <w:t>stabilirea cadrului</w:t>
            </w:r>
            <w:r w:rsidR="000C35A9" w:rsidRPr="005B364E">
              <w:t xml:space="preserve"> regulatoriu </w:t>
            </w:r>
            <w:r w:rsidR="008B4311" w:rsidRPr="005B364E">
              <w:t xml:space="preserve">comprehensiv </w:t>
            </w:r>
            <w:r w:rsidR="000C35A9" w:rsidRPr="005B364E">
              <w:t xml:space="preserve">pentru procesele de solicitare, coordonare, alocare și emitere a autorizațiilor pentru utilizarea frecvențelor radio din banda de frecvențe </w:t>
            </w:r>
            <w:r w:rsidR="008B4311" w:rsidRPr="005B364E">
              <w:t>alocate</w:t>
            </w:r>
            <w:r w:rsidR="000C35A9" w:rsidRPr="005B364E">
              <w:t xml:space="preserve"> aviației civile</w:t>
            </w:r>
            <w:r w:rsidR="002B6480" w:rsidRPr="005B364E">
              <w:t>)</w:t>
            </w:r>
            <w:r w:rsidR="008B4311" w:rsidRPr="005B364E">
              <w:t xml:space="preserve">, </w:t>
            </w:r>
            <w:r w:rsidRPr="005B364E">
              <w:t xml:space="preserve">se consideră rezonabilă alegerea opțiunii recomandate ce vizează aprobarea </w:t>
            </w:r>
            <w:r w:rsidR="0017339D" w:rsidRPr="005B364E">
              <w:t xml:space="preserve">reglementărilor aeronautice civile „cu privire la înregistrarea emițătoarelor radio, perfectarea </w:t>
            </w:r>
            <w:r w:rsidR="002B6480" w:rsidRPr="005B364E">
              <w:t>și</w:t>
            </w:r>
            <w:r w:rsidR="0017339D" w:rsidRPr="005B364E">
              <w:t xml:space="preserve"> acordarea Autorizației de exploatare a acestora. Coordonarea frecvențelor </w:t>
            </w:r>
            <w:r w:rsidR="002B6480" w:rsidRPr="005B364E">
              <w:t>și</w:t>
            </w:r>
            <w:r w:rsidR="0017339D" w:rsidRPr="005B364E">
              <w:t xml:space="preserve"> acordarea Autorizației de utilizare a acestora”</w:t>
            </w:r>
            <w:r w:rsidRPr="005B364E">
              <w:t>.</w:t>
            </w:r>
            <w:r w:rsidR="003B1DA6" w:rsidRPr="005B364E">
              <w:rPr>
                <w:sz w:val="20"/>
                <w:szCs w:val="20"/>
              </w:rPr>
              <w:t> </w:t>
            </w: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5. Implementarea şi monitorizarea</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 xml:space="preserve">a) </w:t>
            </w:r>
            <w:r w:rsidR="005B364E" w:rsidRPr="005B364E">
              <w:rPr>
                <w:rFonts w:eastAsia="Times New Roman"/>
                <w:sz w:val="20"/>
                <w:szCs w:val="20"/>
              </w:rPr>
              <w:t>Descrieți</w:t>
            </w:r>
            <w:r w:rsidRPr="005B364E">
              <w:rPr>
                <w:rFonts w:eastAsia="Times New Roman"/>
                <w:sz w:val="20"/>
                <w:szCs w:val="20"/>
              </w:rPr>
              <w:t xml:space="preserve"> cum va fi organizată implementarea </w:t>
            </w:r>
            <w:r w:rsidR="005B364E" w:rsidRPr="005B364E">
              <w:rPr>
                <w:rFonts w:eastAsia="Times New Roman"/>
                <w:sz w:val="20"/>
                <w:szCs w:val="20"/>
              </w:rPr>
              <w:t>opțiunii</w:t>
            </w:r>
            <w:r w:rsidRPr="005B364E">
              <w:rPr>
                <w:rFonts w:eastAsia="Times New Roman"/>
                <w:sz w:val="20"/>
                <w:szCs w:val="20"/>
              </w:rPr>
              <w:t xml:space="preserve"> recomandate, ce cadru juridic necesită a fi modificat şi/sau elaborat şi aprobat, ce schimbări </w:t>
            </w:r>
            <w:r w:rsidR="005B364E" w:rsidRPr="005B364E">
              <w:rPr>
                <w:rFonts w:eastAsia="Times New Roman"/>
                <w:sz w:val="20"/>
                <w:szCs w:val="20"/>
              </w:rPr>
              <w:t>instituționale</w:t>
            </w:r>
            <w:r w:rsidRPr="005B364E">
              <w:rPr>
                <w:rFonts w:eastAsia="Times New Roman"/>
                <w:sz w:val="20"/>
                <w:szCs w:val="20"/>
              </w:rPr>
              <w:t xml:space="preserve"> sînt necesare</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276ACF" w:rsidRDefault="0017339D" w:rsidP="00276ACF">
            <w:pPr>
              <w:pStyle w:val="a5"/>
              <w:ind w:firstLine="649"/>
            </w:pPr>
            <w:r w:rsidRPr="005B364E">
              <w:t xml:space="preserve">Implementarea prevederilor propuse se vor </w:t>
            </w:r>
            <w:r w:rsidR="004B3256" w:rsidRPr="005B364E">
              <w:t>realiza</w:t>
            </w:r>
            <w:r w:rsidRPr="005B364E">
              <w:t xml:space="preserve"> prin intermediul AA</w:t>
            </w:r>
            <w:r w:rsidR="004B3256" w:rsidRPr="005B364E">
              <w:t>C</w:t>
            </w:r>
            <w:r w:rsidRPr="005B364E">
              <w:t xml:space="preserve">, </w:t>
            </w:r>
            <w:r w:rsidR="004B3256" w:rsidRPr="005B364E">
              <w:t>totodată</w:t>
            </w:r>
            <w:r w:rsidR="00545862" w:rsidRPr="005B364E">
              <w:t xml:space="preserve"> prin dispozițiile</w:t>
            </w:r>
            <w:r w:rsidRPr="005B364E">
              <w:t xml:space="preserve"> </w:t>
            </w:r>
            <w:r w:rsidR="00545862" w:rsidRPr="005B364E">
              <w:t>O</w:t>
            </w:r>
            <w:r w:rsidR="004B3256" w:rsidRPr="005B364E">
              <w:t>rdinul</w:t>
            </w:r>
            <w:r w:rsidR="00545862" w:rsidRPr="005B364E">
              <w:t>ui de aprobare se v</w:t>
            </w:r>
            <w:r w:rsidR="00383927" w:rsidRPr="005B364E">
              <w:t xml:space="preserve">or </w:t>
            </w:r>
            <w:r w:rsidR="00545862" w:rsidRPr="005B364E">
              <w:t>abroga vechile reglementări aeronautice civile RAC – ATE (Înregistrarea emițătoarelor radio, perfectarea si acordarea Autorizației de instalare si exploatare a acestora) aprobat prin Ordinul AAC nr. 02/GEN din 03.01.2006.</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b) Indicaţi clar indicatorii de performanţă în baza cărora se va efectua monitorizarea</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pStyle w:val="a5"/>
            </w:pPr>
            <w:r w:rsidRPr="005B364E">
              <w:t> </w:t>
            </w:r>
            <w:r w:rsidR="005C6A01" w:rsidRPr="005B364E">
              <w:t>Indicatorii de performanță în baza cărora se va efectua monitorizarea:</w:t>
            </w:r>
          </w:p>
          <w:p w:rsidR="005C6A01" w:rsidRPr="005B364E" w:rsidRDefault="005C6A01">
            <w:pPr>
              <w:pStyle w:val="a5"/>
            </w:pPr>
            <w:r w:rsidRPr="005B364E">
              <w:t>- numărul de autorizații pentru utilizarea frecvențelor emise de către AAC;</w:t>
            </w:r>
          </w:p>
          <w:p w:rsidR="003B1DA6" w:rsidRPr="005B364E" w:rsidRDefault="005C6A01" w:rsidP="00AA71BD">
            <w:pPr>
              <w:pStyle w:val="a5"/>
            </w:pPr>
            <w:r w:rsidRPr="005B364E">
              <w:t>- numărul de autorizații pentru exploatarea emițătoarelor radio emise de către AAC</w:t>
            </w:r>
            <w:r w:rsidR="00AA71BD" w:rsidRPr="005B364E">
              <w:t>.</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c) Identificaţi peste cît timp vor fi resimţite impacturile estimate şi este necesară evaluarea performanţei actului normativ propus. Explicaţi cum va fi monitorizată şi evaluată opţiunea</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A71BD" w:rsidRPr="005B364E" w:rsidRDefault="00AA71BD" w:rsidP="00AA71BD">
            <w:pPr>
              <w:ind w:firstLine="567"/>
              <w:rPr>
                <w:bCs/>
              </w:rPr>
            </w:pPr>
            <w:r w:rsidRPr="005B364E">
              <w:rPr>
                <w:bCs/>
              </w:rPr>
              <w:t xml:space="preserve">În ceea ce privește categoriile de impact din secțiunea </w:t>
            </w:r>
            <w:r w:rsidRPr="005B364E">
              <w:rPr>
                <w:b/>
                <w:bCs/>
              </w:rPr>
              <w:t>economic</w:t>
            </w:r>
            <w:r w:rsidRPr="005B364E">
              <w:rPr>
                <w:bCs/>
              </w:rPr>
              <w:t>, acestea urmează a fi resimțite o dată cu intrarea in vigoare a noilor reglementări.</w:t>
            </w:r>
          </w:p>
          <w:p w:rsidR="001D46F2" w:rsidRPr="005B364E" w:rsidRDefault="00AA71BD" w:rsidP="001D46F2">
            <w:pPr>
              <w:pStyle w:val="a5"/>
              <w:rPr>
                <w:sz w:val="20"/>
                <w:szCs w:val="20"/>
              </w:rPr>
            </w:pPr>
            <w:r w:rsidRPr="005B364E">
              <w:t xml:space="preserve">Cu privire la impactul </w:t>
            </w:r>
            <w:r w:rsidRPr="005B364E">
              <w:rPr>
                <w:b/>
              </w:rPr>
              <w:t xml:space="preserve">social, </w:t>
            </w:r>
            <w:r w:rsidRPr="005B364E">
              <w:t>acesta ca și impactul de ordin economic</w:t>
            </w:r>
            <w:r w:rsidRPr="005B364E">
              <w:rPr>
                <w:b/>
              </w:rPr>
              <w:t xml:space="preserve"> </w:t>
            </w:r>
            <w:r w:rsidR="00B11298">
              <w:rPr>
                <w:bCs/>
              </w:rPr>
              <w:t xml:space="preserve">urmează a fi resimțit </w:t>
            </w:r>
            <w:r w:rsidR="001D46F2" w:rsidRPr="005B364E">
              <w:rPr>
                <w:bCs/>
              </w:rPr>
              <w:t xml:space="preserve">în scurt timp după intrarea în vigoare a </w:t>
            </w:r>
            <w:r w:rsidR="003B1DA6" w:rsidRPr="005B364E">
              <w:rPr>
                <w:sz w:val="20"/>
                <w:szCs w:val="20"/>
              </w:rPr>
              <w:t> </w:t>
            </w:r>
            <w:r w:rsidR="001D46F2" w:rsidRPr="005B364E">
              <w:t xml:space="preserve">reglementărilor aeronautice civile „cu privire la înregistrarea emițătoarelor radio, perfectarea și acordarea Autorizației de exploatare a acestora. Coordonarea frecvențelor și acordarea Autorizației de utilizare a </w:t>
            </w:r>
            <w:r w:rsidR="001D46F2" w:rsidRPr="005B364E">
              <w:lastRenderedPageBreak/>
              <w:t>acestora”.</w:t>
            </w:r>
            <w:r w:rsidR="001D46F2" w:rsidRPr="005B364E">
              <w:rPr>
                <w:sz w:val="20"/>
                <w:szCs w:val="20"/>
              </w:rPr>
              <w:t> </w:t>
            </w:r>
          </w:p>
          <w:p w:rsidR="003B1DA6" w:rsidRPr="005B364E" w:rsidRDefault="003B1DA6" w:rsidP="001D46F2">
            <w:pPr>
              <w:pStyle w:val="a5"/>
              <w:rPr>
                <w:sz w:val="20"/>
                <w:szCs w:val="20"/>
              </w:rPr>
            </w:pPr>
          </w:p>
        </w:tc>
      </w:tr>
      <w:tr w:rsidR="003B1DA6" w:rsidRPr="005B364E">
        <w:trPr>
          <w:jc w:val="center"/>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lastRenderedPageBreak/>
              <w:t>6. Consultarea</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a) Identificaţi principalele părţi (grupuri) interesate în intervenţia propusă</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AD54B4" w:rsidRPr="005B364E" w:rsidRDefault="00AD54B4" w:rsidP="00AD54B4">
            <w:pPr>
              <w:ind w:firstLine="567"/>
              <w:jc w:val="both"/>
              <w:rPr>
                <w:color w:val="000000" w:themeColor="text1"/>
              </w:rPr>
            </w:pPr>
            <w:r w:rsidRPr="005B364E">
              <w:rPr>
                <w:color w:val="000000" w:themeColor="text1"/>
              </w:rPr>
              <w:t>În cadrul procesului de consultate și avizare se propune implicarea autorităților publice interesate și instituțiilor publice</w:t>
            </w:r>
            <w:r w:rsidR="00B11298">
              <w:rPr>
                <w:color w:val="000000" w:themeColor="text1"/>
              </w:rPr>
              <w:t xml:space="preserve"> și private vizate, în special:</w:t>
            </w:r>
          </w:p>
          <w:p w:rsidR="00AD54B4" w:rsidRPr="005B364E" w:rsidRDefault="00AD54B4" w:rsidP="00AD54B4">
            <w:pPr>
              <w:pStyle w:val="a9"/>
              <w:numPr>
                <w:ilvl w:val="0"/>
                <w:numId w:val="2"/>
              </w:numPr>
              <w:jc w:val="both"/>
              <w:rPr>
                <w:color w:val="000000" w:themeColor="text1"/>
                <w:sz w:val="24"/>
                <w:szCs w:val="24"/>
                <w:lang w:val="ro-RO"/>
              </w:rPr>
            </w:pPr>
            <w:bookmarkStart w:id="0" w:name="_Hlk41984094"/>
            <w:r w:rsidRPr="005B364E">
              <w:rPr>
                <w:color w:val="000000" w:themeColor="text1"/>
                <w:sz w:val="24"/>
                <w:szCs w:val="24"/>
                <w:lang w:val="ro-RO"/>
              </w:rPr>
              <w:t>Autoritatea Aeronautică Civilă;</w:t>
            </w:r>
          </w:p>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Î.S. MOLDATSA,</w:t>
            </w:r>
          </w:p>
          <w:bookmarkEnd w:id="0"/>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Operatorilor aerieni;</w:t>
            </w:r>
          </w:p>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Operatorilor aeroportuari;</w:t>
            </w:r>
          </w:p>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Aeroporturilor care deservesc aviația civilă situate pe teritoriul Republicii Moldova și care nu sunt folosite în scopuri exclusiv militare;</w:t>
            </w:r>
          </w:p>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Aerodromurilor care deservesc aviația civilă situate pe teritoriul Republicii Moldova și pe care nu sunt furnizate servicii de control a traficului aerian (</w:t>
            </w:r>
            <w:bookmarkStart w:id="1" w:name="_Hlk41984170"/>
            <w:r w:rsidRPr="005B364E">
              <w:rPr>
                <w:color w:val="000000" w:themeColor="text1"/>
                <w:sz w:val="24"/>
                <w:szCs w:val="24"/>
                <w:lang w:val="ro-RO"/>
              </w:rPr>
              <w:t xml:space="preserve">Aerodromul Horești, </w:t>
            </w:r>
            <w:bookmarkStart w:id="2" w:name="_Hlk41984141"/>
            <w:bookmarkEnd w:id="1"/>
            <w:r w:rsidRPr="005B364E">
              <w:rPr>
                <w:color w:val="000000" w:themeColor="text1"/>
                <w:sz w:val="24"/>
                <w:szCs w:val="24"/>
                <w:lang w:val="ro-RO"/>
              </w:rPr>
              <w:t>Aerodromul Vadul lui Vodă</w:t>
            </w:r>
            <w:bookmarkEnd w:id="2"/>
            <w:r w:rsidRPr="005B364E">
              <w:rPr>
                <w:color w:val="000000" w:themeColor="text1"/>
                <w:sz w:val="24"/>
                <w:szCs w:val="24"/>
                <w:lang w:val="ro-RO"/>
              </w:rPr>
              <w:t xml:space="preserve">, </w:t>
            </w:r>
            <w:bookmarkStart w:id="3" w:name="_Hlk41984180"/>
            <w:r w:rsidRPr="005B364E">
              <w:rPr>
                <w:color w:val="000000" w:themeColor="text1"/>
                <w:sz w:val="24"/>
                <w:szCs w:val="24"/>
                <w:lang w:val="ro-RO"/>
              </w:rPr>
              <w:t>Aerodromul Et Cetera</w:t>
            </w:r>
            <w:bookmarkEnd w:id="3"/>
            <w:r w:rsidRPr="005B364E">
              <w:rPr>
                <w:color w:val="000000" w:themeColor="text1"/>
                <w:sz w:val="24"/>
                <w:szCs w:val="24"/>
                <w:lang w:val="ro-RO"/>
              </w:rPr>
              <w:t>);</w:t>
            </w:r>
          </w:p>
          <w:p w:rsidR="00AD54B4" w:rsidRPr="005B364E" w:rsidRDefault="00AD54B4" w:rsidP="00AD54B4">
            <w:pPr>
              <w:pStyle w:val="a9"/>
              <w:numPr>
                <w:ilvl w:val="0"/>
                <w:numId w:val="2"/>
              </w:numPr>
              <w:jc w:val="both"/>
              <w:rPr>
                <w:color w:val="000000" w:themeColor="text1"/>
                <w:sz w:val="24"/>
                <w:szCs w:val="24"/>
                <w:lang w:val="ro-RO"/>
              </w:rPr>
            </w:pPr>
            <w:r w:rsidRPr="005B364E">
              <w:rPr>
                <w:color w:val="000000" w:themeColor="text1"/>
                <w:sz w:val="24"/>
                <w:szCs w:val="24"/>
                <w:lang w:val="ro-RO"/>
              </w:rPr>
              <w:t xml:space="preserve">Operatorilor aerieni și piloților aeronavelor care efectuează operațiuni de zbor de pe aerodromurile naționale unde nu sunt furnizate servicii de control a traficului aerian; - la moment ar fi </w:t>
            </w:r>
            <w:bookmarkStart w:id="4" w:name="_Hlk41984206"/>
            <w:r w:rsidRPr="005B364E">
              <w:rPr>
                <w:color w:val="000000" w:themeColor="text1"/>
                <w:sz w:val="24"/>
                <w:szCs w:val="24"/>
                <w:lang w:val="ro-RO"/>
              </w:rPr>
              <w:t>Asociația Piloților de Aviație Generală (AOPA</w:t>
            </w:r>
            <w:bookmarkEnd w:id="4"/>
            <w:r w:rsidRPr="005B364E">
              <w:rPr>
                <w:color w:val="000000" w:themeColor="text1"/>
                <w:sz w:val="24"/>
                <w:szCs w:val="24"/>
                <w:lang w:val="ro-RO"/>
              </w:rPr>
              <w:t xml:space="preserve">), </w:t>
            </w:r>
            <w:bookmarkStart w:id="5" w:name="_Hlk41984282"/>
            <w:r w:rsidRPr="005B364E">
              <w:rPr>
                <w:color w:val="000000" w:themeColor="text1"/>
                <w:sz w:val="24"/>
                <w:szCs w:val="24"/>
                <w:lang w:val="ro-RO"/>
              </w:rPr>
              <w:t>Federația de Parașutism din Republica Moldova</w:t>
            </w:r>
            <w:bookmarkEnd w:id="5"/>
            <w:r w:rsidRPr="005B364E">
              <w:rPr>
                <w:color w:val="000000" w:themeColor="text1"/>
                <w:sz w:val="24"/>
                <w:szCs w:val="24"/>
                <w:lang w:val="ro-RO"/>
              </w:rPr>
              <w:t xml:space="preserve">, </w:t>
            </w:r>
            <w:bookmarkStart w:id="6" w:name="_Hlk41984302"/>
            <w:r w:rsidRPr="005B364E">
              <w:rPr>
                <w:color w:val="000000" w:themeColor="text1"/>
                <w:sz w:val="24"/>
                <w:szCs w:val="24"/>
                <w:lang w:val="ro-RO"/>
              </w:rPr>
              <w:t>A.O. Aeroclubul din Chișinău</w:t>
            </w:r>
            <w:bookmarkEnd w:id="6"/>
            <w:r w:rsidRPr="005B364E">
              <w:rPr>
                <w:color w:val="000000" w:themeColor="text1"/>
                <w:sz w:val="24"/>
                <w:szCs w:val="24"/>
                <w:lang w:val="ro-RO"/>
              </w:rPr>
              <w:t xml:space="preserve">, </w:t>
            </w:r>
            <w:bookmarkStart w:id="7" w:name="_Hlk41984334"/>
            <w:r w:rsidRPr="005B364E">
              <w:rPr>
                <w:color w:val="000000" w:themeColor="text1"/>
                <w:sz w:val="24"/>
                <w:szCs w:val="24"/>
                <w:lang w:val="ro-RO"/>
              </w:rPr>
              <w:t>Aeroclubul din Călărași</w:t>
            </w:r>
            <w:bookmarkEnd w:id="7"/>
            <w:r w:rsidRPr="005B364E">
              <w:rPr>
                <w:color w:val="000000" w:themeColor="text1"/>
                <w:sz w:val="24"/>
                <w:szCs w:val="24"/>
                <w:lang w:val="ro-RO"/>
              </w:rPr>
              <w:t>, etc.</w:t>
            </w:r>
          </w:p>
          <w:p w:rsidR="003B1DA6" w:rsidRPr="005B364E" w:rsidRDefault="00AD54B4" w:rsidP="00276ACF">
            <w:pPr>
              <w:pStyle w:val="a5"/>
              <w:rPr>
                <w:sz w:val="20"/>
                <w:szCs w:val="20"/>
              </w:rPr>
            </w:pPr>
            <w:r w:rsidRPr="005B364E">
              <w:rPr>
                <w:color w:val="000000" w:themeColor="text1"/>
              </w:rPr>
              <w:t>Altor persoane fizice și juridice care dețin Autorizații de instalare si exploatare a emițătoarelor radio.</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b) Explicaţi succint cum (prin ce metode) s-a asigurat consultarea adecvată a părţilor</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rsidP="00276ACF">
            <w:pPr>
              <w:pStyle w:val="a5"/>
              <w:rPr>
                <w:sz w:val="20"/>
                <w:szCs w:val="20"/>
              </w:rPr>
            </w:pPr>
            <w:r w:rsidRPr="005B364E">
              <w:rPr>
                <w:sz w:val="20"/>
                <w:szCs w:val="20"/>
              </w:rPr>
              <w:t> </w:t>
            </w:r>
            <w:r w:rsidR="00AD54B4" w:rsidRPr="005B364E">
              <w:t>În scopul respectării prevederilor Legii nr.239 din 13 noiembrie 2008 privind transparența în procesul decizional, proiectul poate fi accesat pe pagina web oficială a Ministerului Economiei și Infrastructurii (compartimentul „Transparența”, directoriul Transparență decizională/Anunțuri privind consultările publice”), și pe portalul guvernamental particip.gov.md. Totodată, MEI va solicita în format fizic opinia agenților care cad sub incidența proiectului.</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sz w:val="20"/>
                <w:szCs w:val="20"/>
              </w:rPr>
              <w:t>c) Expuneţi succint poziţia fiecărei entităţi consultate faţă de documentul de analiză a impactului şi/sau intervenţia propusă (se expune poziţia a cel puţin unui exponent din fiecare grup de interese identificat)</w:t>
            </w:r>
          </w:p>
        </w:tc>
        <w:tc>
          <w:tcPr>
            <w:tcW w:w="1306" w:type="pct"/>
            <w:tcBorders>
              <w:top w:val="single" w:sz="6" w:space="0" w:color="000000"/>
              <w:left w:val="single" w:sz="6" w:space="0" w:color="000000"/>
              <w:bottom w:val="nil"/>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p>
        </w:tc>
      </w:tr>
      <w:tr w:rsidR="003B1DA6" w:rsidRPr="005B364E">
        <w:trPr>
          <w:jc w:val="center"/>
        </w:trPr>
        <w:tc>
          <w:tcPr>
            <w:tcW w:w="500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276ACF" w:rsidRDefault="003B1DA6" w:rsidP="00276ACF">
            <w:pPr>
              <w:pStyle w:val="a5"/>
              <w:tabs>
                <w:tab w:val="left" w:pos="1791"/>
              </w:tabs>
            </w:pPr>
            <w:r w:rsidRPr="005B364E">
              <w:t> </w:t>
            </w:r>
            <w:r w:rsidR="000D0E7F" w:rsidRPr="005B364E">
              <w:t>Conform Tabelului de sinteză.</w:t>
            </w:r>
            <w:r w:rsidRPr="005B364E">
              <w:rPr>
                <w:sz w:val="20"/>
                <w:szCs w:val="20"/>
              </w:rPr>
              <w:t> </w:t>
            </w:r>
          </w:p>
        </w:tc>
      </w:tr>
    </w:tbl>
    <w:p w:rsidR="003B1DA6" w:rsidRPr="005B364E" w:rsidRDefault="003B1DA6">
      <w:pPr>
        <w:pStyle w:val="a5"/>
      </w:pPr>
      <w:r w:rsidRPr="005B364E">
        <w:t> </w:t>
      </w:r>
    </w:p>
    <w:tbl>
      <w:tblPr>
        <w:tblW w:w="4000" w:type="pct"/>
        <w:jc w:val="center"/>
        <w:tblLook w:val="04A0" w:firstRow="1" w:lastRow="0" w:firstColumn="1" w:lastColumn="0" w:noHBand="0" w:noVBand="1"/>
      </w:tblPr>
      <w:tblGrid>
        <w:gridCol w:w="4377"/>
        <w:gridCol w:w="936"/>
        <w:gridCol w:w="990"/>
        <w:gridCol w:w="990"/>
      </w:tblGrid>
      <w:tr w:rsidR="003B1DA6" w:rsidRPr="005B364E">
        <w:trPr>
          <w:jc w:val="center"/>
        </w:trPr>
        <w:tc>
          <w:tcPr>
            <w:tcW w:w="0" w:type="auto"/>
            <w:gridSpan w:val="4"/>
            <w:tcMar>
              <w:top w:w="15" w:type="dxa"/>
              <w:left w:w="45" w:type="dxa"/>
              <w:bottom w:w="15" w:type="dxa"/>
              <w:right w:w="45" w:type="dxa"/>
            </w:tcMar>
            <w:hideMark/>
          </w:tcPr>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0D0E7F" w:rsidRDefault="000D0E7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Default="00276ACF">
            <w:pPr>
              <w:pStyle w:val="rg"/>
              <w:spacing w:before="0" w:beforeAutospacing="0" w:after="0" w:afterAutospacing="0"/>
              <w:rPr>
                <w:b/>
                <w:bCs/>
                <w:sz w:val="20"/>
                <w:szCs w:val="20"/>
              </w:rPr>
            </w:pPr>
          </w:p>
          <w:p w:rsidR="00276ACF" w:rsidRPr="005B364E" w:rsidRDefault="00276ACF">
            <w:pPr>
              <w:pStyle w:val="rg"/>
              <w:spacing w:before="0" w:beforeAutospacing="0" w:after="0" w:afterAutospacing="0"/>
              <w:rPr>
                <w:b/>
                <w:bCs/>
                <w:sz w:val="20"/>
                <w:szCs w:val="20"/>
              </w:rPr>
            </w:pPr>
          </w:p>
          <w:p w:rsidR="000D0E7F" w:rsidRPr="005B364E" w:rsidRDefault="000D0E7F">
            <w:pPr>
              <w:pStyle w:val="rg"/>
              <w:spacing w:before="0" w:beforeAutospacing="0" w:after="0" w:afterAutospacing="0"/>
              <w:rPr>
                <w:b/>
                <w:bCs/>
                <w:sz w:val="20"/>
                <w:szCs w:val="20"/>
              </w:rPr>
            </w:pPr>
          </w:p>
          <w:p w:rsidR="003B1DA6" w:rsidRPr="005B364E" w:rsidRDefault="003B1DA6">
            <w:pPr>
              <w:pStyle w:val="rg"/>
              <w:spacing w:before="0" w:beforeAutospacing="0" w:after="0" w:afterAutospacing="0"/>
              <w:rPr>
                <w:sz w:val="20"/>
                <w:szCs w:val="20"/>
              </w:rPr>
            </w:pPr>
            <w:r w:rsidRPr="005B364E">
              <w:rPr>
                <w:b/>
                <w:bCs/>
                <w:sz w:val="20"/>
                <w:szCs w:val="20"/>
              </w:rPr>
              <w:t xml:space="preserve">Anexă </w:t>
            </w:r>
          </w:p>
          <w:p w:rsidR="003B1DA6" w:rsidRPr="005B364E" w:rsidRDefault="003B1DA6">
            <w:pPr>
              <w:pStyle w:val="a5"/>
              <w:rPr>
                <w:sz w:val="20"/>
                <w:szCs w:val="20"/>
              </w:rPr>
            </w:pPr>
            <w:r w:rsidRPr="005B364E">
              <w:rPr>
                <w:sz w:val="20"/>
                <w:szCs w:val="20"/>
              </w:rPr>
              <w:t> </w:t>
            </w:r>
          </w:p>
          <w:p w:rsidR="003B1DA6" w:rsidRPr="005B364E" w:rsidRDefault="003B1DA6">
            <w:pPr>
              <w:pStyle w:val="cb"/>
              <w:spacing w:before="0" w:beforeAutospacing="0" w:after="0" w:afterAutospacing="0"/>
              <w:rPr>
                <w:sz w:val="20"/>
                <w:szCs w:val="20"/>
              </w:rPr>
            </w:pPr>
            <w:r w:rsidRPr="005B364E">
              <w:rPr>
                <w:sz w:val="20"/>
                <w:szCs w:val="20"/>
              </w:rPr>
              <w:t>Tabel pentru identificarea impacturilor</w:t>
            </w:r>
          </w:p>
          <w:p w:rsidR="003B1DA6" w:rsidRPr="005B364E" w:rsidRDefault="003B1DA6">
            <w:pPr>
              <w:pStyle w:val="a5"/>
              <w:rPr>
                <w:sz w:val="20"/>
                <w:szCs w:val="20"/>
              </w:rPr>
            </w:pPr>
            <w:r w:rsidRPr="005B364E">
              <w:rPr>
                <w:sz w:val="20"/>
                <w:szCs w:val="20"/>
              </w:rPr>
              <w:t> </w:t>
            </w:r>
          </w:p>
        </w:tc>
      </w:tr>
      <w:tr w:rsidR="003B1DA6" w:rsidRPr="005B364E">
        <w:trPr>
          <w:jc w:val="center"/>
        </w:trPr>
        <w:tc>
          <w:tcPr>
            <w:tcW w:w="3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jc w:val="center"/>
              <w:rPr>
                <w:rFonts w:eastAsia="Times New Roman"/>
                <w:b/>
                <w:bCs/>
                <w:sz w:val="20"/>
                <w:szCs w:val="20"/>
              </w:rPr>
            </w:pPr>
            <w:r w:rsidRPr="005B364E">
              <w:rPr>
                <w:rFonts w:eastAsia="Times New Roman"/>
                <w:b/>
                <w:bCs/>
                <w:sz w:val="20"/>
                <w:szCs w:val="20"/>
              </w:rPr>
              <w:lastRenderedPageBreak/>
              <w:t>Categorii de impact</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jc w:val="center"/>
              <w:rPr>
                <w:rFonts w:eastAsia="Times New Roman"/>
                <w:b/>
                <w:bCs/>
                <w:sz w:val="20"/>
                <w:szCs w:val="20"/>
              </w:rPr>
            </w:pPr>
            <w:r w:rsidRPr="005B364E">
              <w:rPr>
                <w:rFonts w:eastAsia="Times New Roman"/>
                <w:b/>
                <w:bCs/>
                <w:sz w:val="20"/>
                <w:szCs w:val="20"/>
              </w:rPr>
              <w:t>Punctaj atribuit</w:t>
            </w:r>
          </w:p>
        </w:tc>
      </w:tr>
      <w:tr w:rsidR="003B1DA6"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jc w:val="center"/>
              <w:rPr>
                <w:rFonts w:eastAsia="Times New Roman"/>
                <w:sz w:val="20"/>
                <w:szCs w:val="20"/>
              </w:rPr>
            </w:pPr>
            <w:r w:rsidRPr="005B364E">
              <w:rPr>
                <w:rFonts w:eastAsia="Times New Roman"/>
                <w:i/>
                <w:iCs/>
                <w:sz w:val="20"/>
                <w:szCs w:val="20"/>
              </w:rPr>
              <w:t>Opţiunea propusă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jc w:val="center"/>
              <w:rPr>
                <w:rFonts w:eastAsia="Times New Roman"/>
                <w:sz w:val="20"/>
                <w:szCs w:val="20"/>
              </w:rPr>
            </w:pPr>
            <w:r w:rsidRPr="005B364E">
              <w:rPr>
                <w:rFonts w:eastAsia="Times New Roman"/>
                <w:i/>
                <w:iCs/>
                <w:sz w:val="20"/>
                <w:szCs w:val="20"/>
              </w:rPr>
              <w:t>Opţiunea alterativă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jc w:val="center"/>
              <w:rPr>
                <w:rFonts w:eastAsia="Times New Roman"/>
                <w:sz w:val="20"/>
                <w:szCs w:val="20"/>
              </w:rPr>
            </w:pPr>
            <w:r w:rsidRPr="005B364E">
              <w:rPr>
                <w:rFonts w:eastAsia="Times New Roman"/>
                <w:i/>
                <w:iCs/>
                <w:sz w:val="20"/>
                <w:szCs w:val="20"/>
              </w:rPr>
              <w:t>Opţiunea alterativă 2</w:t>
            </w:r>
          </w:p>
        </w:tc>
      </w:tr>
      <w:tr w:rsidR="003B1DA6"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3B1DA6" w:rsidRPr="005B364E" w:rsidRDefault="003B1DA6">
            <w:pPr>
              <w:rPr>
                <w:rFonts w:eastAsia="Times New Roman"/>
                <w:sz w:val="20"/>
                <w:szCs w:val="20"/>
              </w:rPr>
            </w:pPr>
            <w:r w:rsidRPr="005B364E">
              <w:rPr>
                <w:rFonts w:eastAsia="Times New Roman"/>
                <w:b/>
                <w:bCs/>
                <w:sz w:val="20"/>
                <w:szCs w:val="20"/>
              </w:rPr>
              <w:t>Economic</w:t>
            </w:r>
          </w:p>
        </w:tc>
      </w:tr>
      <w:tr w:rsidR="00BB215A" w:rsidRPr="005B364E" w:rsidTr="00BB215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costurile desfăşurării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215A" w:rsidRPr="005B364E" w:rsidRDefault="00A57E71" w:rsidP="00BB215A">
            <w:pPr>
              <w:rPr>
                <w:rFonts w:eastAsia="Times New Roman"/>
                <w:sz w:val="20"/>
                <w:szCs w:val="20"/>
              </w:rPr>
            </w:pPr>
            <w:r w:rsidRPr="005B364E">
              <w:rPr>
                <w:rFonts w:eastAsia="Times New Roman"/>
                <w:sz w:val="20"/>
                <w:szCs w:val="20"/>
              </w:rPr>
              <w:t>+</w:t>
            </w:r>
            <w:r w:rsidR="00695513" w:rsidRPr="005B364E">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rsidTr="00BB215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povara administrativă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215A" w:rsidRPr="005B364E" w:rsidRDefault="00A57E71" w:rsidP="00BB215A">
            <w:pPr>
              <w:rPr>
                <w:rFonts w:eastAsia="Times New Roman"/>
                <w:sz w:val="20"/>
                <w:szCs w:val="20"/>
              </w:rPr>
            </w:pPr>
            <w:r w:rsidRPr="005B364E">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rsidTr="00BB215A">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fluxurile comerciale şi investiţionale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competitivitatea afacerilor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activitatea diferitor categorii de întreprinderi mici şi mijlocii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A57E71" w:rsidP="00BB215A">
            <w:pPr>
              <w:rPr>
                <w:rFonts w:eastAsia="Times New Roman"/>
                <w:sz w:val="20"/>
                <w:szCs w:val="20"/>
              </w:rPr>
            </w:pPr>
            <w:r w:rsidRPr="005B364E">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concurenţa pe piaţă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activitatea de inovare şi cercetare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veniturile şi cheltuielile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cadrul instituţional al autorităţilor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alegerea, calitatea şi preţurile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bunăstarea gospodăriilor casnice şi a cetăţenilor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situaţia social-economică în anumite regiuni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situaţia macroeconomică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alte aspecte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b/>
                <w:bCs/>
                <w:sz w:val="20"/>
                <w:szCs w:val="20"/>
              </w:rPr>
              <w:t>Social</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gradul de ocupare a forţei de muncă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nivelul de salarizare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condiţiile şi organizarea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sănătatea şi securitatea muncii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A57E71" w:rsidP="00BB215A">
            <w:pPr>
              <w:rPr>
                <w:rFonts w:eastAsia="Times New Roman"/>
                <w:sz w:val="20"/>
                <w:szCs w:val="20"/>
              </w:rPr>
            </w:pPr>
            <w:r w:rsidRPr="005B364E">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formarea profesională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inegalitatea şi distribuţia veniturilor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nivelul veniturilor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nivelul sărăciei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la bunuri şi servicii de bază, în special pentru persoanele social-vulnerabile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diversitatea culturală şi lingvistică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partidele politice şi organizaţiile civice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sănătatea publică, inclusiv mortalitatea şi morbiditatea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modul sănătos de viaţă al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nivelul criminalităţii şi securităţii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şi calitatea serviciilor de protecţie socială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şi calitatea serviciilor educaţionale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şi calitatea serviciilor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şi calitatea serviciilor publice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A57E71" w:rsidP="00BB215A">
            <w:pPr>
              <w:rPr>
                <w:rFonts w:eastAsia="Times New Roman"/>
                <w:sz w:val="20"/>
                <w:szCs w:val="20"/>
              </w:rPr>
            </w:pPr>
            <w:r w:rsidRPr="005B364E">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nivelul şi calitatea educaţiei populaţiei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conservarea patrimoniului cultural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accesul populaţiei la resurse culturale şi participarea în manifestaţii culturale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lastRenderedPageBreak/>
              <w:t>accesul şi participarea populaţiei în activităţi sportive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discriminarea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alte aspecte sociale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b/>
                <w:bCs/>
                <w:sz w:val="20"/>
                <w:szCs w:val="20"/>
              </w:rPr>
              <w:t>De mediu</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clima, inclusiv emisiile gazelor cu efect de seră şi celor care afectează stratul de ozon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calitatea aerului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calitatea şi cantitatea apei şi resurselor acvatice, inclusiv a apei potabile şi de alt gen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biodiversitatea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11298" w:rsidP="00BB215A">
            <w:pPr>
              <w:rPr>
                <w:rFonts w:eastAsia="Times New Roman"/>
                <w:sz w:val="20"/>
                <w:szCs w:val="20"/>
              </w:rPr>
            </w:pPr>
            <w:r w:rsidRPr="005B364E">
              <w:rPr>
                <w:rFonts w:eastAsia="Times New Roman"/>
                <w:sz w:val="20"/>
                <w:szCs w:val="20"/>
              </w:rPr>
              <w:t>F</w:t>
            </w:r>
            <w:r w:rsidR="00BB215A" w:rsidRPr="005B364E">
              <w:rPr>
                <w:rFonts w:eastAsia="Times New Roman"/>
                <w:sz w:val="20"/>
                <w:szCs w:val="20"/>
              </w:rPr>
              <w:t>lora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11298" w:rsidP="00BB215A">
            <w:pPr>
              <w:rPr>
                <w:rFonts w:eastAsia="Times New Roman"/>
                <w:sz w:val="20"/>
                <w:szCs w:val="20"/>
              </w:rPr>
            </w:pPr>
            <w:r w:rsidRPr="005B364E">
              <w:rPr>
                <w:rFonts w:eastAsia="Times New Roman"/>
                <w:sz w:val="20"/>
                <w:szCs w:val="20"/>
              </w:rPr>
              <w:t>F</w:t>
            </w:r>
            <w:r w:rsidR="00BB215A" w:rsidRPr="005B364E">
              <w:rPr>
                <w:rFonts w:eastAsia="Times New Roman"/>
                <w:sz w:val="20"/>
                <w:szCs w:val="20"/>
              </w:rPr>
              <w:t>auna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peisajele naturale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starea şi resursele solului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producerea şi reciclarea deşeurilor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utilizarea eficientă a resurselor regenerabile şi neregenerabile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consumul şi producţia durabilă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intensitatea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eficienţa şi performanţa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bunăstarea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riscuri majore pentru mediu (incendii, explozii, accidente etc.)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utilizarea terenurilor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alte aspecte de mediu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0</w:t>
            </w:r>
          </w:p>
        </w:tc>
      </w:tr>
      <w:tr w:rsidR="00BB215A"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 </w:t>
            </w:r>
          </w:p>
          <w:p w:rsidR="00BB215A" w:rsidRPr="005B364E" w:rsidRDefault="00BB215A" w:rsidP="00BB215A">
            <w:pPr>
              <w:pStyle w:val="a5"/>
              <w:rPr>
                <w:sz w:val="20"/>
                <w:szCs w:val="20"/>
              </w:rPr>
            </w:pPr>
            <w:r w:rsidRPr="005B364E">
              <w:rPr>
                <w:i/>
                <w:iCs/>
                <w:sz w:val="20"/>
                <w:szCs w:val="20"/>
              </w:rPr>
              <w:t>Tabelul se completează cu note de la -3 la +3, în drept cu fiecare categorie de impact, pentru fiecare opţiune analizată, unde variaţia între -3 şi -1 reprezintă impacturi negative (costuri), iar variaţia între 1 şi 3 – impacturi pozitive (beneficii) pentru categoriile de impact analizate. Nota 0 reprezintă lipsa impacturilor. Valoarea acordată corespunde cu intensitatea impactului (1 – minor, 2 – mediu, 3 – major) faţă de situaţia din opţiunea „a nu face nimic”, în comparaţie cu situaţia din alte opţiuni şi alte categorii de impact. Impacturile identificate prin acest tabel se descriu pe larg, cu argumentarea punctajului acordat, inclusiv prin date cuantificate, în compartimentul 4 din Formular, lit.b</w:t>
            </w:r>
            <w:r w:rsidRPr="005B364E">
              <w:rPr>
                <w:i/>
                <w:iCs/>
                <w:sz w:val="20"/>
                <w:szCs w:val="20"/>
                <w:vertAlign w:val="superscript"/>
              </w:rPr>
              <w:t>1</w:t>
            </w:r>
            <w:r w:rsidRPr="005B364E">
              <w:rPr>
                <w:i/>
                <w:iCs/>
                <w:sz w:val="20"/>
                <w:szCs w:val="20"/>
              </w:rPr>
              <w:t>) şi, după caz, b</w:t>
            </w:r>
            <w:r w:rsidRPr="005B364E">
              <w:rPr>
                <w:i/>
                <w:iCs/>
                <w:sz w:val="20"/>
                <w:szCs w:val="20"/>
                <w:vertAlign w:val="superscript"/>
              </w:rPr>
              <w:t>2</w:t>
            </w:r>
            <w:r w:rsidRPr="005B364E">
              <w:rPr>
                <w:i/>
                <w:iCs/>
                <w:sz w:val="20"/>
                <w:szCs w:val="20"/>
              </w:rPr>
              <w:t>), privind analiza impacturilor opţiunilor.</w:t>
            </w:r>
          </w:p>
        </w:tc>
      </w:tr>
      <w:tr w:rsidR="00BB215A"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BB215A">
            <w:pPr>
              <w:rPr>
                <w:rFonts w:eastAsia="Times New Roman"/>
                <w:sz w:val="20"/>
                <w:szCs w:val="20"/>
              </w:rPr>
            </w:pPr>
            <w:r w:rsidRPr="005B364E">
              <w:rPr>
                <w:rFonts w:eastAsia="Times New Roman"/>
                <w:sz w:val="20"/>
                <w:szCs w:val="20"/>
              </w:rPr>
              <w:t> </w:t>
            </w:r>
          </w:p>
          <w:p w:rsidR="00BB215A" w:rsidRPr="005B364E" w:rsidRDefault="00BB215A" w:rsidP="00BB215A">
            <w:pPr>
              <w:pStyle w:val="rg"/>
              <w:spacing w:before="0" w:beforeAutospacing="0" w:after="0" w:afterAutospacing="0"/>
              <w:rPr>
                <w:sz w:val="20"/>
                <w:szCs w:val="20"/>
              </w:rPr>
            </w:pPr>
            <w:r w:rsidRPr="005B364E">
              <w:rPr>
                <w:b/>
                <w:bCs/>
                <w:sz w:val="20"/>
                <w:szCs w:val="20"/>
              </w:rPr>
              <w:t>Anexe</w:t>
            </w:r>
          </w:p>
        </w:tc>
      </w:tr>
      <w:tr w:rsidR="00BB215A" w:rsidRPr="005B364E">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B215A" w:rsidRPr="005B364E" w:rsidRDefault="00BB215A" w:rsidP="00AD1CC8">
            <w:pPr>
              <w:pStyle w:val="a5"/>
              <w:ind w:firstLine="0"/>
              <w:rPr>
                <w:sz w:val="20"/>
                <w:szCs w:val="20"/>
              </w:rPr>
            </w:pPr>
            <w:r w:rsidRPr="005B364E">
              <w:rPr>
                <w:sz w:val="20"/>
                <w:szCs w:val="20"/>
              </w:rPr>
              <w:t xml:space="preserve">Proiectul preliminar de act normativ </w:t>
            </w:r>
          </w:p>
          <w:p w:rsidR="00BB215A" w:rsidRPr="005B364E" w:rsidRDefault="00BB215A" w:rsidP="00AD1CC8">
            <w:pPr>
              <w:pStyle w:val="a5"/>
              <w:ind w:firstLine="0"/>
              <w:rPr>
                <w:sz w:val="20"/>
                <w:szCs w:val="20"/>
              </w:rPr>
            </w:pPr>
            <w:r w:rsidRPr="005B364E">
              <w:rPr>
                <w:sz w:val="20"/>
                <w:szCs w:val="20"/>
              </w:rPr>
              <w:t xml:space="preserve">Sinteza obiecţiilor şi propunerilor la proiect şi/sau analiza de impact </w:t>
            </w:r>
          </w:p>
          <w:p w:rsidR="00BB215A" w:rsidRPr="005B364E" w:rsidRDefault="00BB215A" w:rsidP="00AD1CC8">
            <w:pPr>
              <w:pStyle w:val="a5"/>
              <w:ind w:firstLine="0"/>
              <w:rPr>
                <w:sz w:val="20"/>
                <w:szCs w:val="20"/>
              </w:rPr>
            </w:pPr>
            <w:r w:rsidRPr="005B364E">
              <w:rPr>
                <w:sz w:val="20"/>
                <w:szCs w:val="20"/>
              </w:rPr>
              <w:t xml:space="preserve">Expertiza Grupului de lucru al Comisiei de stat pentru reglementarea activităţii de întreprinzător (după caz) </w:t>
            </w:r>
          </w:p>
          <w:p w:rsidR="00BB215A" w:rsidRPr="005B364E" w:rsidRDefault="00BB215A" w:rsidP="00AD1CC8">
            <w:pPr>
              <w:pStyle w:val="a5"/>
              <w:ind w:firstLine="0"/>
              <w:rPr>
                <w:sz w:val="20"/>
                <w:szCs w:val="20"/>
              </w:rPr>
            </w:pPr>
            <w:r w:rsidRPr="005B364E">
              <w:rPr>
                <w:sz w:val="20"/>
                <w:szCs w:val="20"/>
              </w:rPr>
              <w:t>Alte materiale informative/documente (la decizia autorilor)</w:t>
            </w:r>
          </w:p>
        </w:tc>
      </w:tr>
    </w:tbl>
    <w:p w:rsidR="003B1DA6" w:rsidRPr="005B364E" w:rsidRDefault="003B1DA6">
      <w:pPr>
        <w:pStyle w:val="a5"/>
      </w:pPr>
      <w:r w:rsidRPr="005B364E">
        <w:t> </w:t>
      </w:r>
    </w:p>
    <w:p w:rsidR="003B1DA6" w:rsidRPr="005B364E" w:rsidRDefault="003B1DA6">
      <w:pPr>
        <w:pStyle w:val="a5"/>
      </w:pPr>
      <w:r w:rsidRPr="005B364E">
        <w:t> </w:t>
      </w:r>
      <w:bookmarkStart w:id="8" w:name="_GoBack"/>
      <w:bookmarkEnd w:id="8"/>
    </w:p>
    <w:sectPr w:rsidR="003B1DA6" w:rsidRPr="005B36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A4CA4"/>
    <w:multiLevelType w:val="hybridMultilevel"/>
    <w:tmpl w:val="F488CB42"/>
    <w:lvl w:ilvl="0" w:tplc="662283E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3D75ABA"/>
    <w:multiLevelType w:val="hybridMultilevel"/>
    <w:tmpl w:val="9116614A"/>
    <w:lvl w:ilvl="0" w:tplc="CF50BBFE">
      <w:start w:val="110"/>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28B"/>
    <w:rsid w:val="00003CD2"/>
    <w:rsid w:val="00015771"/>
    <w:rsid w:val="00025690"/>
    <w:rsid w:val="00041A69"/>
    <w:rsid w:val="000A5002"/>
    <w:rsid w:val="000B0761"/>
    <w:rsid w:val="000B0DAA"/>
    <w:rsid w:val="000B5893"/>
    <w:rsid w:val="000C35A9"/>
    <w:rsid w:val="000D0E7F"/>
    <w:rsid w:val="000F251B"/>
    <w:rsid w:val="001003FD"/>
    <w:rsid w:val="00127876"/>
    <w:rsid w:val="001446AC"/>
    <w:rsid w:val="00172E66"/>
    <w:rsid w:val="0017339D"/>
    <w:rsid w:val="001C4FB8"/>
    <w:rsid w:val="001D46F2"/>
    <w:rsid w:val="0020013B"/>
    <w:rsid w:val="00231BA0"/>
    <w:rsid w:val="00235F7C"/>
    <w:rsid w:val="00241CD6"/>
    <w:rsid w:val="002602A8"/>
    <w:rsid w:val="00267C48"/>
    <w:rsid w:val="00276ACF"/>
    <w:rsid w:val="002A4C2D"/>
    <w:rsid w:val="002B6480"/>
    <w:rsid w:val="002C08C8"/>
    <w:rsid w:val="0033422E"/>
    <w:rsid w:val="00347785"/>
    <w:rsid w:val="00353BC8"/>
    <w:rsid w:val="003618CD"/>
    <w:rsid w:val="00383927"/>
    <w:rsid w:val="003B1DA6"/>
    <w:rsid w:val="003C06C3"/>
    <w:rsid w:val="003C1039"/>
    <w:rsid w:val="003D1873"/>
    <w:rsid w:val="003E6F85"/>
    <w:rsid w:val="00444C62"/>
    <w:rsid w:val="004612BC"/>
    <w:rsid w:val="00490FC0"/>
    <w:rsid w:val="00492389"/>
    <w:rsid w:val="004B3256"/>
    <w:rsid w:val="00516C74"/>
    <w:rsid w:val="00545862"/>
    <w:rsid w:val="00557A53"/>
    <w:rsid w:val="00594591"/>
    <w:rsid w:val="005B364E"/>
    <w:rsid w:val="005C69DF"/>
    <w:rsid w:val="005C6A01"/>
    <w:rsid w:val="005F652D"/>
    <w:rsid w:val="006508CE"/>
    <w:rsid w:val="00656313"/>
    <w:rsid w:val="006661DE"/>
    <w:rsid w:val="00695513"/>
    <w:rsid w:val="00701606"/>
    <w:rsid w:val="00713B4A"/>
    <w:rsid w:val="00777C71"/>
    <w:rsid w:val="00781D97"/>
    <w:rsid w:val="00783A7C"/>
    <w:rsid w:val="007B6BD9"/>
    <w:rsid w:val="008050F3"/>
    <w:rsid w:val="00836C83"/>
    <w:rsid w:val="00861A99"/>
    <w:rsid w:val="0089311C"/>
    <w:rsid w:val="008A4460"/>
    <w:rsid w:val="008B4311"/>
    <w:rsid w:val="008D44AB"/>
    <w:rsid w:val="008F6220"/>
    <w:rsid w:val="009264CB"/>
    <w:rsid w:val="00936082"/>
    <w:rsid w:val="00987369"/>
    <w:rsid w:val="0099228B"/>
    <w:rsid w:val="009D6344"/>
    <w:rsid w:val="009F31B5"/>
    <w:rsid w:val="00A116A6"/>
    <w:rsid w:val="00A123FA"/>
    <w:rsid w:val="00A17520"/>
    <w:rsid w:val="00A27062"/>
    <w:rsid w:val="00A564C0"/>
    <w:rsid w:val="00A57E71"/>
    <w:rsid w:val="00A74DA0"/>
    <w:rsid w:val="00A916A9"/>
    <w:rsid w:val="00AA71BD"/>
    <w:rsid w:val="00AD1CC8"/>
    <w:rsid w:val="00AD54B4"/>
    <w:rsid w:val="00AD619C"/>
    <w:rsid w:val="00AF3690"/>
    <w:rsid w:val="00B11298"/>
    <w:rsid w:val="00B176B3"/>
    <w:rsid w:val="00B44D82"/>
    <w:rsid w:val="00BA3BA8"/>
    <w:rsid w:val="00BB215A"/>
    <w:rsid w:val="00BC60CB"/>
    <w:rsid w:val="00BC7AFB"/>
    <w:rsid w:val="00BD1D62"/>
    <w:rsid w:val="00BE41F4"/>
    <w:rsid w:val="00C033C5"/>
    <w:rsid w:val="00C23319"/>
    <w:rsid w:val="00C84DF6"/>
    <w:rsid w:val="00C93EBB"/>
    <w:rsid w:val="00D33FC5"/>
    <w:rsid w:val="00D60DEB"/>
    <w:rsid w:val="00D76232"/>
    <w:rsid w:val="00D800BF"/>
    <w:rsid w:val="00D91CA4"/>
    <w:rsid w:val="00DA102D"/>
    <w:rsid w:val="00DA738B"/>
    <w:rsid w:val="00DB1F00"/>
    <w:rsid w:val="00E25765"/>
    <w:rsid w:val="00E27AE6"/>
    <w:rsid w:val="00E328DA"/>
    <w:rsid w:val="00E55846"/>
    <w:rsid w:val="00E66B98"/>
    <w:rsid w:val="00E760D4"/>
    <w:rsid w:val="00E864B1"/>
    <w:rsid w:val="00E867F8"/>
    <w:rsid w:val="00EB7446"/>
    <w:rsid w:val="00F97F12"/>
    <w:rsid w:val="00FC361F"/>
    <w:rsid w:val="00FC43A2"/>
    <w:rsid w:val="00FD03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567"/>
      <w:jc w:val="both"/>
    </w:pPr>
  </w:style>
  <w:style w:type="paragraph" w:styleId="a5">
    <w:name w:val="Normal (Web)"/>
    <w:basedOn w:val="a"/>
    <w:uiPriority w:val="99"/>
    <w:unhideWhenUsed/>
    <w:pPr>
      <w:ind w:firstLine="567"/>
      <w:jc w:val="both"/>
    </w:pPr>
  </w:style>
  <w:style w:type="paragraph" w:styleId="a6">
    <w:name w:val="Balloon Text"/>
    <w:basedOn w:val="a"/>
    <w:link w:val="a7"/>
    <w:uiPriority w:val="99"/>
    <w:semiHidden/>
    <w:unhideWhenUsed/>
    <w:rPr>
      <w:rFonts w:ascii="Segoe UI" w:hAnsi="Segoe UI" w:cs="Segoe UI"/>
      <w:sz w:val="18"/>
      <w:szCs w:val="18"/>
    </w:rPr>
  </w:style>
  <w:style w:type="character" w:customStyle="1" w:styleId="a7">
    <w:name w:val="Текст выноски Знак"/>
    <w:basedOn w:val="a0"/>
    <w:link w:val="a6"/>
    <w:uiPriority w:val="99"/>
    <w:semiHidden/>
    <w:locked/>
    <w:rPr>
      <w:rFonts w:ascii="Segoe UI" w:eastAsiaTheme="minorEastAsia" w:hAnsi="Segoe UI" w:cs="Segoe UI" w:hint="default"/>
      <w:sz w:val="18"/>
      <w:szCs w:val="18"/>
    </w:rPr>
  </w:style>
  <w:style w:type="paragraph" w:customStyle="1" w:styleId="tt">
    <w:name w:val="tt"/>
    <w:basedOn w:val="a"/>
    <w:pPr>
      <w:spacing w:before="100" w:beforeAutospacing="1" w:after="100" w:afterAutospacing="1"/>
      <w:jc w:val="center"/>
    </w:pPr>
    <w:rPr>
      <w:b/>
      <w:bCs/>
    </w:rPr>
  </w:style>
  <w:style w:type="paragraph" w:customStyle="1" w:styleId="pb">
    <w:name w:val="pb"/>
    <w:basedOn w:val="a"/>
    <w:uiPriority w:val="99"/>
    <w:semiHidden/>
    <w:pPr>
      <w:spacing w:before="100" w:beforeAutospacing="1" w:after="100" w:afterAutospacing="1"/>
      <w:jc w:val="center"/>
    </w:pPr>
    <w:rPr>
      <w:i/>
      <w:iCs/>
      <w:color w:val="663300"/>
      <w:sz w:val="20"/>
      <w:szCs w:val="20"/>
    </w:rPr>
  </w:style>
  <w:style w:type="paragraph" w:customStyle="1" w:styleId="cu">
    <w:name w:val="cu"/>
    <w:basedOn w:val="a"/>
    <w:uiPriority w:val="99"/>
    <w:semiHidden/>
    <w:pPr>
      <w:spacing w:before="45" w:after="100" w:afterAutospacing="1"/>
      <w:ind w:left="1134" w:right="567" w:hanging="567"/>
      <w:jc w:val="both"/>
    </w:pPr>
    <w:rPr>
      <w:sz w:val="20"/>
      <w:szCs w:val="20"/>
    </w:rPr>
  </w:style>
  <w:style w:type="paragraph" w:customStyle="1" w:styleId="cut">
    <w:name w:val="cut"/>
    <w:basedOn w:val="a"/>
    <w:uiPriority w:val="99"/>
    <w:semiHidden/>
    <w:pPr>
      <w:spacing w:before="100" w:beforeAutospacing="1" w:after="100" w:afterAutospacing="1"/>
      <w:ind w:left="567" w:right="567"/>
      <w:jc w:val="center"/>
    </w:pPr>
    <w:rPr>
      <w:b/>
      <w:bCs/>
      <w:sz w:val="20"/>
      <w:szCs w:val="20"/>
    </w:rPr>
  </w:style>
  <w:style w:type="paragraph" w:customStyle="1" w:styleId="cp">
    <w:name w:val="cp"/>
    <w:basedOn w:val="a"/>
    <w:uiPriority w:val="99"/>
    <w:semiHidden/>
    <w:pPr>
      <w:spacing w:before="100" w:beforeAutospacing="1" w:after="100" w:afterAutospacing="1"/>
      <w:jc w:val="center"/>
    </w:pPr>
    <w:rPr>
      <w:b/>
      <w:bCs/>
    </w:rPr>
  </w:style>
  <w:style w:type="paragraph" w:customStyle="1" w:styleId="nt">
    <w:name w:val="nt"/>
    <w:basedOn w:val="a"/>
    <w:uiPriority w:val="99"/>
    <w:semiHidden/>
    <w:pPr>
      <w:spacing w:before="100" w:beforeAutospacing="1" w:after="100" w:afterAutospacing="1"/>
      <w:ind w:left="567" w:right="567" w:hanging="567"/>
      <w:jc w:val="both"/>
    </w:pPr>
    <w:rPr>
      <w:i/>
      <w:iCs/>
      <w:color w:val="663300"/>
      <w:sz w:val="20"/>
      <w:szCs w:val="20"/>
    </w:rPr>
  </w:style>
  <w:style w:type="paragraph" w:customStyle="1" w:styleId="md">
    <w:name w:val="md"/>
    <w:basedOn w:val="a"/>
    <w:uiPriority w:val="99"/>
    <w:semiHidden/>
    <w:pPr>
      <w:spacing w:before="100" w:beforeAutospacing="1" w:after="100" w:afterAutospacing="1"/>
    </w:pPr>
    <w:rPr>
      <w:i/>
      <w:iCs/>
      <w:color w:val="663300"/>
      <w:sz w:val="20"/>
      <w:szCs w:val="20"/>
    </w:rPr>
  </w:style>
  <w:style w:type="paragraph" w:customStyle="1" w:styleId="cn">
    <w:name w:val="cn"/>
    <w:basedOn w:val="a"/>
    <w:uiPriority w:val="99"/>
    <w:semiHidden/>
    <w:pPr>
      <w:spacing w:before="100" w:beforeAutospacing="1" w:after="100" w:afterAutospacing="1"/>
      <w:jc w:val="center"/>
    </w:pPr>
  </w:style>
  <w:style w:type="paragraph" w:customStyle="1" w:styleId="cb">
    <w:name w:val="cb"/>
    <w:basedOn w:val="a"/>
    <w:uiPriority w:val="99"/>
    <w:pPr>
      <w:spacing w:before="100" w:beforeAutospacing="1" w:after="100" w:afterAutospacing="1"/>
      <w:jc w:val="center"/>
    </w:pPr>
    <w:rPr>
      <w:b/>
      <w:bCs/>
    </w:rPr>
  </w:style>
  <w:style w:type="paragraph" w:customStyle="1" w:styleId="rg">
    <w:name w:val="rg"/>
    <w:basedOn w:val="a"/>
    <w:uiPriority w:val="99"/>
    <w:semiHidden/>
    <w:pPr>
      <w:spacing w:before="100" w:beforeAutospacing="1" w:after="100" w:afterAutospacing="1"/>
      <w:jc w:val="right"/>
    </w:pPr>
  </w:style>
  <w:style w:type="paragraph" w:customStyle="1" w:styleId="js">
    <w:name w:val="js"/>
    <w:basedOn w:val="a"/>
    <w:uiPriority w:val="99"/>
    <w:semiHidden/>
    <w:pPr>
      <w:spacing w:before="100" w:beforeAutospacing="1" w:after="100" w:afterAutospacing="1"/>
      <w:jc w:val="both"/>
    </w:pPr>
  </w:style>
  <w:style w:type="paragraph" w:customStyle="1" w:styleId="lf">
    <w:name w:val="lf"/>
    <w:basedOn w:val="a"/>
    <w:uiPriority w:val="99"/>
    <w:semiHidden/>
    <w:pPr>
      <w:spacing w:before="100" w:beforeAutospacing="1" w:after="100" w:afterAutospacing="1"/>
    </w:pPr>
  </w:style>
  <w:style w:type="paragraph" w:customStyle="1" w:styleId="forma">
    <w:name w:val="forma"/>
    <w:basedOn w:val="a"/>
    <w:uiPriority w:val="99"/>
    <w:semiHidden/>
    <w:pPr>
      <w:spacing w:before="100" w:beforeAutospacing="1" w:after="100" w:afterAutospacing="1"/>
    </w:pPr>
    <w:rPr>
      <w:rFonts w:ascii="Arial" w:hAnsi="Arial" w:cs="Arial"/>
      <w:sz w:val="20"/>
      <w:szCs w:val="20"/>
    </w:rPr>
  </w:style>
  <w:style w:type="paragraph" w:customStyle="1" w:styleId="sm">
    <w:name w:val="sm"/>
    <w:basedOn w:val="a"/>
    <w:uiPriority w:val="99"/>
    <w:semiHidden/>
    <w:pPr>
      <w:spacing w:before="240" w:after="100" w:afterAutospacing="1"/>
      <w:ind w:left="567"/>
    </w:pPr>
    <w:rPr>
      <w:b/>
      <w:bCs/>
    </w:rPr>
  </w:style>
  <w:style w:type="paragraph" w:customStyle="1" w:styleId="smfunctia">
    <w:name w:val="sm_functia"/>
    <w:basedOn w:val="a"/>
    <w:uiPriority w:val="99"/>
    <w:semiHidden/>
    <w:pPr>
      <w:spacing w:before="100" w:beforeAutospacing="1" w:after="100" w:afterAutospacing="1"/>
    </w:pPr>
  </w:style>
  <w:style w:type="paragraph" w:customStyle="1" w:styleId="smdata">
    <w:name w:val="sm_data"/>
    <w:basedOn w:val="a"/>
    <w:uiPriority w:val="99"/>
    <w:semiHidden/>
    <w:pPr>
      <w:spacing w:before="100" w:beforeAutospacing="1" w:after="100" w:afterAutospacing="1"/>
    </w:pPr>
  </w:style>
  <w:style w:type="character" w:customStyle="1" w:styleId="grame">
    <w:name w:val="grame"/>
    <w:basedOn w:val="a0"/>
  </w:style>
  <w:style w:type="paragraph" w:styleId="a8">
    <w:name w:val="No Spacing"/>
    <w:uiPriority w:val="1"/>
    <w:qFormat/>
    <w:rsid w:val="00A57E71"/>
    <w:rPr>
      <w:rFonts w:eastAsiaTheme="minorEastAsia"/>
      <w:sz w:val="24"/>
      <w:szCs w:val="24"/>
      <w:lang w:val="ru-RU" w:eastAsia="ru-RU"/>
    </w:rPr>
  </w:style>
  <w:style w:type="paragraph" w:styleId="a9">
    <w:name w:val="List Paragraph"/>
    <w:basedOn w:val="a"/>
    <w:uiPriority w:val="34"/>
    <w:qFormat/>
    <w:rsid w:val="000F251B"/>
    <w:pPr>
      <w:ind w:left="720"/>
      <w:contextualSpacing/>
    </w:pPr>
    <w:rPr>
      <w:rFonts w:eastAsiaTheme="minorHAnsi"/>
      <w:sz w:val="20"/>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uiPriority w:val="99"/>
    <w:semiHidden/>
    <w:pPr>
      <w:ind w:firstLine="567"/>
      <w:jc w:val="both"/>
    </w:pPr>
  </w:style>
  <w:style w:type="paragraph" w:styleId="a5">
    <w:name w:val="Normal (Web)"/>
    <w:basedOn w:val="a"/>
    <w:uiPriority w:val="99"/>
    <w:unhideWhenUsed/>
    <w:pPr>
      <w:ind w:firstLine="567"/>
      <w:jc w:val="both"/>
    </w:pPr>
  </w:style>
  <w:style w:type="paragraph" w:styleId="a6">
    <w:name w:val="Balloon Text"/>
    <w:basedOn w:val="a"/>
    <w:link w:val="a7"/>
    <w:uiPriority w:val="99"/>
    <w:semiHidden/>
    <w:unhideWhenUsed/>
    <w:rPr>
      <w:rFonts w:ascii="Segoe UI" w:hAnsi="Segoe UI" w:cs="Segoe UI"/>
      <w:sz w:val="18"/>
      <w:szCs w:val="18"/>
    </w:rPr>
  </w:style>
  <w:style w:type="character" w:customStyle="1" w:styleId="a7">
    <w:name w:val="Текст выноски Знак"/>
    <w:basedOn w:val="a0"/>
    <w:link w:val="a6"/>
    <w:uiPriority w:val="99"/>
    <w:semiHidden/>
    <w:locked/>
    <w:rPr>
      <w:rFonts w:ascii="Segoe UI" w:eastAsiaTheme="minorEastAsia" w:hAnsi="Segoe UI" w:cs="Segoe UI" w:hint="default"/>
      <w:sz w:val="18"/>
      <w:szCs w:val="18"/>
    </w:rPr>
  </w:style>
  <w:style w:type="paragraph" w:customStyle="1" w:styleId="tt">
    <w:name w:val="tt"/>
    <w:basedOn w:val="a"/>
    <w:pPr>
      <w:spacing w:before="100" w:beforeAutospacing="1" w:after="100" w:afterAutospacing="1"/>
      <w:jc w:val="center"/>
    </w:pPr>
    <w:rPr>
      <w:b/>
      <w:bCs/>
    </w:rPr>
  </w:style>
  <w:style w:type="paragraph" w:customStyle="1" w:styleId="pb">
    <w:name w:val="pb"/>
    <w:basedOn w:val="a"/>
    <w:uiPriority w:val="99"/>
    <w:semiHidden/>
    <w:pPr>
      <w:spacing w:before="100" w:beforeAutospacing="1" w:after="100" w:afterAutospacing="1"/>
      <w:jc w:val="center"/>
    </w:pPr>
    <w:rPr>
      <w:i/>
      <w:iCs/>
      <w:color w:val="663300"/>
      <w:sz w:val="20"/>
      <w:szCs w:val="20"/>
    </w:rPr>
  </w:style>
  <w:style w:type="paragraph" w:customStyle="1" w:styleId="cu">
    <w:name w:val="cu"/>
    <w:basedOn w:val="a"/>
    <w:uiPriority w:val="99"/>
    <w:semiHidden/>
    <w:pPr>
      <w:spacing w:before="45" w:after="100" w:afterAutospacing="1"/>
      <w:ind w:left="1134" w:right="567" w:hanging="567"/>
      <w:jc w:val="both"/>
    </w:pPr>
    <w:rPr>
      <w:sz w:val="20"/>
      <w:szCs w:val="20"/>
    </w:rPr>
  </w:style>
  <w:style w:type="paragraph" w:customStyle="1" w:styleId="cut">
    <w:name w:val="cut"/>
    <w:basedOn w:val="a"/>
    <w:uiPriority w:val="99"/>
    <w:semiHidden/>
    <w:pPr>
      <w:spacing w:before="100" w:beforeAutospacing="1" w:after="100" w:afterAutospacing="1"/>
      <w:ind w:left="567" w:right="567"/>
      <w:jc w:val="center"/>
    </w:pPr>
    <w:rPr>
      <w:b/>
      <w:bCs/>
      <w:sz w:val="20"/>
      <w:szCs w:val="20"/>
    </w:rPr>
  </w:style>
  <w:style w:type="paragraph" w:customStyle="1" w:styleId="cp">
    <w:name w:val="cp"/>
    <w:basedOn w:val="a"/>
    <w:uiPriority w:val="99"/>
    <w:semiHidden/>
    <w:pPr>
      <w:spacing w:before="100" w:beforeAutospacing="1" w:after="100" w:afterAutospacing="1"/>
      <w:jc w:val="center"/>
    </w:pPr>
    <w:rPr>
      <w:b/>
      <w:bCs/>
    </w:rPr>
  </w:style>
  <w:style w:type="paragraph" w:customStyle="1" w:styleId="nt">
    <w:name w:val="nt"/>
    <w:basedOn w:val="a"/>
    <w:uiPriority w:val="99"/>
    <w:semiHidden/>
    <w:pPr>
      <w:spacing w:before="100" w:beforeAutospacing="1" w:after="100" w:afterAutospacing="1"/>
      <w:ind w:left="567" w:right="567" w:hanging="567"/>
      <w:jc w:val="both"/>
    </w:pPr>
    <w:rPr>
      <w:i/>
      <w:iCs/>
      <w:color w:val="663300"/>
      <w:sz w:val="20"/>
      <w:szCs w:val="20"/>
    </w:rPr>
  </w:style>
  <w:style w:type="paragraph" w:customStyle="1" w:styleId="md">
    <w:name w:val="md"/>
    <w:basedOn w:val="a"/>
    <w:uiPriority w:val="99"/>
    <w:semiHidden/>
    <w:pPr>
      <w:spacing w:before="100" w:beforeAutospacing="1" w:after="100" w:afterAutospacing="1"/>
    </w:pPr>
    <w:rPr>
      <w:i/>
      <w:iCs/>
      <w:color w:val="663300"/>
      <w:sz w:val="20"/>
      <w:szCs w:val="20"/>
    </w:rPr>
  </w:style>
  <w:style w:type="paragraph" w:customStyle="1" w:styleId="cn">
    <w:name w:val="cn"/>
    <w:basedOn w:val="a"/>
    <w:uiPriority w:val="99"/>
    <w:semiHidden/>
    <w:pPr>
      <w:spacing w:before="100" w:beforeAutospacing="1" w:after="100" w:afterAutospacing="1"/>
      <w:jc w:val="center"/>
    </w:pPr>
  </w:style>
  <w:style w:type="paragraph" w:customStyle="1" w:styleId="cb">
    <w:name w:val="cb"/>
    <w:basedOn w:val="a"/>
    <w:uiPriority w:val="99"/>
    <w:pPr>
      <w:spacing w:before="100" w:beforeAutospacing="1" w:after="100" w:afterAutospacing="1"/>
      <w:jc w:val="center"/>
    </w:pPr>
    <w:rPr>
      <w:b/>
      <w:bCs/>
    </w:rPr>
  </w:style>
  <w:style w:type="paragraph" w:customStyle="1" w:styleId="rg">
    <w:name w:val="rg"/>
    <w:basedOn w:val="a"/>
    <w:uiPriority w:val="99"/>
    <w:semiHidden/>
    <w:pPr>
      <w:spacing w:before="100" w:beforeAutospacing="1" w:after="100" w:afterAutospacing="1"/>
      <w:jc w:val="right"/>
    </w:pPr>
  </w:style>
  <w:style w:type="paragraph" w:customStyle="1" w:styleId="js">
    <w:name w:val="js"/>
    <w:basedOn w:val="a"/>
    <w:uiPriority w:val="99"/>
    <w:semiHidden/>
    <w:pPr>
      <w:spacing w:before="100" w:beforeAutospacing="1" w:after="100" w:afterAutospacing="1"/>
      <w:jc w:val="both"/>
    </w:pPr>
  </w:style>
  <w:style w:type="paragraph" w:customStyle="1" w:styleId="lf">
    <w:name w:val="lf"/>
    <w:basedOn w:val="a"/>
    <w:uiPriority w:val="99"/>
    <w:semiHidden/>
    <w:pPr>
      <w:spacing w:before="100" w:beforeAutospacing="1" w:after="100" w:afterAutospacing="1"/>
    </w:pPr>
  </w:style>
  <w:style w:type="paragraph" w:customStyle="1" w:styleId="forma">
    <w:name w:val="forma"/>
    <w:basedOn w:val="a"/>
    <w:uiPriority w:val="99"/>
    <w:semiHidden/>
    <w:pPr>
      <w:spacing w:before="100" w:beforeAutospacing="1" w:after="100" w:afterAutospacing="1"/>
    </w:pPr>
    <w:rPr>
      <w:rFonts w:ascii="Arial" w:hAnsi="Arial" w:cs="Arial"/>
      <w:sz w:val="20"/>
      <w:szCs w:val="20"/>
    </w:rPr>
  </w:style>
  <w:style w:type="paragraph" w:customStyle="1" w:styleId="sm">
    <w:name w:val="sm"/>
    <w:basedOn w:val="a"/>
    <w:uiPriority w:val="99"/>
    <w:semiHidden/>
    <w:pPr>
      <w:spacing w:before="240" w:after="100" w:afterAutospacing="1"/>
      <w:ind w:left="567"/>
    </w:pPr>
    <w:rPr>
      <w:b/>
      <w:bCs/>
    </w:rPr>
  </w:style>
  <w:style w:type="paragraph" w:customStyle="1" w:styleId="smfunctia">
    <w:name w:val="sm_functia"/>
    <w:basedOn w:val="a"/>
    <w:uiPriority w:val="99"/>
    <w:semiHidden/>
    <w:pPr>
      <w:spacing w:before="100" w:beforeAutospacing="1" w:after="100" w:afterAutospacing="1"/>
    </w:pPr>
  </w:style>
  <w:style w:type="paragraph" w:customStyle="1" w:styleId="smdata">
    <w:name w:val="sm_data"/>
    <w:basedOn w:val="a"/>
    <w:uiPriority w:val="99"/>
    <w:semiHidden/>
    <w:pPr>
      <w:spacing w:before="100" w:beforeAutospacing="1" w:after="100" w:afterAutospacing="1"/>
    </w:pPr>
  </w:style>
  <w:style w:type="character" w:customStyle="1" w:styleId="grame">
    <w:name w:val="grame"/>
    <w:basedOn w:val="a0"/>
  </w:style>
  <w:style w:type="paragraph" w:styleId="a8">
    <w:name w:val="No Spacing"/>
    <w:uiPriority w:val="1"/>
    <w:qFormat/>
    <w:rsid w:val="00A57E71"/>
    <w:rPr>
      <w:rFonts w:eastAsiaTheme="minorEastAsia"/>
      <w:sz w:val="24"/>
      <w:szCs w:val="24"/>
      <w:lang w:val="ru-RU" w:eastAsia="ru-RU"/>
    </w:rPr>
  </w:style>
  <w:style w:type="paragraph" w:styleId="a9">
    <w:name w:val="List Paragraph"/>
    <w:basedOn w:val="a"/>
    <w:uiPriority w:val="34"/>
    <w:qFormat/>
    <w:rsid w:val="000F251B"/>
    <w:pPr>
      <w:ind w:left="720"/>
      <w:contextualSpacing/>
    </w:pPr>
    <w:rPr>
      <w:rFonts w:eastAsiaTheme="minorHAnsi"/>
      <w:sz w:val="20"/>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43327">
      <w:bodyDiv w:val="1"/>
      <w:marLeft w:val="0"/>
      <w:marRight w:val="0"/>
      <w:marTop w:val="0"/>
      <w:marBottom w:val="0"/>
      <w:divBdr>
        <w:top w:val="none" w:sz="0" w:space="0" w:color="auto"/>
        <w:left w:val="none" w:sz="0" w:space="0" w:color="auto"/>
        <w:bottom w:val="none" w:sz="0" w:space="0" w:color="auto"/>
        <w:right w:val="none" w:sz="0" w:space="0" w:color="auto"/>
      </w:divBdr>
    </w:div>
    <w:div w:id="19518157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236</TotalTime>
  <Pages>10</Pages>
  <Words>4640</Words>
  <Characters>26450</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AUTORITATEA AERONAUTICĂ CIVILĂ</Company>
  <LinksUpToDate>false</LinksUpToDate>
  <CharactersWithSpaces>31028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Păscăluță</dc:creator>
  <cp:lastModifiedBy>Admin</cp:lastModifiedBy>
  <cp:revision>4</cp:revision>
  <dcterms:created xsi:type="dcterms:W3CDTF">2021-03-30T09:54:00Z</dcterms:created>
  <dcterms:modified xsi:type="dcterms:W3CDTF">2021-03-31T08:11:00Z</dcterms:modified>
</cp:coreProperties>
</file>