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9D" w:rsidRPr="00FC0E9A" w:rsidRDefault="00FC0E9A" w:rsidP="00FC0E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C0E9A">
        <w:rPr>
          <w:rFonts w:ascii="Times New Roman" w:hAnsi="Times New Roman" w:cs="Times New Roman"/>
          <w:b/>
          <w:sz w:val="26"/>
          <w:szCs w:val="26"/>
          <w:lang w:val="ro-RO"/>
        </w:rPr>
        <w:t>NOTA INFORMATIVĂ</w:t>
      </w:r>
    </w:p>
    <w:p w:rsidR="00FC0E9A" w:rsidRPr="00FC0E9A" w:rsidRDefault="00FC0E9A" w:rsidP="00FC0E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r w:rsidRPr="00FC0E9A">
        <w:rPr>
          <w:rFonts w:ascii="Times New Roman" w:hAnsi="Times New Roman" w:cs="Times New Roman"/>
          <w:b/>
          <w:sz w:val="26"/>
          <w:szCs w:val="26"/>
          <w:lang w:val="ro-RO"/>
        </w:rPr>
        <w:t xml:space="preserve">a proiectul </w:t>
      </w:r>
      <w:proofErr w:type="spellStart"/>
      <w:r w:rsidRPr="00FC0E9A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FC0E9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cu privire la aprobarea Regulamentului cu privire la modalitatea de ținere a Registrului electronic al angajaților și de utilizare a Sistemului informațional automatizat</w:t>
      </w:r>
    </w:p>
    <w:p w:rsidR="00FC0E9A" w:rsidRDefault="00FC0E9A" w:rsidP="00FC0E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Style w:val="a5"/>
        <w:tblW w:w="9776" w:type="dxa"/>
        <w:tblInd w:w="-567" w:type="dxa"/>
        <w:tblLook w:val="04A0" w:firstRow="1" w:lastRow="0" w:firstColumn="1" w:lastColumn="0" w:noHBand="0" w:noVBand="1"/>
      </w:tblPr>
      <w:tblGrid>
        <w:gridCol w:w="9776"/>
      </w:tblGrid>
      <w:tr w:rsidR="00DE3C11" w:rsidRPr="00B102F5" w:rsidTr="00B102F5">
        <w:trPr>
          <w:trHeight w:val="276"/>
        </w:trPr>
        <w:tc>
          <w:tcPr>
            <w:tcW w:w="9776" w:type="dxa"/>
          </w:tcPr>
          <w:p w:rsidR="00DE3C11" w:rsidRPr="00225CA6" w:rsidRDefault="00225CA6" w:rsidP="00225CA6">
            <w:pPr>
              <w:ind w:right="-8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25C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DE3C11" w:rsidRPr="00B102F5" w:rsidTr="00B102F5">
        <w:trPr>
          <w:trHeight w:val="811"/>
        </w:trPr>
        <w:tc>
          <w:tcPr>
            <w:tcW w:w="9776" w:type="dxa"/>
          </w:tcPr>
          <w:p w:rsidR="00DE3C11" w:rsidRDefault="00225CA6" w:rsidP="008C6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E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proofErr w:type="spellStart"/>
            <w:r w:rsidRPr="00FC0E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FC0E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cu privire la aprobarea Regulamentului cu privire la modalitatea de ținere a Registrului electronic al angajaților și de utilizare a Sistemului informațional automatizat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 elaborat de către </w:t>
            </w:r>
            <w:r w:rsidR="008C6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Finanțelor</w:t>
            </w:r>
            <w:r w:rsidR="00B102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(Serviciul Fiscal de Stat).</w:t>
            </w:r>
            <w:bookmarkStart w:id="0" w:name="_GoBack"/>
            <w:bookmarkEnd w:id="0"/>
          </w:p>
        </w:tc>
      </w:tr>
      <w:tr w:rsidR="00DE3C11" w:rsidRPr="00B102F5" w:rsidTr="00B102F5">
        <w:trPr>
          <w:trHeight w:val="276"/>
        </w:trPr>
        <w:tc>
          <w:tcPr>
            <w:tcW w:w="9776" w:type="dxa"/>
          </w:tcPr>
          <w:p w:rsidR="00DE3C11" w:rsidRPr="00225CA6" w:rsidRDefault="00225CA6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25C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și finalitățile urmărite</w:t>
            </w:r>
          </w:p>
        </w:tc>
      </w:tr>
      <w:tr w:rsidR="00DE3C11" w:rsidRPr="00B102F5" w:rsidTr="00B102F5">
        <w:trPr>
          <w:trHeight w:val="6642"/>
        </w:trPr>
        <w:tc>
          <w:tcPr>
            <w:tcW w:w="9776" w:type="dxa"/>
          </w:tcPr>
          <w:p w:rsidR="00225CA6" w:rsidRPr="00FC1653" w:rsidRDefault="00225CA6" w:rsidP="00225CA6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cu privire la aprobarea Regulamentului cu privire la modalitatea de ținere a Registrului electronic al angajaților și de utilizare a Sistemului informațional automatizat a fost elaborat întru executarea  prevederilor pct. 4 din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Hotărîrea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681 din 10 septembrie 2020 ,,Cu privire la aprobarea Conceptului Sistemului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informaţional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automatizat ,,Registrul electronic al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angajaţilor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pentru sectorul bugetar, care stabilește că, Serviciul Fiscal de Stat, înainte de punerea în exploatare a Sistemului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informaţional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automatizat ,,Registrul electronic al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angajaţilor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va elabora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 prezenta Guvernului spre aprobare, prin intermediul Ministerului</w:t>
            </w:r>
            <w:r w:rsidR="00477DA4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77DA4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Finanţelor</w:t>
            </w:r>
            <w:proofErr w:type="spellEnd"/>
            <w:r w:rsidR="00477DA4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proiectul de </w:t>
            </w:r>
            <w:proofErr w:type="spellStart"/>
            <w:r w:rsidR="00477DA4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</w:t>
            </w: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aprobarea Regulamentului cu privire la modalitatea de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ţinere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Registrului electronic al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angajaţilor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utilizare a Sistemului </w:t>
            </w:r>
            <w:proofErr w:type="spellStart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informaţional</w:t>
            </w:r>
            <w:proofErr w:type="spellEnd"/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automatizat.</w:t>
            </w:r>
          </w:p>
          <w:p w:rsidR="00DE3C11" w:rsidRPr="00FC1653" w:rsidRDefault="00225CA6" w:rsidP="007832C0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prezent, unicele surse de informații cu privire la persoanele angajate sunt datele declarate de către angajatori în dările de seamă fiscale prezentate Serviciului Fis</w:t>
            </w:r>
            <w:r w:rsid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 de Stat, informațiile pe car</w:t>
            </w: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le dețin Casa Națională de Asigurări Sociale și Compania Națională de Asigurări în Medicină privind persoanele, precum și info</w:t>
            </w:r>
            <w:r w:rsidR="002841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rmațiile din Registrul funcțiilor</w:t>
            </w: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și al funcționarilor publici, însă aceste date nu sunt suficiente pentru crearea unui registru </w:t>
            </w:r>
            <w:r w:rsidR="007832C0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 național privind evidența raporturilor de muncă.</w:t>
            </w:r>
          </w:p>
          <w:p w:rsidR="00EA74BA" w:rsidRPr="00FC1653" w:rsidRDefault="00EA74BA" w:rsidP="00EA74BA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Astfel, proiectul Regulamentul</w:t>
            </w:r>
            <w:r w:rsidR="002841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modalitatea de ținere a Registrului electronic al angajaților și de utilizare a Sistemului informațional automatizat stabilește modul de organizare și mecanismul de funcționare a resursei informaționale destinate evidenței integrate și sistematizate a informației aferente raporturilor de muncă ale acestora.</w:t>
            </w:r>
          </w:p>
          <w:p w:rsidR="0096631F" w:rsidRPr="00FC1653" w:rsidRDefault="002841AC" w:rsidP="00F33DFD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Sistemul</w:t>
            </w:r>
            <w:r w:rsidR="00EA74BA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informațional automatizat ,,Registrul electronic al </w:t>
            </w:r>
            <w:proofErr w:type="spellStart"/>
            <w:r w:rsidR="00EA74BA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angajaţilor</w:t>
            </w:r>
            <w:proofErr w:type="spellEnd"/>
            <w:r w:rsidR="00EA74BA" w:rsidRPr="00FC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reprezintă totalitatea mijloacelor software, hardware, informaționale, organizaționale, a sistemelor de transmitere a datelor, a tehnologiilor de utilizare a lor, a normelor de drept și a infrastructurii pentru susținerea informațională a notificării, a evidenței, a monitorizării și a raportării informației cu privire la persoanele angajate din sectorul bugetar.</w:t>
            </w:r>
          </w:p>
        </w:tc>
      </w:tr>
      <w:tr w:rsidR="00DE3C11" w:rsidRPr="00B102F5" w:rsidTr="00B102F5">
        <w:trPr>
          <w:trHeight w:val="552"/>
        </w:trPr>
        <w:tc>
          <w:tcPr>
            <w:tcW w:w="9776" w:type="dxa"/>
          </w:tcPr>
          <w:p w:rsidR="00DE3C11" w:rsidRPr="0053727C" w:rsidRDefault="0053727C" w:rsidP="003B72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72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Descrierea gradului de compatibilitate pentru proiectele care au scop armonizarea legislației naționale cu legislația Uniunii Europene</w:t>
            </w:r>
          </w:p>
        </w:tc>
      </w:tr>
      <w:tr w:rsidR="00DE3C11" w:rsidRPr="00B102F5" w:rsidTr="00B102F5">
        <w:trPr>
          <w:trHeight w:val="552"/>
        </w:trPr>
        <w:tc>
          <w:tcPr>
            <w:tcW w:w="9776" w:type="dxa"/>
          </w:tcPr>
          <w:p w:rsidR="00DE3C11" w:rsidRDefault="002E046B" w:rsidP="00851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Guvern nu are drept scop armonizarea legislației naționale cu legislația Uniunii Europene.</w:t>
            </w:r>
          </w:p>
        </w:tc>
      </w:tr>
      <w:tr w:rsidR="00DE3C11" w:rsidRPr="00B102F5" w:rsidTr="00B102F5">
        <w:trPr>
          <w:trHeight w:val="259"/>
        </w:trPr>
        <w:tc>
          <w:tcPr>
            <w:tcW w:w="9776" w:type="dxa"/>
          </w:tcPr>
          <w:p w:rsidR="00DE3C11" w:rsidRPr="003B72C3" w:rsidRDefault="003B72C3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B72C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Principalele prevederi ale proiectului și evidențierea proiectelor noi</w:t>
            </w:r>
          </w:p>
        </w:tc>
      </w:tr>
      <w:tr w:rsidR="00DE3C11" w:rsidRPr="00B102F5" w:rsidTr="00B102F5">
        <w:trPr>
          <w:trHeight w:val="1691"/>
        </w:trPr>
        <w:tc>
          <w:tcPr>
            <w:tcW w:w="9776" w:type="dxa"/>
          </w:tcPr>
          <w:p w:rsidR="00DE3C11" w:rsidRDefault="003B72C3" w:rsidP="004A5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prevede </w:t>
            </w:r>
            <w:r w:rsidRPr="00FC0E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Regulamentului cu privire la modalitatea de ținere a Registrului electronic al angajaților și de utilizare a Sistemului informațional automatizat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33DFD" w:rsidRDefault="00F33DFD" w:rsidP="00F33DFD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24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Resursa informațională SIA REA reprezintă un spațiu informațional unic pentru stocarea înscrierilor referitoare la apariția și modificarea raporturilor de muncă a angajaților, care  oferă mecanisme automatizate și eficiente pentru gestionarea și monitorizarea on-line a informației despre persoanele angajate, precum și pentru analiza riscurilor nerespectării legislației. </w:t>
            </w:r>
          </w:p>
          <w:p w:rsidR="00F33DFD" w:rsidRDefault="00F33DFD" w:rsidP="00F33DFD">
            <w:pPr>
              <w:ind w:left="24" w:right="36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Registrul este parte componentă a resurselor informaționale de stat ale Republicii Moldova. Formarea resursei informaționale în cauză se realizează prin intermediul funcționării SIA „Registrul electronic al angajaților”.</w:t>
            </w:r>
          </w:p>
          <w:p w:rsidR="00F33DFD" w:rsidRDefault="00F33DFD" w:rsidP="00276519">
            <w:pPr>
              <w:ind w:left="24" w:right="36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SIA „Registrul electronic al angajaților” este destinat pentru a crea o resursă informațională privind persoanele angajate din sectorul bugetar de pe teritoriul Republicii Moldova prin colectarea, </w:t>
            </w:r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stocarea și actualizarea datelor aferente acestora. Informația respectivă va fi pusă la dispoziția persoanelor interesate, în conformitate cu legislația în vigoare.</w:t>
            </w:r>
          </w:p>
          <w:p w:rsidR="00F33DFD" w:rsidRDefault="00F33DFD" w:rsidP="002765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Regi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strul este organizat astfel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încî</w:t>
            </w:r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</w:t>
            </w:r>
            <w:proofErr w:type="spellEnd"/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să asigure ca procesele de înregistrare și acces să fie simple, eficiente, accesibile și transparente.</w:t>
            </w:r>
          </w:p>
          <w:p w:rsidR="00F33DFD" w:rsidRDefault="00F33DFD" w:rsidP="002765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248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Registrul conține date privind persoanele angajate din sectorul bugetar, și alte mențiuni privind raportul de muncă și obiectele de evidență.     </w:t>
            </w:r>
          </w:p>
        </w:tc>
      </w:tr>
      <w:tr w:rsidR="005436A4" w:rsidTr="00B102F5">
        <w:trPr>
          <w:trHeight w:val="276"/>
        </w:trPr>
        <w:tc>
          <w:tcPr>
            <w:tcW w:w="9776" w:type="dxa"/>
          </w:tcPr>
          <w:p w:rsidR="005436A4" w:rsidRPr="00781505" w:rsidRDefault="00781505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5. Fundamentarea </w:t>
            </w:r>
            <w:proofErr w:type="spellStart"/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-financiară</w:t>
            </w:r>
          </w:p>
        </w:tc>
      </w:tr>
      <w:tr w:rsidR="005436A4" w:rsidRPr="00B102F5" w:rsidTr="00B102F5">
        <w:trPr>
          <w:trHeight w:val="259"/>
        </w:trPr>
        <w:tc>
          <w:tcPr>
            <w:tcW w:w="9776" w:type="dxa"/>
          </w:tcPr>
          <w:p w:rsidR="005436A4" w:rsidRPr="007D7609" w:rsidRDefault="007D7609" w:rsidP="007D76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Adoptarea </w:t>
            </w:r>
            <w:proofErr w:type="spellStart"/>
            <w:r w:rsidR="0047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="0047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7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</w:t>
            </w:r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proofErr w:type="spellEnd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</w:t>
            </w:r>
            <w:proofErr w:type="spellEnd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7D7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436A4" w:rsidRPr="00B102F5" w:rsidTr="00B102F5">
        <w:trPr>
          <w:trHeight w:val="276"/>
        </w:trPr>
        <w:tc>
          <w:tcPr>
            <w:tcW w:w="9776" w:type="dxa"/>
          </w:tcPr>
          <w:p w:rsidR="005436A4" w:rsidRPr="00781505" w:rsidRDefault="00781505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5436A4" w:rsidRPr="00B102F5" w:rsidTr="00B102F5">
        <w:trPr>
          <w:trHeight w:val="552"/>
        </w:trPr>
        <w:tc>
          <w:tcPr>
            <w:tcW w:w="9776" w:type="dxa"/>
          </w:tcPr>
          <w:p w:rsidR="00B102F5" w:rsidRDefault="00171992" w:rsidP="0017199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implementarea prevederilor prezentului proiect va fi necesară modificarea și completarea </w:t>
            </w:r>
          </w:p>
          <w:p w:rsidR="005436A4" w:rsidRDefault="00171992" w:rsidP="0017199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altor acte normative, odată cu implementarea SIA REA.</w:t>
            </w:r>
          </w:p>
        </w:tc>
      </w:tr>
      <w:tr w:rsidR="005436A4" w:rsidRPr="00B102F5" w:rsidTr="00B102F5">
        <w:trPr>
          <w:trHeight w:val="259"/>
        </w:trPr>
        <w:tc>
          <w:tcPr>
            <w:tcW w:w="9776" w:type="dxa"/>
          </w:tcPr>
          <w:p w:rsidR="005436A4" w:rsidRPr="00781505" w:rsidRDefault="00781505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Avizarea și consultarea publică a proiectului</w:t>
            </w:r>
          </w:p>
        </w:tc>
      </w:tr>
      <w:tr w:rsidR="005436A4" w:rsidRPr="00B102F5" w:rsidTr="00B102F5">
        <w:trPr>
          <w:trHeight w:val="828"/>
        </w:trPr>
        <w:tc>
          <w:tcPr>
            <w:tcW w:w="9776" w:type="dxa"/>
          </w:tcPr>
          <w:p w:rsidR="005436A4" w:rsidRDefault="003803D5" w:rsidP="003803D5">
            <w:pPr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respectării prevederilor Legii nr. 239/2008 privind transparența în procesul decizional, proiectul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Guvern a fost plasat pe pagina oficială a Ministerului Finanțelor </w:t>
            </w:r>
            <w:hyperlink r:id="rId5" w:history="1">
              <w:r w:rsidRPr="00E376C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o-RO"/>
                </w:rPr>
                <w:t>www.mf.gov.md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compartimentul Transparență decizională, directoriul Procesul decizional.</w:t>
            </w:r>
          </w:p>
        </w:tc>
      </w:tr>
      <w:tr w:rsidR="005436A4" w:rsidTr="00B102F5">
        <w:trPr>
          <w:trHeight w:val="276"/>
        </w:trPr>
        <w:tc>
          <w:tcPr>
            <w:tcW w:w="9776" w:type="dxa"/>
          </w:tcPr>
          <w:p w:rsidR="005436A4" w:rsidRPr="00781505" w:rsidRDefault="00781505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150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Constatările expertizei anticorupție</w:t>
            </w:r>
          </w:p>
        </w:tc>
      </w:tr>
      <w:tr w:rsidR="005436A4" w:rsidRPr="00B102F5" w:rsidTr="00B102F5">
        <w:trPr>
          <w:trHeight w:val="552"/>
        </w:trPr>
        <w:tc>
          <w:tcPr>
            <w:tcW w:w="9776" w:type="dxa"/>
          </w:tcPr>
          <w:p w:rsidR="005436A4" w:rsidRDefault="00622B11" w:rsidP="003803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Informația privind rezultatele expertizei anticorupție va fi inclusă după recepționarea raportului de expertiză anticorupție în sinteza obiecțiilor și propunerilor/recomandărilor la proiectul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436A4" w:rsidTr="00B102F5">
        <w:trPr>
          <w:trHeight w:val="259"/>
        </w:trPr>
        <w:tc>
          <w:tcPr>
            <w:tcW w:w="9776" w:type="dxa"/>
          </w:tcPr>
          <w:p w:rsidR="005436A4" w:rsidRPr="00781505" w:rsidRDefault="00477DA4" w:rsidP="00FC0E9A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F167F2" w:rsidRPr="002765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Constatările expertizei juridice</w:t>
            </w:r>
          </w:p>
        </w:tc>
      </w:tr>
      <w:tr w:rsidR="005436A4" w:rsidRPr="00B102F5" w:rsidTr="00B102F5">
        <w:trPr>
          <w:trHeight w:val="1104"/>
        </w:trPr>
        <w:tc>
          <w:tcPr>
            <w:tcW w:w="9776" w:type="dxa"/>
          </w:tcPr>
          <w:p w:rsidR="005436A4" w:rsidRDefault="00F167F2" w:rsidP="00477D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Informația referitoare la concluziile expertizei de compatibilitate a proiectului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alte acte normative în vigoare, precum și respectarea normelor de tehnică legislativă va fi inclusă după recepționarea expertizei juridice în sinteza obiecțiilor și propunerilor/recomandărilor la proiectul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781505" w:rsidRDefault="00781505" w:rsidP="006973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781505" w:rsidRPr="007D7609" w:rsidRDefault="00781505" w:rsidP="006973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1505" w:rsidRDefault="00781505" w:rsidP="006973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781505" w:rsidRPr="00781505" w:rsidRDefault="00781505" w:rsidP="00FE0EFE">
      <w:pPr>
        <w:spacing w:after="0" w:line="360" w:lineRule="auto"/>
        <w:ind w:left="-851"/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 xml:space="preserve">          </w:t>
      </w:r>
      <w:r w:rsidR="00FE0EFE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 xml:space="preserve">Secretar de Stat                                                             </w:t>
      </w:r>
      <w:r w:rsidRPr="00781505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 xml:space="preserve">   </w:t>
      </w:r>
      <w:r w:rsidR="00FE0EFE" w:rsidRPr="00FE0EFE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>Tatiana IVANICICHINA</w:t>
      </w:r>
    </w:p>
    <w:p w:rsidR="00781505" w:rsidRPr="00781505" w:rsidRDefault="00781505" w:rsidP="006973E7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C0E9A" w:rsidRPr="00FC0E9A" w:rsidRDefault="00FC0E9A" w:rsidP="006973E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2248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C0E9A" w:rsidRPr="00FC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919BB"/>
    <w:multiLevelType w:val="hybridMultilevel"/>
    <w:tmpl w:val="5EC87798"/>
    <w:lvl w:ilvl="0" w:tplc="F7AAEB98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A21A3A36">
      <w:start w:val="1"/>
      <w:numFmt w:val="lowerLetter"/>
      <w:lvlText w:val="%2)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2" w:tplc="86FA9B0E">
      <w:start w:val="1"/>
      <w:numFmt w:val="lowerLetter"/>
      <w:lvlText w:val="%3)"/>
      <w:lvlJc w:val="right"/>
      <w:pPr>
        <w:ind w:left="2449" w:hanging="180"/>
      </w:pPr>
      <w:rPr>
        <w:rFonts w:ascii="Times New Roman" w:eastAsiaTheme="minorHAnsi" w:hAnsi="Times New Roman" w:cs="Times New Roman"/>
      </w:rPr>
    </w:lvl>
    <w:lvl w:ilvl="3" w:tplc="0818000F">
      <w:start w:val="1"/>
      <w:numFmt w:val="decimal"/>
      <w:lvlText w:val="%4."/>
      <w:lvlJc w:val="left"/>
      <w:pPr>
        <w:ind w:left="3447" w:hanging="360"/>
      </w:pPr>
    </w:lvl>
    <w:lvl w:ilvl="4" w:tplc="08180019">
      <w:start w:val="1"/>
      <w:numFmt w:val="lowerLetter"/>
      <w:lvlText w:val="%5."/>
      <w:lvlJc w:val="left"/>
      <w:pPr>
        <w:ind w:left="4167" w:hanging="360"/>
      </w:pPr>
    </w:lvl>
    <w:lvl w:ilvl="5" w:tplc="0818001B">
      <w:start w:val="1"/>
      <w:numFmt w:val="lowerRoman"/>
      <w:lvlText w:val="%6."/>
      <w:lvlJc w:val="right"/>
      <w:pPr>
        <w:ind w:left="4887" w:hanging="180"/>
      </w:pPr>
    </w:lvl>
    <w:lvl w:ilvl="6" w:tplc="0818000F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80"/>
    <w:rsid w:val="00171992"/>
    <w:rsid w:val="00225CA6"/>
    <w:rsid w:val="00261F80"/>
    <w:rsid w:val="00276519"/>
    <w:rsid w:val="00276A30"/>
    <w:rsid w:val="002841AC"/>
    <w:rsid w:val="002E046B"/>
    <w:rsid w:val="003803D5"/>
    <w:rsid w:val="003B72C3"/>
    <w:rsid w:val="00477DA4"/>
    <w:rsid w:val="004A560C"/>
    <w:rsid w:val="0053727C"/>
    <w:rsid w:val="005436A4"/>
    <w:rsid w:val="00622B11"/>
    <w:rsid w:val="006973E7"/>
    <w:rsid w:val="006E0161"/>
    <w:rsid w:val="00724AC0"/>
    <w:rsid w:val="00781505"/>
    <w:rsid w:val="007832C0"/>
    <w:rsid w:val="007D7609"/>
    <w:rsid w:val="00851678"/>
    <w:rsid w:val="008C6FFB"/>
    <w:rsid w:val="0096631F"/>
    <w:rsid w:val="00B102F5"/>
    <w:rsid w:val="00DE3C11"/>
    <w:rsid w:val="00EA74BA"/>
    <w:rsid w:val="00F167F2"/>
    <w:rsid w:val="00F31FCF"/>
    <w:rsid w:val="00F33DFD"/>
    <w:rsid w:val="00F80CA0"/>
    <w:rsid w:val="00F83F9D"/>
    <w:rsid w:val="00FC0E9A"/>
    <w:rsid w:val="00FC1653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E895"/>
  <w15:chartTrackingRefBased/>
  <w15:docId w15:val="{3556FDF1-D84A-4990-BDCB-E3EC73F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HotarirePunct1,List Paragraph"/>
    <w:basedOn w:val="a"/>
    <w:link w:val="a4"/>
    <w:uiPriority w:val="34"/>
    <w:qFormat/>
    <w:rsid w:val="00FC0E9A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aliases w:val="Scriptoria bullet points Знак,HotarirePunct1 Знак,List Paragraph Знак"/>
    <w:link w:val="a3"/>
    <w:uiPriority w:val="34"/>
    <w:locked/>
    <w:rsid w:val="00FC0E9A"/>
    <w:rPr>
      <w:lang w:val="en-US"/>
    </w:rPr>
  </w:style>
  <w:style w:type="table" w:styleId="a5">
    <w:name w:val="Table Grid"/>
    <w:basedOn w:val="a1"/>
    <w:uiPriority w:val="39"/>
    <w:rsid w:val="00DE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803D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Cebaniuc Irina</dc:creator>
  <cp:keywords/>
  <dc:description/>
  <cp:lastModifiedBy>Lucia Hincu</cp:lastModifiedBy>
  <cp:revision>32</cp:revision>
  <cp:lastPrinted>2021-01-11T10:52:00Z</cp:lastPrinted>
  <dcterms:created xsi:type="dcterms:W3CDTF">2020-11-11T14:31:00Z</dcterms:created>
  <dcterms:modified xsi:type="dcterms:W3CDTF">2021-01-11T10:52:00Z</dcterms:modified>
</cp:coreProperties>
</file>