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59" w:rsidRDefault="00B50E1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NOTĂ INFORMATIVĂ</w:t>
      </w:r>
    </w:p>
    <w:p w:rsidR="00F92459" w:rsidRDefault="00B50E15">
      <w:pPr>
        <w:spacing w:after="0"/>
        <w:ind w:right="-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la proiectul Hotărârii Guvernului </w:t>
      </w:r>
    </w:p>
    <w:p w:rsidR="00F92459" w:rsidRDefault="00B50E15">
      <w:pPr>
        <w:spacing w:after="0"/>
        <w:ind w:right="-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cu privire la alocarea mijloacelor financiare </w:t>
      </w:r>
    </w:p>
    <w:p w:rsidR="00F92459" w:rsidRDefault="00B50E15" w:rsidP="003276DE">
      <w:pPr>
        <w:ind w:right="-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pentru susținerea programelor raionale/municipale de granturi</w:t>
      </w:r>
    </w:p>
    <w:tbl>
      <w:tblPr>
        <w:tblStyle w:val="a9"/>
        <w:tblW w:w="96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F92459">
        <w:trPr>
          <w:trHeight w:val="225"/>
        </w:trPr>
        <w:tc>
          <w:tcPr>
            <w:tcW w:w="9660" w:type="dxa"/>
            <w:shd w:val="clear" w:color="auto" w:fill="D9D9D9"/>
            <w:vAlign w:val="center"/>
          </w:tcPr>
          <w:p w:rsidR="00F92459" w:rsidRDefault="00B50E1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1. Denumirea autorului și, după caz, a participanților la elaborarea proiectului</w:t>
            </w:r>
          </w:p>
        </w:tc>
      </w:tr>
      <w:tr w:rsidR="00F92459">
        <w:tc>
          <w:tcPr>
            <w:tcW w:w="9660" w:type="dxa"/>
          </w:tcPr>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Proiectul Hotărârii Guvernului </w:t>
            </w:r>
            <w:r>
              <w:rPr>
                <w:rFonts w:ascii="Times New Roman" w:eastAsia="Times New Roman" w:hAnsi="Times New Roman" w:cs="Times New Roman"/>
                <w:i/>
              </w:rPr>
              <w:t xml:space="preserve">Cu privire la alocarea mijloacelor financiare pentru susținerea programelor raionale/municipale de granturi </w:t>
            </w:r>
            <w:r>
              <w:rPr>
                <w:rFonts w:ascii="Times New Roman" w:eastAsia="Times New Roman" w:hAnsi="Times New Roman" w:cs="Times New Roman"/>
              </w:rPr>
              <w:t>este elaborat de Ministerul Educației, Culturii și Cercetării.</w:t>
            </w:r>
          </w:p>
        </w:tc>
      </w:tr>
      <w:tr w:rsidR="00F92459">
        <w:trPr>
          <w:trHeight w:val="101"/>
        </w:trPr>
        <w:tc>
          <w:tcPr>
            <w:tcW w:w="9660" w:type="dxa"/>
            <w:shd w:val="clear" w:color="auto" w:fill="D9D9D9"/>
            <w:vAlign w:val="center"/>
          </w:tcPr>
          <w:p w:rsidR="00F92459" w:rsidRDefault="00B50E1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2. Condițiile ce au impus elaborarea proiectului de act normativ și finalitățile urmărite</w:t>
            </w:r>
          </w:p>
        </w:tc>
      </w:tr>
      <w:tr w:rsidR="00F92459">
        <w:tc>
          <w:tcPr>
            <w:tcW w:w="9660" w:type="dxa"/>
          </w:tcPr>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Proiectul a fost elaborat în scopul punerii în aplicare a art. 6, alin. (1), lit. c) și art. 12, alin. (2), lit. c) din Legea nr. 215/2016 cu privire la tineret, art</w:t>
            </w:r>
            <w:r>
              <w:rPr>
                <w:rFonts w:ascii="Times New Roman" w:eastAsia="Times New Roman" w:hAnsi="Times New Roman" w:cs="Times New Roman"/>
              </w:rPr>
              <w:t>. 3, lit. c) din Legea bugetului de stat pentru anul 2021 nr. 258/2020, precum și în conformitate cu prevederile Acordurilor de parteneriat privind dezvoltarea centrelor de tineret, semnate între Ministerul Educaţiei, Culturii și Cercetării și consiliile r</w:t>
            </w:r>
            <w:r>
              <w:rPr>
                <w:rFonts w:ascii="Times New Roman" w:eastAsia="Times New Roman" w:hAnsi="Times New Roman" w:cs="Times New Roman"/>
              </w:rPr>
              <w:t>aionale, având drept scop sporirea nivelul de activism civic al tinerilor, inclusiv în rândul celor cu oportunități reduse, prin dezvoltarea mecanismelor (tip grant) de susținere a inițiativelor tinerilor la nivel de comunități.</w:t>
            </w:r>
          </w:p>
        </w:tc>
      </w:tr>
      <w:tr w:rsidR="00F92459">
        <w:tc>
          <w:tcPr>
            <w:tcW w:w="9660" w:type="dxa"/>
            <w:shd w:val="clear" w:color="auto" w:fill="D9D9D9"/>
          </w:tcPr>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3. Descrierea gradului de </w:t>
            </w:r>
            <w:r>
              <w:rPr>
                <w:rFonts w:ascii="Times New Roman" w:eastAsia="Times New Roman" w:hAnsi="Times New Roman" w:cs="Times New Roman"/>
                <w:b/>
              </w:rPr>
              <w:t>compatibilitate pentru proiectele care au ca scop armonizarea legislaţiei naţionale cu legislaţia Uniunii Europene</w:t>
            </w:r>
          </w:p>
        </w:tc>
      </w:tr>
      <w:tr w:rsidR="00F92459">
        <w:tc>
          <w:tcPr>
            <w:tcW w:w="9660" w:type="dxa"/>
          </w:tcPr>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Proiectul actului normativ nu conține norme privind armonizarea legislației naționale cu legislaţia Uniunii Europene.</w:t>
            </w:r>
          </w:p>
        </w:tc>
      </w:tr>
      <w:tr w:rsidR="00F92459">
        <w:trPr>
          <w:trHeight w:val="464"/>
        </w:trPr>
        <w:tc>
          <w:tcPr>
            <w:tcW w:w="9660" w:type="dxa"/>
            <w:shd w:val="clear" w:color="auto" w:fill="D9D9D9"/>
            <w:vAlign w:val="center"/>
          </w:tcPr>
          <w:p w:rsidR="00F92459" w:rsidRDefault="00B50E1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4. Principalele prevederi ale proiectului și evidențierea elementelor noi</w:t>
            </w:r>
          </w:p>
        </w:tc>
      </w:tr>
      <w:tr w:rsidR="00F92459">
        <w:tc>
          <w:tcPr>
            <w:tcW w:w="9660" w:type="dxa"/>
          </w:tcPr>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În temeiul angajamentelor asumate prin semnarea Acordurilor de colaborare între Ministerul Educației, Culturii și Cercetării și a</w:t>
            </w:r>
            <w:bookmarkStart w:id="0" w:name="_GoBack"/>
            <w:bookmarkEnd w:id="0"/>
            <w:r>
              <w:rPr>
                <w:rFonts w:ascii="Times New Roman" w:eastAsia="Times New Roman" w:hAnsi="Times New Roman" w:cs="Times New Roman"/>
              </w:rPr>
              <w:t>utoritățile administrației publice locale de nivel II privind implementarea Programului de dezvoltare a Centrelor de tineret 20</w:t>
            </w:r>
            <w:r>
              <w:rPr>
                <w:rFonts w:ascii="Times New Roman" w:eastAsia="Times New Roman" w:hAnsi="Times New Roman" w:cs="Times New Roman"/>
              </w:rPr>
              <w:t xml:space="preserve">22 (Ordin nr. 65 din 06.04.2017, </w:t>
            </w:r>
            <w:hyperlink r:id="rId6">
              <w:r>
                <w:rPr>
                  <w:rFonts w:ascii="Times New Roman" w:eastAsia="Times New Roman" w:hAnsi="Times New Roman" w:cs="Times New Roman"/>
                  <w:color w:val="1155CC"/>
                  <w:u w:val="single"/>
                </w:rPr>
                <w:t>https://mecc.gov.md/sites/default/files/doc.2.pdf</w:t>
              </w:r>
            </w:hyperlink>
            <w:r>
              <w:rPr>
                <w:rFonts w:ascii="Times New Roman" w:eastAsia="Times New Roman" w:hAnsi="Times New Roman" w:cs="Times New Roman"/>
              </w:rPr>
              <w:t>), autoritățile publice locale desfășoară anual programe de granturi pentru organizațiile de tineret și g</w:t>
            </w:r>
            <w:r>
              <w:rPr>
                <w:rFonts w:ascii="Times New Roman" w:eastAsia="Times New Roman" w:hAnsi="Times New Roman" w:cs="Times New Roman"/>
              </w:rPr>
              <w:t xml:space="preserve">rupurile de inițiativă. </w:t>
            </w:r>
          </w:p>
          <w:p w:rsidR="00F92459" w:rsidRDefault="00F92459">
            <w:pPr>
              <w:spacing w:line="276" w:lineRule="auto"/>
              <w:jc w:val="both"/>
              <w:rPr>
                <w:rFonts w:ascii="Times New Roman" w:eastAsia="Times New Roman" w:hAnsi="Times New Roman" w:cs="Times New Roman"/>
              </w:rPr>
            </w:pPr>
          </w:p>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Programul de granturi este desfășurat de fiecare autoritate publică locală în parte în baza Regulamentului-cadru privind organizarea şi desfăşurarea p</w:t>
            </w:r>
            <w:r>
              <w:rPr>
                <w:rFonts w:ascii="Times New Roman" w:eastAsia="Times New Roman" w:hAnsi="Times New Roman" w:cs="Times New Roman"/>
              </w:rPr>
              <w:t>rogramului de g</w:t>
            </w:r>
            <w:r>
              <w:rPr>
                <w:rFonts w:ascii="Times New Roman" w:eastAsia="Times New Roman" w:hAnsi="Times New Roman" w:cs="Times New Roman"/>
              </w:rPr>
              <w:t>ranturi pentru organizațiile de tineret și a concursului național</w:t>
            </w:r>
            <w:r>
              <w:rPr>
                <w:rFonts w:ascii="Times New Roman" w:eastAsia="Times New Roman" w:hAnsi="Times New Roman" w:cs="Times New Roman"/>
              </w:rPr>
              <w:t>/local de proiecte pentru grupurile de inițiativă ale tinerilor (</w:t>
            </w:r>
            <w:hyperlink r:id="rId7">
              <w:r>
                <w:rPr>
                  <w:rFonts w:ascii="Times New Roman" w:eastAsia="Times New Roman" w:hAnsi="Times New Roman" w:cs="Times New Roman"/>
                  <w:color w:val="1155CC"/>
                  <w:u w:val="single"/>
                </w:rPr>
                <w:t>https://www.legis.md/cautare/getResults?doc_id=109593&amp;lang=ro</w:t>
              </w:r>
            </w:hyperlink>
            <w:r>
              <w:rPr>
                <w:rFonts w:ascii="Times New Roman" w:eastAsia="Times New Roman" w:hAnsi="Times New Roman" w:cs="Times New Roman"/>
              </w:rPr>
              <w:t xml:space="preserve">). </w:t>
            </w:r>
          </w:p>
          <w:p w:rsidR="00F92459" w:rsidRDefault="00F92459">
            <w:pPr>
              <w:spacing w:line="276" w:lineRule="auto"/>
              <w:jc w:val="both"/>
              <w:rPr>
                <w:rFonts w:ascii="Times New Roman" w:eastAsia="Times New Roman" w:hAnsi="Times New Roman" w:cs="Times New Roman"/>
              </w:rPr>
            </w:pPr>
          </w:p>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Autoritățile publice locale care au aprobat </w:t>
            </w:r>
            <w:r>
              <w:rPr>
                <w:rFonts w:ascii="Times New Roman" w:eastAsia="Times New Roman" w:hAnsi="Times New Roman" w:cs="Times New Roman"/>
              </w:rPr>
              <w:t>Regulamentul-cadru sus menționat și au prevăzut mijloace financiare pentru desfășurarea p</w:t>
            </w:r>
            <w:r>
              <w:rPr>
                <w:rFonts w:ascii="Times New Roman" w:eastAsia="Times New Roman" w:hAnsi="Times New Roman" w:cs="Times New Roman"/>
              </w:rPr>
              <w:t xml:space="preserve">rogramului de granturi adresează ministerului cu solicitarea de co-finanțare, în baza angajamentelor comune asumate. </w:t>
            </w:r>
          </w:p>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Mijloacele financiare sunt transferate de la bug</w:t>
            </w:r>
            <w:r>
              <w:rPr>
                <w:rFonts w:ascii="Times New Roman" w:eastAsia="Times New Roman" w:hAnsi="Times New Roman" w:cs="Times New Roman"/>
              </w:rPr>
              <w:t>etul de stat autorităților publice locale, în baza solicitării Ministerului Educației, Culturii și Cercetării, urmare a recepționării setului de acte obligatorii (decizia de aprobare a Regulamentului privind organizarea și desfășurarea p</w:t>
            </w:r>
            <w:r>
              <w:rPr>
                <w:rFonts w:ascii="Times New Roman" w:eastAsia="Times New Roman" w:hAnsi="Times New Roman" w:cs="Times New Roman"/>
              </w:rPr>
              <w:t>rogramului de grant</w:t>
            </w:r>
            <w:r>
              <w:rPr>
                <w:rFonts w:ascii="Times New Roman" w:eastAsia="Times New Roman" w:hAnsi="Times New Roman" w:cs="Times New Roman"/>
              </w:rPr>
              <w:t xml:space="preserve">uri pentru organizațiile de tineret și a concursului local de proiecte pentru grupurile de inițiativă ale tinerilor; decizia de creare a comisiei de examinare și selectare a inițiativelor/proiectelor tinerilor înaintate în cadrul concursului; extrasul din </w:t>
            </w:r>
            <w:r>
              <w:rPr>
                <w:rFonts w:ascii="Times New Roman" w:eastAsia="Times New Roman" w:hAnsi="Times New Roman" w:cs="Times New Roman"/>
              </w:rPr>
              <w:t>contul curent al Centrului de t</w:t>
            </w:r>
            <w:r>
              <w:rPr>
                <w:rFonts w:ascii="Times New Roman" w:eastAsia="Times New Roman" w:hAnsi="Times New Roman" w:cs="Times New Roman"/>
              </w:rPr>
              <w:t>ineret coordonator al procesului de implementare a p</w:t>
            </w:r>
            <w:r>
              <w:rPr>
                <w:rFonts w:ascii="Times New Roman" w:eastAsia="Times New Roman" w:hAnsi="Times New Roman" w:cs="Times New Roman"/>
              </w:rPr>
              <w:t>rogramului raional/municipal de granturi pentru tineri, în care vor fi reflectate alocațiile financiare din bugetul c</w:t>
            </w:r>
            <w:r>
              <w:rPr>
                <w:rFonts w:ascii="Times New Roman" w:eastAsia="Times New Roman" w:hAnsi="Times New Roman" w:cs="Times New Roman"/>
              </w:rPr>
              <w:t xml:space="preserve">onsiliului raional/municipal </w:t>
            </w:r>
            <w:r w:rsidR="00DF3376">
              <w:rPr>
                <w:rFonts w:ascii="Times New Roman" w:eastAsia="Times New Roman" w:hAnsi="Times New Roman" w:cs="Times New Roman"/>
              </w:rPr>
              <w:t>și p</w:t>
            </w:r>
            <w:r>
              <w:rPr>
                <w:rFonts w:ascii="Times New Roman" w:eastAsia="Times New Roman" w:hAnsi="Times New Roman" w:cs="Times New Roman"/>
              </w:rPr>
              <w:t>rocesul-verbal al comisiei</w:t>
            </w:r>
            <w:r>
              <w:rPr>
                <w:rFonts w:ascii="Times New Roman" w:eastAsia="Times New Roman" w:hAnsi="Times New Roman" w:cs="Times New Roman"/>
              </w:rPr>
              <w:t xml:space="preserve"> privind examinarea şi selectarea inițiativelor/ proiectelor, cu lista proiectelor câștigătoare).</w:t>
            </w:r>
          </w:p>
          <w:p w:rsidR="00F92459" w:rsidRDefault="00F92459">
            <w:pPr>
              <w:spacing w:line="276" w:lineRule="auto"/>
              <w:jc w:val="both"/>
              <w:rPr>
                <w:rFonts w:ascii="Times New Roman" w:eastAsia="Times New Roman" w:hAnsi="Times New Roman" w:cs="Times New Roman"/>
              </w:rPr>
            </w:pPr>
          </w:p>
          <w:p w:rsidR="00F92459" w:rsidRDefault="00B50E15" w:rsidP="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Pentru anul curent, din 22 a</w:t>
            </w:r>
            <w:r>
              <w:rPr>
                <w:rFonts w:ascii="Times New Roman" w:eastAsia="Times New Roman" w:hAnsi="Times New Roman" w:cs="Times New Roman"/>
              </w:rPr>
              <w:t>utorități ale administrației publice locale de nivel II cu care ministerul are semnate acorduri de colaborarea, au fost înaintate</w:t>
            </w:r>
            <w:r>
              <w:rPr>
                <w:rFonts w:ascii="Times New Roman" w:eastAsia="Times New Roman" w:hAnsi="Times New Roman" w:cs="Times New Roman"/>
              </w:rPr>
              <w:t xml:space="preserve"> solicitări pentru finanțare de către 15 autorități, în sumă totală de 960,0 mii lei. </w:t>
            </w:r>
          </w:p>
        </w:tc>
      </w:tr>
      <w:tr w:rsidR="00F92459">
        <w:tc>
          <w:tcPr>
            <w:tcW w:w="9660" w:type="dxa"/>
            <w:shd w:val="clear" w:color="auto" w:fill="D9D9D9"/>
            <w:vAlign w:val="center"/>
          </w:tcPr>
          <w:p w:rsidR="00F92459" w:rsidRDefault="00B50E15">
            <w:pPr>
              <w:spacing w:line="276" w:lineRule="auto"/>
              <w:rPr>
                <w:rFonts w:ascii="Times New Roman" w:eastAsia="Times New Roman" w:hAnsi="Times New Roman" w:cs="Times New Roman"/>
                <w:b/>
              </w:rPr>
            </w:pPr>
            <w:r>
              <w:rPr>
                <w:rFonts w:ascii="Times New Roman" w:eastAsia="Times New Roman" w:hAnsi="Times New Roman" w:cs="Times New Roman"/>
                <w:b/>
              </w:rPr>
              <w:lastRenderedPageBreak/>
              <w:t>5. Fundamentarea economico-financiară</w:t>
            </w:r>
          </w:p>
        </w:tc>
      </w:tr>
      <w:tr w:rsidR="00F92459">
        <w:tc>
          <w:tcPr>
            <w:tcW w:w="9660" w:type="dxa"/>
            <w:shd w:val="clear" w:color="auto" w:fill="FFFFFF"/>
          </w:tcPr>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Mijloacele financiare necesare implementării prevederilor proiectului hotărârii Guvernului au fost planificate în Legea bugetului de stat pentru anul 2021 (art. 3, litera c)) și nu necesită alocații suplimentare.</w:t>
            </w:r>
          </w:p>
        </w:tc>
      </w:tr>
      <w:tr w:rsidR="00F92459">
        <w:tc>
          <w:tcPr>
            <w:tcW w:w="9660" w:type="dxa"/>
            <w:shd w:val="clear" w:color="auto" w:fill="D9D9D9"/>
            <w:vAlign w:val="center"/>
          </w:tcPr>
          <w:p w:rsidR="00F92459" w:rsidRDefault="00B50E15">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6. </w:t>
            </w:r>
            <w:r>
              <w:rPr>
                <w:rFonts w:ascii="Times New Roman" w:eastAsia="Times New Roman" w:hAnsi="Times New Roman" w:cs="Times New Roman"/>
                <w:b/>
                <w:shd w:val="clear" w:color="auto" w:fill="D9D9D9"/>
              </w:rPr>
              <w:t>Modul de încorporare a actului în cadru</w:t>
            </w:r>
            <w:r>
              <w:rPr>
                <w:rFonts w:ascii="Times New Roman" w:eastAsia="Times New Roman" w:hAnsi="Times New Roman" w:cs="Times New Roman"/>
                <w:b/>
                <w:shd w:val="clear" w:color="auto" w:fill="D9D9D9"/>
              </w:rPr>
              <w:t>l normativ în vigoare</w:t>
            </w:r>
          </w:p>
        </w:tc>
      </w:tr>
      <w:tr w:rsidR="00F92459">
        <w:tc>
          <w:tcPr>
            <w:tcW w:w="9660" w:type="dxa"/>
            <w:shd w:val="clear" w:color="auto" w:fill="FFFFFF"/>
          </w:tcPr>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Proiectul se integrează în sistemul legislației și este corelat cu prevederile actelor normative în vigoare, cu care se află în conexiune și nu va necesita modificarea altor acte legislative sau normative.</w:t>
            </w:r>
          </w:p>
        </w:tc>
      </w:tr>
      <w:tr w:rsidR="00F92459">
        <w:tc>
          <w:tcPr>
            <w:tcW w:w="9660" w:type="dxa"/>
            <w:shd w:val="clear" w:color="auto" w:fill="D9D9D9"/>
            <w:vAlign w:val="center"/>
          </w:tcPr>
          <w:p w:rsidR="00F92459" w:rsidRDefault="00B50E15">
            <w:pPr>
              <w:spacing w:line="276" w:lineRule="auto"/>
              <w:rPr>
                <w:rFonts w:ascii="Times New Roman" w:eastAsia="Times New Roman" w:hAnsi="Times New Roman" w:cs="Times New Roman"/>
                <w:b/>
              </w:rPr>
            </w:pPr>
            <w:r>
              <w:rPr>
                <w:rFonts w:ascii="Times New Roman" w:eastAsia="Times New Roman" w:hAnsi="Times New Roman" w:cs="Times New Roman"/>
                <w:b/>
              </w:rPr>
              <w:t>7. Avizarea și consultarea</w:t>
            </w:r>
            <w:r>
              <w:rPr>
                <w:rFonts w:ascii="Times New Roman" w:eastAsia="Times New Roman" w:hAnsi="Times New Roman" w:cs="Times New Roman"/>
                <w:b/>
              </w:rPr>
              <w:t xml:space="preserve"> publică a proiectului</w:t>
            </w:r>
          </w:p>
        </w:tc>
      </w:tr>
      <w:tr w:rsidR="00F92459">
        <w:tc>
          <w:tcPr>
            <w:tcW w:w="9660" w:type="dxa"/>
            <w:shd w:val="clear" w:color="auto" w:fill="FFFFFF"/>
          </w:tcPr>
          <w:p w:rsidR="00F92459" w:rsidRDefault="00B50E15">
            <w:pPr>
              <w:spacing w:line="276" w:lineRule="auto"/>
              <w:jc w:val="both"/>
              <w:rPr>
                <w:rFonts w:ascii="Times New Roman" w:eastAsia="Times New Roman" w:hAnsi="Times New Roman" w:cs="Times New Roman"/>
              </w:rPr>
            </w:pPr>
            <w:r>
              <w:rPr>
                <w:rFonts w:ascii="Times New Roman" w:eastAsia="Times New Roman" w:hAnsi="Times New Roman" w:cs="Times New Roman"/>
              </w:rPr>
              <w:t>În scopul respectării prevederilor Legii nr. 239/2008 privind transparenţa în procesul decizional, proiectul Hotărârii de Guvern urmează a fi plasat pe pagina web oficială a Ministerului Educației, Culturii și Cercetării www.mecc.go</w:t>
            </w:r>
            <w:r>
              <w:rPr>
                <w:rFonts w:ascii="Times New Roman" w:eastAsia="Times New Roman" w:hAnsi="Times New Roman" w:cs="Times New Roman"/>
              </w:rPr>
              <w:t xml:space="preserve">v.md, compartimentul </w:t>
            </w:r>
            <w:r>
              <w:rPr>
                <w:rFonts w:ascii="Times New Roman" w:eastAsia="Times New Roman" w:hAnsi="Times New Roman" w:cs="Times New Roman"/>
                <w:i/>
              </w:rPr>
              <w:t>Transparenţă</w:t>
            </w:r>
            <w:r>
              <w:rPr>
                <w:rFonts w:ascii="Times New Roman" w:eastAsia="Times New Roman" w:hAnsi="Times New Roman" w:cs="Times New Roman"/>
              </w:rPr>
              <w:t xml:space="preserve">, directoriul </w:t>
            </w:r>
            <w:r>
              <w:rPr>
                <w:rFonts w:ascii="Times New Roman" w:eastAsia="Times New Roman" w:hAnsi="Times New Roman" w:cs="Times New Roman"/>
                <w:i/>
              </w:rPr>
              <w:t>Transparenţă decizională</w:t>
            </w:r>
            <w:r>
              <w:rPr>
                <w:rFonts w:ascii="Times New Roman" w:eastAsia="Times New Roman" w:hAnsi="Times New Roman" w:cs="Times New Roman"/>
              </w:rPr>
              <w:t xml:space="preserve">. </w:t>
            </w:r>
          </w:p>
        </w:tc>
      </w:tr>
    </w:tbl>
    <w:p w:rsidR="00F92459" w:rsidRDefault="00F92459">
      <w:pPr>
        <w:rPr>
          <w:rFonts w:ascii="Times New Roman" w:eastAsia="Times New Roman" w:hAnsi="Times New Roman" w:cs="Times New Roman"/>
          <w:b/>
          <w:sz w:val="28"/>
          <w:szCs w:val="28"/>
        </w:rPr>
      </w:pPr>
    </w:p>
    <w:p w:rsidR="00F92459" w:rsidRDefault="00F92459">
      <w:pPr>
        <w:rPr>
          <w:rFonts w:ascii="Times New Roman" w:eastAsia="Times New Roman" w:hAnsi="Times New Roman" w:cs="Times New Roman"/>
          <w:b/>
          <w:sz w:val="28"/>
          <w:szCs w:val="28"/>
        </w:rPr>
      </w:pPr>
    </w:p>
    <w:p w:rsidR="00F92459" w:rsidRDefault="00B50E15">
      <w:pPr>
        <w:tabs>
          <w:tab w:val="right" w:pos="0"/>
        </w:tabs>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Lilia POGOLȘA</w:t>
      </w:r>
    </w:p>
    <w:p w:rsidR="00F92459" w:rsidRDefault="00B50E15">
      <w:pPr>
        <w:tabs>
          <w:tab w:val="right" w:pos="0"/>
        </w:tabs>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Ministru</w:t>
      </w:r>
    </w:p>
    <w:p w:rsidR="00F92459" w:rsidRDefault="00F92459">
      <w:pPr>
        <w:spacing w:after="0"/>
        <w:rPr>
          <w:rFonts w:ascii="Times New Roman" w:eastAsia="Times New Roman" w:hAnsi="Times New Roman" w:cs="Times New Roman"/>
          <w:b/>
          <w:sz w:val="28"/>
          <w:szCs w:val="28"/>
        </w:rPr>
      </w:pPr>
    </w:p>
    <w:p w:rsidR="00F92459" w:rsidRDefault="00F92459">
      <w:pPr>
        <w:spacing w:after="0"/>
        <w:rPr>
          <w:rFonts w:ascii="Times New Roman" w:eastAsia="Times New Roman" w:hAnsi="Times New Roman" w:cs="Times New Roman"/>
          <w:b/>
          <w:sz w:val="28"/>
          <w:szCs w:val="28"/>
        </w:rPr>
      </w:pPr>
    </w:p>
    <w:p w:rsidR="00F92459" w:rsidRDefault="00F92459">
      <w:pPr>
        <w:spacing w:after="0"/>
        <w:rPr>
          <w:rFonts w:ascii="Times New Roman" w:eastAsia="Times New Roman" w:hAnsi="Times New Roman" w:cs="Times New Roman"/>
          <w:b/>
          <w:sz w:val="28"/>
          <w:szCs w:val="28"/>
        </w:rPr>
      </w:pPr>
    </w:p>
    <w:p w:rsidR="003276DE" w:rsidRDefault="003276DE">
      <w:pPr>
        <w:spacing w:after="0"/>
        <w:rPr>
          <w:rFonts w:ascii="Times New Roman" w:eastAsia="Times New Roman" w:hAnsi="Times New Roman" w:cs="Times New Roman"/>
          <w:b/>
          <w:sz w:val="28"/>
          <w:szCs w:val="28"/>
        </w:rPr>
      </w:pPr>
    </w:p>
    <w:p w:rsidR="00F92459" w:rsidRDefault="00F92459">
      <w:pPr>
        <w:spacing w:after="0"/>
        <w:rPr>
          <w:rFonts w:ascii="Times New Roman" w:eastAsia="Times New Roman" w:hAnsi="Times New Roman" w:cs="Times New Roman"/>
          <w:b/>
          <w:sz w:val="28"/>
          <w:szCs w:val="28"/>
        </w:rPr>
      </w:pPr>
    </w:p>
    <w:p w:rsidR="00F92459" w:rsidRDefault="00F92459">
      <w:pPr>
        <w:spacing w:after="0"/>
        <w:rPr>
          <w:rFonts w:ascii="Times New Roman" w:eastAsia="Times New Roman" w:hAnsi="Times New Roman" w:cs="Times New Roman"/>
          <w:b/>
          <w:sz w:val="28"/>
          <w:szCs w:val="28"/>
        </w:rPr>
      </w:pPr>
    </w:p>
    <w:p w:rsidR="00F92459" w:rsidRDefault="00F92459">
      <w:pPr>
        <w:spacing w:after="0"/>
        <w:rPr>
          <w:rFonts w:ascii="Times New Roman" w:eastAsia="Times New Roman" w:hAnsi="Times New Roman" w:cs="Times New Roman"/>
          <w:b/>
          <w:sz w:val="28"/>
          <w:szCs w:val="28"/>
        </w:rPr>
      </w:pPr>
    </w:p>
    <w:p w:rsidR="00F92459" w:rsidRDefault="00B50E15">
      <w:pPr>
        <w:spacing w:after="0" w:line="240" w:lineRule="auto"/>
        <w:jc w:val="both"/>
        <w:rPr>
          <w:rFonts w:ascii="Times New Roman" w:eastAsia="Times New Roman" w:hAnsi="Times New Roman" w:cs="Times New Roman"/>
          <w:i/>
          <w:sz w:val="16"/>
          <w:szCs w:val="16"/>
        </w:rPr>
      </w:pPr>
      <w:bookmarkStart w:id="1" w:name="_heading=h.gjdgxs" w:colFirst="0" w:colLast="0"/>
      <w:bookmarkEnd w:id="1"/>
      <w:r>
        <w:rPr>
          <w:rFonts w:ascii="Times New Roman" w:eastAsia="Times New Roman" w:hAnsi="Times New Roman" w:cs="Times New Roman"/>
          <w:i/>
          <w:sz w:val="16"/>
          <w:szCs w:val="16"/>
        </w:rPr>
        <w:t xml:space="preserve">Ex. Aliona Dumbrăveanu </w:t>
      </w:r>
    </w:p>
    <w:p w:rsidR="00F92459" w:rsidRPr="003276DE" w:rsidRDefault="00B50E15" w:rsidP="003276DE">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Tel. 022 820-859</w:t>
      </w:r>
    </w:p>
    <w:sectPr w:rsidR="00F92459" w:rsidRPr="003276DE" w:rsidSect="003276DE">
      <w:pgSz w:w="11906" w:h="16838"/>
      <w:pgMar w:top="851" w:right="851"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F92459"/>
    <w:rsid w:val="003276DE"/>
    <w:rsid w:val="00B50E15"/>
    <w:rsid w:val="00DF3376"/>
    <w:rsid w:val="00F92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72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DA572A"/>
    <w:pPr>
      <w:ind w:left="720"/>
      <w:contextualSpacing/>
    </w:pPr>
  </w:style>
  <w:style w:type="table" w:styleId="a5">
    <w:name w:val="Table Grid"/>
    <w:basedOn w:val="a1"/>
    <w:uiPriority w:val="59"/>
    <w:rsid w:val="00DA572A"/>
    <w:pPr>
      <w:spacing w:after="0" w:line="240" w:lineRule="auto"/>
    </w:pPr>
    <w:rPr>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A57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572A"/>
    <w:rPr>
      <w:rFonts w:ascii="Tahoma" w:hAnsi="Tahoma" w:cs="Tahoma"/>
      <w:sz w:val="16"/>
      <w:szCs w:val="16"/>
      <w:lang w:val="ro-RO"/>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rPr>
      <w:sz w:val="28"/>
      <w:szCs w:val="28"/>
    </w:r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72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DA572A"/>
    <w:pPr>
      <w:ind w:left="720"/>
      <w:contextualSpacing/>
    </w:pPr>
  </w:style>
  <w:style w:type="table" w:styleId="a5">
    <w:name w:val="Table Grid"/>
    <w:basedOn w:val="a1"/>
    <w:uiPriority w:val="59"/>
    <w:rsid w:val="00DA572A"/>
    <w:pPr>
      <w:spacing w:after="0" w:line="240" w:lineRule="auto"/>
    </w:pPr>
    <w:rPr>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A57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572A"/>
    <w:rPr>
      <w:rFonts w:ascii="Tahoma" w:hAnsi="Tahoma" w:cs="Tahoma"/>
      <w:sz w:val="16"/>
      <w:szCs w:val="16"/>
      <w:lang w:val="ro-RO"/>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rPr>
      <w:sz w:val="28"/>
      <w:szCs w:val="28"/>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egis.md/cautare/getResults?doc_id=109593&amp;lang=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ecc.gov.md/sites/default/files/doc.2.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MPtmr2XfgGoeSG3P2PMKG3iOwg==">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Erhan</dc:creator>
  <cp:lastModifiedBy>Admin</cp:lastModifiedBy>
  <cp:revision>4</cp:revision>
  <dcterms:created xsi:type="dcterms:W3CDTF">2021-03-17T11:21:00Z</dcterms:created>
  <dcterms:modified xsi:type="dcterms:W3CDTF">2021-04-07T11:30:00Z</dcterms:modified>
</cp:coreProperties>
</file>