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44" w:rsidRPr="001B0FF8" w:rsidRDefault="00CC4536" w:rsidP="005760A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0FF8">
        <w:rPr>
          <w:rFonts w:ascii="Times New Roman" w:hAnsi="Times New Roman" w:cs="Times New Roman"/>
          <w:b/>
          <w:sz w:val="28"/>
          <w:szCs w:val="24"/>
        </w:rPr>
        <w:t xml:space="preserve">Nota </w:t>
      </w:r>
      <w:proofErr w:type="spellStart"/>
      <w:r w:rsidRPr="001B0FF8">
        <w:rPr>
          <w:rFonts w:ascii="Times New Roman" w:hAnsi="Times New Roman" w:cs="Times New Roman"/>
          <w:b/>
          <w:sz w:val="28"/>
          <w:szCs w:val="24"/>
        </w:rPr>
        <w:t>informativă</w:t>
      </w:r>
      <w:proofErr w:type="spellEnd"/>
      <w:r w:rsidR="005760AF" w:rsidRPr="001B0FF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A55D9" w:rsidRPr="001B0FF8" w:rsidRDefault="005760AF" w:rsidP="005760A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B0FF8">
        <w:rPr>
          <w:rFonts w:ascii="Times New Roman" w:hAnsi="Times New Roman" w:cs="Times New Roman"/>
          <w:b/>
          <w:sz w:val="28"/>
          <w:szCs w:val="24"/>
        </w:rPr>
        <w:t>la</w:t>
      </w:r>
      <w:proofErr w:type="gramEnd"/>
      <w:r w:rsidRPr="001B0F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1B0FF8">
        <w:rPr>
          <w:rFonts w:ascii="Times New Roman" w:hAnsi="Times New Roman" w:cs="Times New Roman"/>
          <w:b/>
          <w:sz w:val="28"/>
          <w:szCs w:val="24"/>
        </w:rPr>
        <w:t>proiectul</w:t>
      </w:r>
      <w:proofErr w:type="spellEnd"/>
      <w:r w:rsidRPr="001B0F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1B0FF8">
        <w:rPr>
          <w:rFonts w:ascii="Times New Roman" w:hAnsi="Times New Roman" w:cs="Times New Roman"/>
          <w:b/>
          <w:sz w:val="28"/>
          <w:szCs w:val="24"/>
        </w:rPr>
        <w:t>hotărârii</w:t>
      </w:r>
      <w:proofErr w:type="spellEnd"/>
      <w:r w:rsidRPr="001B0FF8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Pr="001B0FF8">
        <w:rPr>
          <w:rFonts w:ascii="Times New Roman" w:hAnsi="Times New Roman" w:cs="Times New Roman"/>
          <w:b/>
          <w:sz w:val="28"/>
          <w:szCs w:val="24"/>
        </w:rPr>
        <w:t>Guvern</w:t>
      </w:r>
      <w:proofErr w:type="spellEnd"/>
      <w:r w:rsidRPr="001B0FF8">
        <w:rPr>
          <w:rFonts w:ascii="Times New Roman" w:hAnsi="Times New Roman" w:cs="Times New Roman"/>
          <w:b/>
          <w:sz w:val="28"/>
          <w:szCs w:val="24"/>
        </w:rPr>
        <w:t xml:space="preserve"> cu </w:t>
      </w:r>
      <w:proofErr w:type="spellStart"/>
      <w:r w:rsidRPr="001B0FF8">
        <w:rPr>
          <w:rFonts w:ascii="Times New Roman" w:hAnsi="Times New Roman" w:cs="Times New Roman"/>
          <w:b/>
          <w:sz w:val="28"/>
          <w:szCs w:val="24"/>
        </w:rPr>
        <w:t>privire</w:t>
      </w:r>
      <w:proofErr w:type="spellEnd"/>
      <w:r w:rsidRPr="001B0F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E5944" w:rsidRPr="001B0FF8">
        <w:rPr>
          <w:rFonts w:ascii="Times New Roman" w:hAnsi="Times New Roman" w:cs="Times New Roman"/>
          <w:b/>
          <w:sz w:val="28"/>
          <w:szCs w:val="24"/>
        </w:rPr>
        <w:t>modificarea</w:t>
      </w:r>
      <w:proofErr w:type="spellEnd"/>
      <w:r w:rsidR="004E5944" w:rsidRPr="001B0F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E5944" w:rsidRPr="001B0FF8">
        <w:rPr>
          <w:rFonts w:ascii="Times New Roman" w:hAnsi="Times New Roman" w:cs="Times New Roman"/>
          <w:b/>
          <w:sz w:val="28"/>
          <w:szCs w:val="24"/>
        </w:rPr>
        <w:t>unor</w:t>
      </w:r>
      <w:proofErr w:type="spellEnd"/>
      <w:r w:rsidR="004E5944" w:rsidRPr="001B0F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E5944" w:rsidRPr="001B0FF8">
        <w:rPr>
          <w:rFonts w:ascii="Times New Roman" w:hAnsi="Times New Roman" w:cs="Times New Roman"/>
          <w:b/>
          <w:sz w:val="28"/>
          <w:szCs w:val="24"/>
        </w:rPr>
        <w:t>hotărâri</w:t>
      </w:r>
      <w:proofErr w:type="spellEnd"/>
      <w:r w:rsidR="004E5944" w:rsidRPr="001B0FF8">
        <w:rPr>
          <w:rFonts w:ascii="Times New Roman" w:hAnsi="Times New Roman" w:cs="Times New Roman"/>
          <w:b/>
          <w:sz w:val="28"/>
          <w:szCs w:val="24"/>
        </w:rPr>
        <w:t xml:space="preserve"> ale </w:t>
      </w:r>
      <w:proofErr w:type="spellStart"/>
      <w:r w:rsidR="004E5944" w:rsidRPr="001B0FF8">
        <w:rPr>
          <w:rFonts w:ascii="Times New Roman" w:hAnsi="Times New Roman" w:cs="Times New Roman"/>
          <w:b/>
          <w:sz w:val="28"/>
          <w:szCs w:val="24"/>
        </w:rPr>
        <w:t>Guvernului</w:t>
      </w:r>
      <w:proofErr w:type="spellEnd"/>
      <w:r w:rsidR="001F7BF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F7BF3">
        <w:rPr>
          <w:rFonts w:ascii="Times New Roman" w:hAnsi="Times New Roman" w:cs="Times New Roman"/>
          <w:b/>
          <w:sz w:val="28"/>
          <w:szCs w:val="24"/>
        </w:rPr>
        <w:t>și</w:t>
      </w:r>
      <w:proofErr w:type="spellEnd"/>
      <w:r w:rsidR="001F7BF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F7BF3">
        <w:rPr>
          <w:rFonts w:ascii="Times New Roman" w:hAnsi="Times New Roman" w:cs="Times New Roman"/>
          <w:b/>
          <w:sz w:val="28"/>
          <w:szCs w:val="24"/>
        </w:rPr>
        <w:t>abrogarea</w:t>
      </w:r>
      <w:proofErr w:type="spellEnd"/>
      <w:r w:rsidR="001F7BF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F7BF3">
        <w:rPr>
          <w:rFonts w:ascii="Times New Roman" w:hAnsi="Times New Roman" w:cs="Times New Roman"/>
          <w:b/>
          <w:sz w:val="28"/>
          <w:szCs w:val="24"/>
        </w:rPr>
        <w:t>unei</w:t>
      </w:r>
      <w:proofErr w:type="spellEnd"/>
      <w:r w:rsidR="001F7BF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F7BF3">
        <w:rPr>
          <w:rFonts w:ascii="Times New Roman" w:hAnsi="Times New Roman" w:cs="Times New Roman"/>
          <w:b/>
          <w:sz w:val="28"/>
          <w:szCs w:val="24"/>
        </w:rPr>
        <w:t>hotărâri</w:t>
      </w:r>
      <w:proofErr w:type="spellEnd"/>
      <w:r w:rsidR="001F7BF3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="001F7BF3">
        <w:rPr>
          <w:rFonts w:ascii="Times New Roman" w:hAnsi="Times New Roman" w:cs="Times New Roman"/>
          <w:b/>
          <w:sz w:val="28"/>
          <w:szCs w:val="24"/>
        </w:rPr>
        <w:t>Guvern</w:t>
      </w:r>
      <w:proofErr w:type="spellEnd"/>
    </w:p>
    <w:p w:rsidR="005760AF" w:rsidRPr="001B0FF8" w:rsidRDefault="005760AF" w:rsidP="00576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66"/>
        <w:gridCol w:w="9712"/>
      </w:tblGrid>
      <w:tr w:rsidR="005760AF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Denumirea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autorului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și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după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caz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a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participanților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la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elaborarea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proiectului</w:t>
            </w:r>
            <w:proofErr w:type="spellEnd"/>
          </w:p>
        </w:tc>
      </w:tr>
      <w:tr w:rsidR="001372E0" w:rsidRPr="001B0FF8" w:rsidTr="001B0FF8">
        <w:trPr>
          <w:trHeight w:val="782"/>
        </w:trPr>
        <w:tc>
          <w:tcPr>
            <w:tcW w:w="10278" w:type="dxa"/>
            <w:gridSpan w:val="2"/>
            <w:vAlign w:val="center"/>
          </w:tcPr>
          <w:p w:rsidR="001372E0" w:rsidRPr="009202C3" w:rsidRDefault="001372E0" w:rsidP="009202C3">
            <w:pPr>
              <w:ind w:firstLine="72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Ministerul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Sănătății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Muncii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Protecției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Sociale</w:t>
            </w:r>
            <w:proofErr w:type="spellEnd"/>
          </w:p>
          <w:p w:rsidR="001372E0" w:rsidRPr="009202C3" w:rsidRDefault="001372E0" w:rsidP="009202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Direcția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politici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domeniul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raporturilor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muncă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parteneriatului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social</w:t>
            </w:r>
          </w:p>
        </w:tc>
      </w:tr>
      <w:tr w:rsidR="005760AF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Condițiile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au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impus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elaborarea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proiectului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de act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normativ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și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finalitățile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urmărite</w:t>
            </w:r>
            <w:proofErr w:type="spellEnd"/>
          </w:p>
        </w:tc>
      </w:tr>
      <w:tr w:rsidR="001372E0" w:rsidRPr="001B0FF8" w:rsidTr="009202C3">
        <w:trPr>
          <w:trHeight w:val="1738"/>
        </w:trPr>
        <w:tc>
          <w:tcPr>
            <w:tcW w:w="10278" w:type="dxa"/>
            <w:gridSpan w:val="2"/>
            <w:vAlign w:val="center"/>
          </w:tcPr>
          <w:p w:rsidR="001372E0" w:rsidRPr="001F7BF3" w:rsidRDefault="001372E0" w:rsidP="001F7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Proiectul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hotărârii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Guvern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este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elaborat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temeiul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art. 7 lit. b) </w:t>
            </w:r>
            <w:proofErr w:type="gram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din</w:t>
            </w:r>
            <w:proofErr w:type="gram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Legea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nr. 136/2017 cu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privire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la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Guvern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Monitorul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Oficial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al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Republicii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Moldova, 2017, nr. 252, art. 412), art. 1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alin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. (3)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art. 6 din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Legea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nr. 140/2001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privind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Inspectoratul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Stat al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Muncii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Monitorul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Oficial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al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Republicii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Moldova, 2001, nr. 68-71, art. 505), cu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modificările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ulterioare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ale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Legii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securității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sănătății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>muncă</w:t>
            </w:r>
            <w:proofErr w:type="spellEnd"/>
            <w:r w:rsidR="004E5944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nr. 186/2008.</w:t>
            </w:r>
          </w:p>
          <w:p w:rsidR="001F7BF3" w:rsidRPr="001F7BF3" w:rsidRDefault="001F7BF3" w:rsidP="001F7BF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Este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menționat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dată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intrarea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vigoare</w:t>
            </w:r>
            <w:proofErr w:type="spellEnd"/>
            <w:r w:rsidR="00AB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Legii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modificarea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unor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acte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normative nr.191/2020,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Inspectoratul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Stat al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Muncii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investit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control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domeniul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domeniul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raporturilor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asigurând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integritatea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funcțională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acestuia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funcționalitatea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sistemului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control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domeniul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muncii</w:t>
            </w:r>
            <w:proofErr w:type="spellEnd"/>
            <w:r w:rsidRPr="001F7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securității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muncă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BF3" w:rsidRPr="001F7BF3" w:rsidRDefault="001F7BF3" w:rsidP="001F7BF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asigura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implementarea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completă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eficientă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Legii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nr.191/2020,</w:t>
            </w:r>
            <w:r w:rsidRPr="001F7BF3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 fost necesară revizuirea cadrului normativ secundar care reglementează metodologia de analiză a riscurilor la efectuarea controlului </w:t>
            </w:r>
            <w:r w:rsidR="00C370DF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atât pe domeniul raporturilor de muncă cât și securității și sănătății în muncă</w:t>
            </w:r>
            <w:r w:rsidRPr="001F7BF3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necesar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modifica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cadrul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normativ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privire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efectuarea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controlului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stat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asupra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activității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întreprinzător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baza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analizei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riscurilor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domeniile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control ale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Inspectoratului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Stat al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Muncii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BF3" w:rsidRPr="001F7BF3" w:rsidRDefault="001F7BF3" w:rsidP="001F7BF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lângă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faptul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elaborarea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proiectului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Guvern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ghidată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implementarea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prevederilor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Legii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nr.191/2020,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remarcăm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necesitatea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elaborării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unei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singure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metodologii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domeniilor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control ale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inspectoratului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asigurând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politică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unitară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corelată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nivel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național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BF3" w:rsidRPr="001F7BF3" w:rsidRDefault="001F7BF3" w:rsidP="001F7B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96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Obiectivele urmărite </w:t>
            </w: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 promovarea acest</w:t>
            </w:r>
            <w:r w:rsidR="0042496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modificări,</w:t>
            </w: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sunt:</w:t>
            </w:r>
          </w:p>
          <w:p w:rsidR="001F7BF3" w:rsidRDefault="001F7BF3" w:rsidP="001F7BF3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ind w:left="0" w:firstLine="0"/>
              <w:rPr>
                <w:sz w:val="28"/>
                <w:szCs w:val="28"/>
                <w:lang w:val="ro-RO"/>
              </w:rPr>
            </w:pPr>
            <w:bookmarkStart w:id="0" w:name="_GoBack"/>
            <w:r w:rsidRPr="001F7BF3">
              <w:rPr>
                <w:sz w:val="28"/>
                <w:szCs w:val="28"/>
                <w:lang w:val="ro-RO"/>
              </w:rPr>
              <w:t xml:space="preserve">consolidarea analizei criteriilor de risc ca sursă primordială pentru efectuarea controalelor de stat în domeniul </w:t>
            </w:r>
            <w:r w:rsidR="00D0301D">
              <w:rPr>
                <w:sz w:val="28"/>
                <w:szCs w:val="28"/>
                <w:lang w:val="ro-RO"/>
              </w:rPr>
              <w:t xml:space="preserve">muncii, </w:t>
            </w:r>
            <w:r w:rsidRPr="001F7BF3">
              <w:rPr>
                <w:sz w:val="28"/>
                <w:szCs w:val="28"/>
                <w:lang w:val="ro-RO"/>
              </w:rPr>
              <w:t>securității și sănătății în muncă;</w:t>
            </w:r>
          </w:p>
          <w:p w:rsidR="001F7BF3" w:rsidRPr="001F7BF3" w:rsidRDefault="001F7BF3" w:rsidP="001F7BF3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ind w:left="0" w:firstLine="0"/>
              <w:rPr>
                <w:sz w:val="28"/>
                <w:szCs w:val="28"/>
                <w:lang w:val="ro-RO"/>
              </w:rPr>
            </w:pPr>
            <w:r w:rsidRPr="001F7BF3">
              <w:rPr>
                <w:sz w:val="28"/>
                <w:szCs w:val="28"/>
                <w:lang w:val="ro-RO"/>
              </w:rPr>
              <w:t>promovarea unui cadru normativ unitar privind analiza criteriilor de risc.</w:t>
            </w:r>
            <w:bookmarkEnd w:id="0"/>
          </w:p>
        </w:tc>
      </w:tr>
      <w:tr w:rsidR="005760AF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3.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Descrierea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gradului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de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compatibilitate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pentru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proiectele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care au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scop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armonizarea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legislației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naționale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cu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legislația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Uniunii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Europene</w:t>
            </w:r>
            <w:proofErr w:type="spellEnd"/>
          </w:p>
        </w:tc>
      </w:tr>
      <w:tr w:rsidR="001372E0" w:rsidRPr="001B0FF8" w:rsidTr="001B0FF8">
        <w:trPr>
          <w:trHeight w:val="721"/>
        </w:trPr>
        <w:tc>
          <w:tcPr>
            <w:tcW w:w="10278" w:type="dxa"/>
            <w:gridSpan w:val="2"/>
            <w:vAlign w:val="center"/>
          </w:tcPr>
          <w:p w:rsidR="005D0298" w:rsidRPr="009202C3" w:rsidRDefault="005D0298" w:rsidP="00E5152C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Proiectul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hotărârii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Guvern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="005B1DE5">
              <w:rPr>
                <w:rFonts w:ascii="Times New Roman" w:hAnsi="Times New Roman" w:cs="Times New Roman"/>
                <w:sz w:val="28"/>
                <w:szCs w:val="24"/>
              </w:rPr>
              <w:t>nu</w:t>
            </w:r>
            <w:r w:rsidR="00E5152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are</w:t>
            </w:r>
            <w:proofErr w:type="gram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ca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scop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transpunerea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sau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armonizarea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legislației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națională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cu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prevederile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internaționale</w:t>
            </w:r>
            <w:proofErr w:type="spellEnd"/>
            <w:r w:rsidR="004E5944" w:rsidRPr="009202C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5760AF" w:rsidRPr="001B0FF8" w:rsidTr="005B1DE5">
        <w:trPr>
          <w:trHeight w:val="442"/>
        </w:trPr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4.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Principalele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prevederi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ale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proiectului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și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evidențierea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elementelor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noi</w:t>
            </w:r>
            <w:proofErr w:type="spellEnd"/>
          </w:p>
        </w:tc>
      </w:tr>
      <w:tr w:rsidR="001372E0" w:rsidRPr="00396D6C" w:rsidTr="001F7BF3">
        <w:trPr>
          <w:trHeight w:val="12052"/>
        </w:trPr>
        <w:tc>
          <w:tcPr>
            <w:tcW w:w="10278" w:type="dxa"/>
            <w:gridSpan w:val="2"/>
            <w:vAlign w:val="center"/>
          </w:tcPr>
          <w:p w:rsidR="009202C3" w:rsidRPr="001F7BF3" w:rsidRDefault="009202C3" w:rsidP="009202C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Odată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cu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intrarea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vigoarea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Legii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modificarea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unor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acte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normative nr.191 din 19.11.2020,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funcția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control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domeniul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siguranței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ocupaționale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fost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retrasă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la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cele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10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organe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control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sectoriale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Națională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Siguranța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Alimentelor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Agenţia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Protecția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Consumatorilor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şi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Supravegherea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Pieţei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Naţională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Sănătate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Publică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Inspectoratul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Protecția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Mediului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Națională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Transport Auto;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Autoritatea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Aeronautică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Civilă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Navală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Națională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Reglementare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Energetică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Națională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Reglementare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Comunicații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Electronice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Tehnologia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Informației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;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Agenţia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Supraveghere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Tehnică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atribuită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Inspectoratul</w:t>
            </w:r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ui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Stat al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Muncii</w:t>
            </w:r>
            <w:proofErr w:type="spellEnd"/>
            <w:r w:rsidR="00D0301D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="00D0301D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D0301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D0301D">
              <w:rPr>
                <w:rFonts w:ascii="Times New Roman" w:hAnsi="Times New Roman" w:cs="Times New Roman"/>
                <w:sz w:val="28"/>
                <w:szCs w:val="24"/>
              </w:rPr>
              <w:t>continuare</w:t>
            </w:r>
            <w:proofErr w:type="spellEnd"/>
            <w:r w:rsidR="00D0301D">
              <w:rPr>
                <w:rFonts w:ascii="Times New Roman" w:hAnsi="Times New Roman" w:cs="Times New Roman"/>
                <w:sz w:val="28"/>
                <w:szCs w:val="24"/>
              </w:rPr>
              <w:t xml:space="preserve"> ISM)</w:t>
            </w:r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C333F" w:rsidRPr="001F7BF3" w:rsidRDefault="009202C3" w:rsidP="009202C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Astfel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, I</w:t>
            </w:r>
            <w:r w:rsidR="00354542" w:rsidRPr="001F7BF3">
              <w:rPr>
                <w:rFonts w:ascii="Times New Roman" w:hAnsi="Times New Roman" w:cs="Times New Roman"/>
                <w:sz w:val="28"/>
                <w:szCs w:val="24"/>
              </w:rPr>
              <w:t>SM-</w:t>
            </w:r>
            <w:proofErr w:type="spellStart"/>
            <w:r w:rsidR="00354542" w:rsidRPr="001F7BF3">
              <w:rPr>
                <w:rFonts w:ascii="Times New Roman" w:hAnsi="Times New Roman" w:cs="Times New Roman"/>
                <w:sz w:val="28"/>
                <w:szCs w:val="24"/>
              </w:rPr>
              <w:t>ului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354542" w:rsidRPr="001F7BF3">
              <w:rPr>
                <w:rFonts w:ascii="Times New Roman" w:hAnsi="Times New Roman" w:cs="Times New Roman"/>
                <w:sz w:val="28"/>
                <w:szCs w:val="24"/>
              </w:rPr>
              <w:t>i</w:t>
            </w:r>
            <w:proofErr w:type="spellEnd"/>
            <w:r w:rsidR="00354542" w:rsidRPr="001F7BF3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a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fost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C57DB" w:rsidRPr="001F7BF3">
              <w:rPr>
                <w:rFonts w:ascii="Times New Roman" w:hAnsi="Times New Roman" w:cs="Times New Roman"/>
                <w:sz w:val="28"/>
                <w:szCs w:val="24"/>
              </w:rPr>
              <w:t>acordată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funcți</w:t>
            </w:r>
            <w:r w:rsidR="00354542" w:rsidRPr="001F7BF3">
              <w:rPr>
                <w:rFonts w:ascii="Times New Roman" w:hAnsi="Times New Roman" w:cs="Times New Roman"/>
                <w:sz w:val="28"/>
                <w:szCs w:val="24"/>
              </w:rPr>
              <w:t>a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control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domeniul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securității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sănătății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muncă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domeniul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raporturilor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muncă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asigurând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integritatea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funcțională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a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acestuia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asigurând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funcționalitatea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sistemului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control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domeniul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muncii</w:t>
            </w:r>
            <w:proofErr w:type="spellEnd"/>
            <w:r w:rsidR="001B0FF8" w:rsidRPr="001F7B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securității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sănătății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muncă</w:t>
            </w:r>
            <w:proofErr w:type="spellEnd"/>
            <w:r w:rsidR="001B0FF8" w:rsidRPr="001F7BF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C7E0A" w:rsidRDefault="00D0301D" w:rsidP="00570FF0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</w:t>
            </w:r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>roiectului</w:t>
            </w:r>
            <w:proofErr w:type="spellEnd"/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>hotărârii</w:t>
            </w:r>
            <w:proofErr w:type="spellEnd"/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>Guvern</w:t>
            </w:r>
            <w:proofErr w:type="spellEnd"/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cu </w:t>
            </w:r>
            <w:proofErr w:type="spellStart"/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>privire</w:t>
            </w:r>
            <w:proofErr w:type="spellEnd"/>
            <w:r w:rsidR="008E7AAC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la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modificarea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unor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hotărâri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ale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Guvernului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>abrogarea</w:t>
            </w:r>
            <w:proofErr w:type="spellEnd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>unei</w:t>
            </w:r>
            <w:proofErr w:type="spellEnd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>hotărâri</w:t>
            </w:r>
            <w:proofErr w:type="spellEnd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>Guvern</w:t>
            </w:r>
            <w:proofErr w:type="spellEnd"/>
            <w:r w:rsidR="001F7BF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este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elaborat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cu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scopul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a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ajusta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a</w:t>
            </w:r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actualiza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cadrul</w:t>
            </w:r>
            <w:proofErr w:type="spellEnd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>normativ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secundar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>ce</w:t>
            </w:r>
            <w:proofErr w:type="spellEnd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>prevede</w:t>
            </w:r>
            <w:proofErr w:type="spellEnd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>controlul</w:t>
            </w:r>
            <w:proofErr w:type="spellEnd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stat </w:t>
            </w:r>
            <w:proofErr w:type="spellStart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>asupra</w:t>
            </w:r>
            <w:proofErr w:type="spellEnd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>activității</w:t>
            </w:r>
            <w:proofErr w:type="spellEnd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>întreprinzător</w:t>
            </w:r>
            <w:proofErr w:type="spellEnd"/>
            <w:r w:rsidR="00570FF0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din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domeniul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muncii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securității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sănătății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>muncă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excluderea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prevederilor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referitoare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la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atribuțiile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de control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pe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domeniul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securității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sănătății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muncă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din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Metodologiile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privind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controlul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de stat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asupra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activității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întreprinzător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baza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analizei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riscurilor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aferent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domeniilor</w:t>
            </w:r>
            <w:proofErr w:type="spellEnd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 xml:space="preserve"> de </w:t>
            </w:r>
            <w:proofErr w:type="spellStart"/>
            <w:r w:rsidR="0049578A" w:rsidRPr="0049578A">
              <w:rPr>
                <w:rFonts w:ascii="Times New Roman" w:hAnsi="Times New Roman" w:cs="Times New Roman"/>
                <w:sz w:val="28"/>
                <w:szCs w:val="24"/>
              </w:rPr>
              <w:t>competență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ale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organelor</w:t>
            </w:r>
            <w:proofErr w:type="spellEnd"/>
            <w:r w:rsidR="0049578A">
              <w:rPr>
                <w:rFonts w:ascii="Times New Roman" w:hAnsi="Times New Roman" w:cs="Times New Roman"/>
                <w:sz w:val="28"/>
                <w:szCs w:val="24"/>
              </w:rPr>
              <w:t xml:space="preserve"> de control </w:t>
            </w:r>
            <w:proofErr w:type="spellStart"/>
            <w:r w:rsidR="0049578A">
              <w:rPr>
                <w:rFonts w:ascii="Times New Roman" w:hAnsi="Times New Roman" w:cs="Times New Roman"/>
                <w:sz w:val="28"/>
                <w:szCs w:val="24"/>
              </w:rPr>
              <w:t>sectoriale</w:t>
            </w:r>
            <w:proofErr w:type="spellEnd"/>
            <w:r w:rsidR="009202C3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FC333F"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49578A" w:rsidRPr="001F7BF3" w:rsidRDefault="0049578A" w:rsidP="00570FF0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E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menționat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asupra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cadrului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normativ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ce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vizează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Națională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pe</w:t>
            </w:r>
            <w:r w:rsidR="00213AA2">
              <w:rPr>
                <w:rFonts w:ascii="Times New Roman" w:hAnsi="Times New Roman" w:cs="Times New Roman"/>
                <w:sz w:val="28"/>
                <w:szCs w:val="24"/>
              </w:rPr>
              <w:t>ntru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Reglementare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Energetică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Agenția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Națională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pentru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Reglementare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în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Comunicații</w:t>
            </w:r>
            <w:proofErr w:type="spellEnd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 w:rsidRPr="00213AA2">
              <w:rPr>
                <w:rFonts w:ascii="Times New Roman" w:hAnsi="Times New Roman" w:cs="Times New Roman"/>
                <w:sz w:val="28"/>
                <w:szCs w:val="24"/>
              </w:rPr>
              <w:t>Electr</w:t>
            </w:r>
            <w:r w:rsidR="00213AA2">
              <w:rPr>
                <w:rFonts w:ascii="Times New Roman" w:hAnsi="Times New Roman" w:cs="Times New Roman"/>
                <w:sz w:val="28"/>
                <w:szCs w:val="24"/>
              </w:rPr>
              <w:t>onice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Tehnologia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Informației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nu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este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necesar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de a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efectua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careva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modificări</w:t>
            </w:r>
            <w:proofErr w:type="spellEnd"/>
            <w:r w:rsidR="00213AA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Prin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aprobarea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proiectului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vor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fi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modificate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următoarele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>acte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 normative: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1)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Metodologia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controlul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 stat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asupra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activității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întreprinzător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baza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analizei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riscurilor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aferent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domeniilor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competență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ale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Agenției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Naționale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Siguranța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aprobată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Hotărârea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nr.1280/2018 (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Monitorul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Moldova, 2019, nr.38-47, art.68)</w:t>
            </w:r>
            <w:r w:rsidR="00EB3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BF3">
              <w:rPr>
                <w:rFonts w:ascii="Times New Roman" w:hAnsi="Times New Roman" w:cs="Times New Roman"/>
                <w:sz w:val="28"/>
                <w:szCs w:val="24"/>
              </w:rPr>
              <w:t xml:space="preserve">2)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Metodologia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controlului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 stat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asupra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activității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întreprinzător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baza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analizei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riscurilor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aferent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domeniilor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competență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ale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Agenției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Supraveghere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Tehnică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aprobată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Hotărârea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nr.781/2018 (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Monitorul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Moldova, 2018, nr.321-332, art.853)</w:t>
            </w:r>
            <w:r w:rsidR="00EB3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Metodologia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controlului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 stat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asupra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activității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întreprinzător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baza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analizei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riscurilor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efectuat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Agenția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Protecția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Consumatorilor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Supravegherea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Pieței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aprobată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Hotărârea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nr.782/2018 (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Monitorul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Oficial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 Moldova, 2018, nr.321-332, art.854)</w:t>
            </w:r>
            <w:r w:rsidR="00EB3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Metodologia controlului de stat asupra activității de întreprinzător în baza analizei riscurilor efectuat de către Agenția Națională pentru Sănătate Publică, aprobată prin Hotărârea Guvernului nr.1014/2018, (Monitorul Oficial al Republicii Moldova, 2018, nr. 416-422, art. 1117)</w:t>
            </w:r>
            <w:r w:rsidR="00EB34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5) Metodologia privind controlulul de stat asupra activității de întreprinzător în baza analizei riscurilor în domeniile de control ale Agenției Naționale Transport Auto, </w:t>
            </w: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aprobată prin Hotărârea Guvernului nr.836/2018, (Monitorul Oficial al Republicii Moldova, 2018, nr.347-357, art.921)</w:t>
            </w:r>
            <w:r w:rsidR="00EB34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6) Metodologia privind controlulul de stat asupra activității de întreprinzător în baza analizei riscurilor în domeniile de competență ale Autorității Aeronautice Civile, aprobată prin Hotărârea Guvernului nr.838/2018, (Monitorul Oficial al Republicii Moldova, 2018, nr.347-357, art.923)</w:t>
            </w:r>
            <w:r w:rsidR="00EB34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C57DB" w:rsidRPr="001F7BF3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7) Metodologia privind controlulul de stat asupra activității de întreprinzător în baza analizei riscurilor în domeniile de control ale Agenției Navale, aprobată prin Hotărârea Guvernului nr.837/2018, (Monitorul Oficial al Republicii Moldova, 2018, nr.347-357, art.922)</w:t>
            </w:r>
            <w:r w:rsidR="00EB34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C57DB" w:rsidRDefault="005C57DB" w:rsidP="005C57D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8) Metodologia privind controlulul de stat asupra activității de întreprinzător în baza analizei riscurilor aferent domeniilor de competență ale Inspectoratului pentru Protecția Mediului, aprobată prin Hotărârea Guvernului nr.963/2018, (Monitorul Oficial al Republicii Moldo</w:t>
            </w:r>
            <w:r w:rsidR="00EB34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va, 2018, nr.410-415, art.1111).</w:t>
            </w:r>
          </w:p>
          <w:p w:rsidR="00FB2C89" w:rsidRDefault="00D0301D" w:rsidP="00EB3443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9) </w:t>
            </w:r>
            <w:r w:rsidR="00EB34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Metodologia privind controlul</w:t>
            </w:r>
            <w:r w:rsidR="00396D6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stat asupra activității de î</w:t>
            </w:r>
            <w:r w:rsidR="00EB34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ntreprinzător în baza analizei riscurilor în domeniile de control ale Inspectoratului de Stat al Muncii, aprobată prin Hotărârea Guvernului nr.894/2018, (Monitorul Oficial al Republicii Moldova, 2018, nr.358-364, art.955).</w:t>
            </w:r>
          </w:p>
          <w:p w:rsidR="001F7BF3" w:rsidRPr="001F7BF3" w:rsidRDefault="001F7BF3" w:rsidP="001F7BF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Principiile care au stat la baza </w:t>
            </w:r>
            <w:r w:rsidR="00E5152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modific</w:t>
            </w:r>
            <w:r w:rsidRPr="001F7BF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ării </w:t>
            </w:r>
            <w:r w:rsidR="00E515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Metodologiei</w:t>
            </w:r>
            <w:r w:rsidR="00E5152C"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515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privind controlul</w:t>
            </w:r>
            <w:r w:rsidR="00E5152C"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stat asupra activităţii de întreprinzător în baza analizei riscurilor în domeni</w:t>
            </w:r>
            <w:r w:rsidR="00E515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E5152C"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515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control ale Inspectoratului de Stat al Muncii</w:t>
            </w:r>
            <w:r w:rsidRPr="001F7BF3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</w:t>
            </w:r>
            <w:r w:rsidRPr="001F7BF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sunt:</w:t>
            </w:r>
          </w:p>
          <w:p w:rsidR="001F7BF3" w:rsidRPr="001F7BF3" w:rsidRDefault="001F7BF3" w:rsidP="001F7B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- identificarea unei </w:t>
            </w:r>
            <w:r w:rsidR="00E5152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singure </w:t>
            </w:r>
            <w:r w:rsidRPr="001F7BF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metodologii de aplicare în domeniul raporturilor de muncă, securității și sănătății în muncă;</w:t>
            </w:r>
          </w:p>
          <w:p w:rsidR="001F7BF3" w:rsidRPr="001F7BF3" w:rsidRDefault="001F7BF3" w:rsidP="001F7B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- stabilirea criteriilor de risc și aprecierea lor pentru domeniile de activitate;</w:t>
            </w:r>
          </w:p>
          <w:p w:rsidR="001F7BF3" w:rsidRPr="001F7BF3" w:rsidRDefault="001F7BF3" w:rsidP="001F7B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- crearea unor reguli de analiză a criteriilor de risc. </w:t>
            </w:r>
          </w:p>
          <w:p w:rsidR="001F7BF3" w:rsidRPr="001F7BF3" w:rsidRDefault="001F7BF3" w:rsidP="001F7BF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Criteriile de risc sunt stabilite conform competențelor </w:t>
            </w:r>
            <w:r w:rsidR="00FB2C8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ISM</w:t>
            </w:r>
            <w:r w:rsidRPr="001F7B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tipului raporturilor şi valorilor sociale pe care le apără, respectiv și prejudiciilor ce urmează a fi evitate. Odată selectate, acestea respectă următoarele principii:</w:t>
            </w:r>
          </w:p>
          <w:p w:rsidR="001F7BF3" w:rsidRPr="001F7BF3" w:rsidRDefault="001F7BF3" w:rsidP="001F7BF3">
            <w:pPr>
              <w:pStyle w:val="NormalWeb"/>
              <w:spacing w:line="240" w:lineRule="auto"/>
              <w:jc w:val="both"/>
              <w:rPr>
                <w:sz w:val="28"/>
                <w:szCs w:val="28"/>
                <w:lang w:val="ro-RO"/>
              </w:rPr>
            </w:pPr>
            <w:r w:rsidRPr="001F7BF3">
              <w:rPr>
                <w:sz w:val="28"/>
                <w:szCs w:val="28"/>
                <w:lang w:val="ro-RO"/>
              </w:rPr>
              <w:t>1) sunt relevante scopului activității Inspectoratului;</w:t>
            </w:r>
          </w:p>
          <w:p w:rsidR="001F7BF3" w:rsidRPr="001F7BF3" w:rsidRDefault="001F7BF3" w:rsidP="001F7BF3">
            <w:pPr>
              <w:pStyle w:val="NormalWeb"/>
              <w:spacing w:line="240" w:lineRule="auto"/>
              <w:jc w:val="both"/>
              <w:rPr>
                <w:sz w:val="28"/>
                <w:szCs w:val="28"/>
                <w:lang w:val="ro-RO"/>
              </w:rPr>
            </w:pPr>
            <w:r w:rsidRPr="001F7BF3">
              <w:rPr>
                <w:sz w:val="28"/>
                <w:szCs w:val="28"/>
                <w:lang w:val="ro-RO"/>
              </w:rPr>
              <w:t xml:space="preserve">2) acoperă toate întreprinderile pasibile controlului efectuat de </w:t>
            </w:r>
            <w:r w:rsidR="00FB2C89">
              <w:rPr>
                <w:sz w:val="28"/>
                <w:szCs w:val="28"/>
                <w:lang w:val="ro-RO"/>
              </w:rPr>
              <w:t>ISM</w:t>
            </w:r>
            <w:r w:rsidRPr="001F7BF3">
              <w:rPr>
                <w:sz w:val="28"/>
                <w:szCs w:val="28"/>
                <w:lang w:val="ro-RO"/>
              </w:rPr>
              <w:t xml:space="preserve"> şi, în mod special, sunt relevante activității agentului economic; </w:t>
            </w:r>
          </w:p>
          <w:p w:rsidR="001F7BF3" w:rsidRPr="001F7BF3" w:rsidRDefault="001F7BF3" w:rsidP="001F7BF3">
            <w:pPr>
              <w:pStyle w:val="NormalWeb"/>
              <w:spacing w:line="240" w:lineRule="auto"/>
              <w:jc w:val="both"/>
              <w:rPr>
                <w:sz w:val="28"/>
                <w:szCs w:val="28"/>
                <w:lang w:val="ro-RO"/>
              </w:rPr>
            </w:pPr>
            <w:r w:rsidRPr="001F7BF3">
              <w:rPr>
                <w:sz w:val="28"/>
                <w:szCs w:val="28"/>
                <w:lang w:val="ro-RO"/>
              </w:rPr>
              <w:t>3) sunt bazate pe informație certă, veridică şi accesibilă;</w:t>
            </w:r>
          </w:p>
          <w:p w:rsidR="001F7BF3" w:rsidRPr="001F7BF3" w:rsidRDefault="001F7BF3" w:rsidP="001F7BF3">
            <w:pPr>
              <w:pStyle w:val="NormalWeb"/>
              <w:spacing w:line="240" w:lineRule="auto"/>
              <w:jc w:val="both"/>
              <w:rPr>
                <w:sz w:val="28"/>
                <w:szCs w:val="28"/>
                <w:lang w:val="ro-RO"/>
              </w:rPr>
            </w:pPr>
            <w:r w:rsidRPr="001F7BF3">
              <w:rPr>
                <w:sz w:val="28"/>
                <w:szCs w:val="28"/>
                <w:lang w:val="ro-RO"/>
              </w:rPr>
              <w:t xml:space="preserve">4) sunt raportate la caracterul multidimensional al surselor de risc. </w:t>
            </w:r>
          </w:p>
          <w:p w:rsidR="00D0301D" w:rsidRPr="00FB2C89" w:rsidRDefault="00D0301D" w:rsidP="00FB2C89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FB2C89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 xml:space="preserve">10) </w:t>
            </w:r>
            <w:r w:rsidR="00FB2C89" w:rsidRPr="00FB2C89">
              <w:rPr>
                <w:rFonts w:ascii="Times New Roman" w:hAnsi="Times New Roman" w:cs="Times New Roman"/>
                <w:sz w:val="28"/>
                <w:lang w:val="ro-RO"/>
              </w:rPr>
              <w:t>Metodologi</w:t>
            </w:r>
            <w:r w:rsidR="00FB2C89">
              <w:rPr>
                <w:rFonts w:ascii="Times New Roman" w:hAnsi="Times New Roman" w:cs="Times New Roman"/>
                <w:sz w:val="28"/>
                <w:lang w:val="ro-RO"/>
              </w:rPr>
              <w:t>a</w:t>
            </w:r>
            <w:r w:rsidR="00FB2C89" w:rsidRPr="00FB2C89">
              <w:rPr>
                <w:rFonts w:ascii="Times New Roman" w:hAnsi="Times New Roman" w:cs="Times New Roman"/>
                <w:sz w:val="28"/>
                <w:lang w:val="ro-RO"/>
              </w:rPr>
              <w:t xml:space="preserve"> privind controlul de stat în baza analizei riscurilor pentru domeniul securității și sănătății în muncă, aprobată prin Hotărârea Guvernului nr.943 din 03.10.2018 (Monitorul Oficial al Republicii Moldov</w:t>
            </w:r>
            <w:r w:rsidR="00FB2C89">
              <w:rPr>
                <w:rFonts w:ascii="Times New Roman" w:hAnsi="Times New Roman" w:cs="Times New Roman"/>
                <w:sz w:val="28"/>
                <w:lang w:val="ro-RO"/>
              </w:rPr>
              <w:t xml:space="preserve">a, 2018, nr.416-422, art.1115) urmează a fi abrogată, deoarece prevederile referitoare la </w:t>
            </w:r>
            <w:r w:rsidR="00FB2C89" w:rsidRPr="00FB2C89">
              <w:rPr>
                <w:rFonts w:ascii="Times New Roman" w:hAnsi="Times New Roman" w:cs="Times New Roman"/>
                <w:sz w:val="28"/>
                <w:lang w:val="ro-RO"/>
              </w:rPr>
              <w:t>analiz</w:t>
            </w:r>
            <w:r w:rsidR="00FB2C89">
              <w:rPr>
                <w:rFonts w:ascii="Times New Roman" w:hAnsi="Times New Roman" w:cs="Times New Roman"/>
                <w:sz w:val="28"/>
                <w:lang w:val="ro-RO"/>
              </w:rPr>
              <w:t>a</w:t>
            </w:r>
            <w:r w:rsidR="00FB2C89" w:rsidRPr="00FB2C89">
              <w:rPr>
                <w:rFonts w:ascii="Times New Roman" w:hAnsi="Times New Roman" w:cs="Times New Roman"/>
                <w:sz w:val="28"/>
                <w:lang w:val="ro-RO"/>
              </w:rPr>
              <w:t xml:space="preserve"> riscurilor pentru domeniul securității și sănătății în muncă</w:t>
            </w:r>
            <w:r w:rsidR="00FB2C89">
              <w:rPr>
                <w:rFonts w:ascii="Times New Roman" w:hAnsi="Times New Roman" w:cs="Times New Roman"/>
                <w:sz w:val="28"/>
                <w:lang w:val="ro-RO"/>
              </w:rPr>
              <w:t xml:space="preserve"> se vor regăsi în Hotărârea Guvernului nr. 894/2018.</w:t>
            </w:r>
          </w:p>
        </w:tc>
      </w:tr>
      <w:tr w:rsidR="005760AF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5.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Fundamentarea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economico-financiară</w:t>
            </w:r>
            <w:proofErr w:type="spellEnd"/>
          </w:p>
        </w:tc>
      </w:tr>
      <w:tr w:rsidR="001372E0" w:rsidRPr="001B0FF8" w:rsidTr="001B0FF8">
        <w:trPr>
          <w:trHeight w:val="433"/>
        </w:trPr>
        <w:tc>
          <w:tcPr>
            <w:tcW w:w="10278" w:type="dxa"/>
            <w:gridSpan w:val="2"/>
            <w:vAlign w:val="center"/>
          </w:tcPr>
          <w:p w:rsidR="001372E0" w:rsidRPr="009202C3" w:rsidRDefault="00095B98" w:rsidP="009202C3">
            <w:pPr>
              <w:ind w:firstLine="72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Elaborarea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și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implementarea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proiectului</w:t>
            </w:r>
            <w:proofErr w:type="spellEnd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nu </w:t>
            </w:r>
            <w:proofErr w:type="spellStart"/>
            <w:r w:rsidRPr="009202C3">
              <w:rPr>
                <w:rFonts w:ascii="Times New Roman" w:hAnsi="Times New Roman" w:cs="Times New Roman"/>
                <w:sz w:val="28"/>
                <w:szCs w:val="24"/>
              </w:rPr>
              <w:t>necesită</w:t>
            </w:r>
            <w:proofErr w:type="spellEnd"/>
            <w:r w:rsidR="00217DE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17DEA">
              <w:rPr>
                <w:rFonts w:ascii="Times New Roman" w:hAnsi="Times New Roman"/>
                <w:sz w:val="28"/>
                <w:szCs w:val="28"/>
                <w:lang w:val="ro-RO"/>
              </w:rPr>
              <w:t>cheltuieli suplimentare de la bugetul de stat sau alte careva</w:t>
            </w:r>
            <w:r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FC333F" w:rsidRPr="009202C3">
              <w:rPr>
                <w:rFonts w:ascii="Times New Roman" w:hAnsi="Times New Roman" w:cs="Times New Roman"/>
                <w:sz w:val="28"/>
                <w:szCs w:val="24"/>
              </w:rPr>
              <w:t>investiții</w:t>
            </w:r>
            <w:proofErr w:type="spellEnd"/>
            <w:r w:rsidR="00FC333F" w:rsidRPr="009202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A14FB0" w:rsidRPr="009202C3">
              <w:rPr>
                <w:rFonts w:ascii="Times New Roman" w:hAnsi="Times New Roman" w:cs="Times New Roman"/>
                <w:sz w:val="28"/>
                <w:szCs w:val="24"/>
              </w:rPr>
              <w:t>financiare</w:t>
            </w:r>
            <w:proofErr w:type="spellEnd"/>
            <w:r w:rsidR="00A14FB0" w:rsidRPr="009202C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5760AF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6.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60AF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Modul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de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încorporare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a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actului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în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cadrul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normativ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în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vigoare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1372E0" w:rsidRPr="001B0FF8" w:rsidTr="007A06E9">
        <w:trPr>
          <w:trHeight w:val="703"/>
        </w:trPr>
        <w:tc>
          <w:tcPr>
            <w:tcW w:w="10278" w:type="dxa"/>
            <w:gridSpan w:val="2"/>
            <w:vAlign w:val="center"/>
          </w:tcPr>
          <w:p w:rsidR="00570FF0" w:rsidRPr="007A06E9" w:rsidRDefault="007A06E9" w:rsidP="007A06E9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7A06E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ro-RO"/>
              </w:rPr>
              <w:lastRenderedPageBreak/>
              <w:t>Pentru implementarea prezentului proiect nu va fi necesară modificarea altor acte normative.</w:t>
            </w:r>
          </w:p>
        </w:tc>
      </w:tr>
      <w:tr w:rsidR="005760AF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20D9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7.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20D9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Avizarea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și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consultarea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publică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a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proiectului</w:t>
            </w:r>
            <w:proofErr w:type="spellEnd"/>
          </w:p>
        </w:tc>
      </w:tr>
      <w:tr w:rsidR="001372E0" w:rsidRPr="001B0FF8" w:rsidTr="005C57DB">
        <w:trPr>
          <w:trHeight w:val="532"/>
        </w:trPr>
        <w:tc>
          <w:tcPr>
            <w:tcW w:w="10278" w:type="dxa"/>
            <w:gridSpan w:val="2"/>
            <w:vAlign w:val="center"/>
          </w:tcPr>
          <w:p w:rsidR="001372E0" w:rsidRPr="007F7204" w:rsidRDefault="00217DEA" w:rsidP="00D16283">
            <w:pPr>
              <w:ind w:firstLine="720"/>
              <w:jc w:val="both"/>
            </w:pP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scopul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de a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stimula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participarea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activă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cetăţenilor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a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asociaţiilor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constituite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corespundere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legea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a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altor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părţi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interesate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procesul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decizional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și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de a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asigura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transparenţa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activităţii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autorităţilor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publice</w:t>
            </w:r>
            <w:proofErr w:type="spellEnd"/>
            <w:r w:rsidRPr="007F720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</w:t>
            </w:r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conform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prevederilor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Legii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nr.239/2008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privind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transparenţa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procesul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decizional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proiectul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hotărârii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de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Guvern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o-RO"/>
              </w:rPr>
              <w:t xml:space="preserve">privind </w:t>
            </w:r>
            <w:r w:rsidR="007F720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lang w:val="ro-RO"/>
              </w:rPr>
              <w:t>modificarea unor hotărâri ale Guvernului și abrogarea unei hotărâri de Guvern</w:t>
            </w:r>
            <w:r w:rsidRPr="007F720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lang w:val="ro-RO"/>
              </w:rPr>
              <w:t>,</w:t>
            </w:r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a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fost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publicat</w:t>
            </w:r>
            <w:proofErr w:type="spellEnd"/>
            <w:r w:rsidRPr="007F72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sz w:val="28"/>
              </w:rPr>
              <w:t>pe</w:t>
            </w:r>
            <w:proofErr w:type="spellEnd"/>
            <w:r w:rsidRPr="007F720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F7204">
              <w:rPr>
                <w:rFonts w:ascii="Times New Roman" w:hAnsi="Times New Roman" w:cs="Times New Roman"/>
                <w:sz w:val="28"/>
              </w:rPr>
              <w:t>pagina</w:t>
            </w:r>
            <w:proofErr w:type="spellEnd"/>
            <w:r w:rsidRPr="007F7204">
              <w:rPr>
                <w:rFonts w:ascii="Times New Roman" w:hAnsi="Times New Roman" w:cs="Times New Roman"/>
                <w:sz w:val="28"/>
              </w:rPr>
              <w:t xml:space="preserve"> web</w:t>
            </w:r>
            <w:r w:rsidR="00D16283">
              <w:rPr>
                <w:rFonts w:ascii="Times New Roman" w:hAnsi="Times New Roman" w:cs="Times New Roman"/>
                <w:sz w:val="28"/>
              </w:rPr>
              <w:t xml:space="preserve">  </w:t>
            </w:r>
            <w:hyperlink r:id="rId8" w:history="1">
              <w:r w:rsidRPr="007F7204">
                <w:rPr>
                  <w:rStyle w:val="Hyperlink"/>
                  <w:rFonts w:ascii="Times New Roman" w:hAnsi="Times New Roman" w:cs="Times New Roman"/>
                  <w:sz w:val="28"/>
                </w:rPr>
                <w:t>www.particip.gov.md</w:t>
              </w:r>
            </w:hyperlink>
            <w:r w:rsidRPr="007F7204">
              <w:rPr>
                <w:rFonts w:ascii="Times New Roman" w:hAnsi="Times New Roman" w:cs="Times New Roman"/>
                <w:sz w:val="28"/>
              </w:rPr>
              <w:t xml:space="preserve"> (</w:t>
            </w:r>
            <w:hyperlink r:id="rId9" w:history="1">
              <w:r w:rsidRPr="007F7204">
                <w:rPr>
                  <w:rStyle w:val="Hyperlink"/>
                  <w:rFonts w:ascii="Times New Roman" w:hAnsi="Times New Roman" w:cs="Times New Roman"/>
                  <w:sz w:val="28"/>
                </w:rPr>
                <w:t>https://particip.gov.md/ro/document/stages/*/8209</w:t>
              </w:r>
            </w:hyperlink>
            <w:r w:rsidRPr="007F720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F7204" w:rsidRPr="007F7204">
              <w:rPr>
                <w:rFonts w:ascii="Times New Roman" w:hAnsi="Times New Roman" w:cs="Times New Roman"/>
                <w:sz w:val="28"/>
              </w:rPr>
              <w:t>și</w:t>
            </w:r>
            <w:proofErr w:type="spellEnd"/>
            <w:r w:rsidR="007F7204" w:rsidRPr="007F7204"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10" w:history="1">
              <w:r w:rsidR="005C57DB" w:rsidRPr="007F7204">
                <w:rPr>
                  <w:rStyle w:val="Hyperlink"/>
                  <w:rFonts w:ascii="Times New Roman" w:hAnsi="Times New Roman" w:cs="Times New Roman"/>
                  <w:sz w:val="28"/>
                </w:rPr>
                <w:t>https://particip.gov.md/ro/document/stages/*/8202</w:t>
              </w:r>
            </w:hyperlink>
            <w:r w:rsidR="005C57DB" w:rsidRPr="007F720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70FF0" w:rsidRPr="007F7204">
              <w:rPr>
                <w:rFonts w:ascii="Times New Roman" w:hAnsi="Times New Roman" w:cs="Times New Roman"/>
                <w:sz w:val="28"/>
              </w:rPr>
              <w:t>)</w:t>
            </w:r>
            <w:r w:rsidR="008E7AAC" w:rsidRPr="007F720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760AF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60AF" w:rsidRPr="009202C3" w:rsidRDefault="005720D9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8.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60AF" w:rsidRPr="009202C3" w:rsidRDefault="005720D9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Constatările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expertizei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anticorupție</w:t>
            </w:r>
            <w:proofErr w:type="spellEnd"/>
          </w:p>
        </w:tc>
      </w:tr>
      <w:tr w:rsidR="001372E0" w:rsidRPr="001B0FF8" w:rsidTr="001B0FF8">
        <w:tc>
          <w:tcPr>
            <w:tcW w:w="10278" w:type="dxa"/>
            <w:gridSpan w:val="2"/>
            <w:vAlign w:val="center"/>
          </w:tcPr>
          <w:p w:rsidR="001372E0" w:rsidRPr="009202C3" w:rsidRDefault="001372E0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720D9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20D9" w:rsidRPr="009202C3" w:rsidRDefault="005720D9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9.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1372E0" w:rsidRPr="009202C3" w:rsidRDefault="005720D9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Constatările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expertizei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de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compatibilitate</w:t>
            </w:r>
            <w:proofErr w:type="spellEnd"/>
          </w:p>
        </w:tc>
      </w:tr>
      <w:tr w:rsidR="001372E0" w:rsidRPr="001B0FF8" w:rsidTr="001B0FF8">
        <w:tc>
          <w:tcPr>
            <w:tcW w:w="10278" w:type="dxa"/>
            <w:gridSpan w:val="2"/>
            <w:vAlign w:val="center"/>
          </w:tcPr>
          <w:p w:rsidR="001372E0" w:rsidRPr="009202C3" w:rsidRDefault="001372E0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720D9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20D9" w:rsidRPr="009202C3" w:rsidRDefault="005720D9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10.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20D9" w:rsidRPr="009202C3" w:rsidRDefault="005720D9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Constatările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expertizei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juridice</w:t>
            </w:r>
            <w:proofErr w:type="spellEnd"/>
          </w:p>
        </w:tc>
      </w:tr>
      <w:tr w:rsidR="001372E0" w:rsidRPr="001B0FF8" w:rsidTr="001B0FF8">
        <w:tc>
          <w:tcPr>
            <w:tcW w:w="10278" w:type="dxa"/>
            <w:gridSpan w:val="2"/>
            <w:vAlign w:val="center"/>
          </w:tcPr>
          <w:p w:rsidR="001372E0" w:rsidRPr="009202C3" w:rsidRDefault="001372E0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720D9" w:rsidRPr="001B0FF8" w:rsidTr="005B1DE5">
        <w:tc>
          <w:tcPr>
            <w:tcW w:w="566" w:type="dxa"/>
            <w:shd w:val="clear" w:color="auto" w:fill="E7E6E6" w:themeFill="background2"/>
            <w:vAlign w:val="center"/>
          </w:tcPr>
          <w:p w:rsidR="005720D9" w:rsidRPr="009202C3" w:rsidRDefault="005720D9" w:rsidP="009202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11.</w:t>
            </w:r>
          </w:p>
        </w:tc>
        <w:tc>
          <w:tcPr>
            <w:tcW w:w="9712" w:type="dxa"/>
            <w:shd w:val="clear" w:color="auto" w:fill="E7E6E6" w:themeFill="background2"/>
            <w:vAlign w:val="center"/>
          </w:tcPr>
          <w:p w:rsidR="005720D9" w:rsidRPr="009202C3" w:rsidRDefault="005720D9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Constatările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>altor</w:t>
            </w:r>
            <w:proofErr w:type="spellEnd"/>
            <w:r w:rsidRPr="009202C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expertize</w:t>
            </w:r>
          </w:p>
        </w:tc>
      </w:tr>
      <w:tr w:rsidR="001372E0" w:rsidRPr="001B0FF8" w:rsidTr="001B0FF8">
        <w:tc>
          <w:tcPr>
            <w:tcW w:w="10278" w:type="dxa"/>
            <w:gridSpan w:val="2"/>
            <w:vAlign w:val="center"/>
          </w:tcPr>
          <w:p w:rsidR="001372E0" w:rsidRPr="009202C3" w:rsidRDefault="001372E0" w:rsidP="009202C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C4536" w:rsidRPr="001B0FF8" w:rsidRDefault="00CC4536">
      <w:pPr>
        <w:rPr>
          <w:sz w:val="24"/>
          <w:szCs w:val="24"/>
        </w:rPr>
      </w:pPr>
    </w:p>
    <w:p w:rsidR="00D747D3" w:rsidRPr="00570FF0" w:rsidRDefault="001372E0" w:rsidP="001372E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570FF0">
        <w:rPr>
          <w:rFonts w:ascii="Times New Roman" w:hAnsi="Times New Roman" w:cs="Times New Roman"/>
          <w:b/>
          <w:sz w:val="28"/>
          <w:szCs w:val="24"/>
        </w:rPr>
        <w:t>Secretar</w:t>
      </w:r>
      <w:proofErr w:type="spellEnd"/>
      <w:r w:rsidRPr="00570FF0">
        <w:rPr>
          <w:rFonts w:ascii="Times New Roman" w:hAnsi="Times New Roman" w:cs="Times New Roman"/>
          <w:b/>
          <w:sz w:val="28"/>
          <w:szCs w:val="24"/>
        </w:rPr>
        <w:t xml:space="preserve"> de Stat                                               </w:t>
      </w:r>
      <w:r w:rsidR="001B0FF8" w:rsidRPr="00570FF0">
        <w:rPr>
          <w:rFonts w:ascii="Times New Roman" w:hAnsi="Times New Roman" w:cs="Times New Roman"/>
          <w:b/>
          <w:sz w:val="28"/>
          <w:szCs w:val="24"/>
        </w:rPr>
        <w:t>Igor CUROV</w:t>
      </w:r>
    </w:p>
    <w:p w:rsidR="00D747D3" w:rsidRPr="001B0FF8" w:rsidRDefault="00D747D3">
      <w:pPr>
        <w:rPr>
          <w:sz w:val="24"/>
          <w:szCs w:val="24"/>
        </w:rPr>
      </w:pPr>
    </w:p>
    <w:sectPr w:rsidR="00D747D3" w:rsidRPr="001B0FF8" w:rsidSect="00217DEA">
      <w:footerReference w:type="default" r:id="rId11"/>
      <w:pgSz w:w="12240" w:h="15840"/>
      <w:pgMar w:top="576" w:right="1152" w:bottom="907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5A" w:rsidRDefault="005E405A" w:rsidP="00217DEA">
      <w:pPr>
        <w:spacing w:after="0" w:line="240" w:lineRule="auto"/>
      </w:pPr>
      <w:r>
        <w:separator/>
      </w:r>
    </w:p>
  </w:endnote>
  <w:endnote w:type="continuationSeparator" w:id="0">
    <w:p w:rsidR="005E405A" w:rsidRDefault="005E405A" w:rsidP="0021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092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DEA" w:rsidRDefault="00217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8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7DEA" w:rsidRDefault="0021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5A" w:rsidRDefault="005E405A" w:rsidP="00217DEA">
      <w:pPr>
        <w:spacing w:after="0" w:line="240" w:lineRule="auto"/>
      </w:pPr>
      <w:r>
        <w:separator/>
      </w:r>
    </w:p>
  </w:footnote>
  <w:footnote w:type="continuationSeparator" w:id="0">
    <w:p w:rsidR="005E405A" w:rsidRDefault="005E405A" w:rsidP="00217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CA2"/>
    <w:multiLevelType w:val="hybridMultilevel"/>
    <w:tmpl w:val="2B0CEBEE"/>
    <w:lvl w:ilvl="0" w:tplc="C5222E9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2A6528"/>
    <w:multiLevelType w:val="multilevel"/>
    <w:tmpl w:val="1D5830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29B0287"/>
    <w:multiLevelType w:val="hybridMultilevel"/>
    <w:tmpl w:val="F3D02A18"/>
    <w:lvl w:ilvl="0" w:tplc="69229E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93296"/>
    <w:multiLevelType w:val="hybridMultilevel"/>
    <w:tmpl w:val="191CC138"/>
    <w:lvl w:ilvl="0" w:tplc="12884B1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36"/>
    <w:rsid w:val="000321FA"/>
    <w:rsid w:val="00095B98"/>
    <w:rsid w:val="000A55D9"/>
    <w:rsid w:val="00103847"/>
    <w:rsid w:val="001372E0"/>
    <w:rsid w:val="00154B2A"/>
    <w:rsid w:val="001B0FF8"/>
    <w:rsid w:val="001F15AA"/>
    <w:rsid w:val="001F7BF3"/>
    <w:rsid w:val="00213AA2"/>
    <w:rsid w:val="00217DEA"/>
    <w:rsid w:val="00242659"/>
    <w:rsid w:val="002C7E0A"/>
    <w:rsid w:val="00354542"/>
    <w:rsid w:val="00396D6C"/>
    <w:rsid w:val="00424960"/>
    <w:rsid w:val="0049578A"/>
    <w:rsid w:val="004E5944"/>
    <w:rsid w:val="00570FF0"/>
    <w:rsid w:val="005720D9"/>
    <w:rsid w:val="005760AF"/>
    <w:rsid w:val="005A1841"/>
    <w:rsid w:val="005B1DE5"/>
    <w:rsid w:val="005C57DB"/>
    <w:rsid w:val="005D0298"/>
    <w:rsid w:val="005E405A"/>
    <w:rsid w:val="00777C58"/>
    <w:rsid w:val="007A06E9"/>
    <w:rsid w:val="007F7204"/>
    <w:rsid w:val="00804443"/>
    <w:rsid w:val="00817593"/>
    <w:rsid w:val="00880CB7"/>
    <w:rsid w:val="008E7AAC"/>
    <w:rsid w:val="009202C3"/>
    <w:rsid w:val="009C37E8"/>
    <w:rsid w:val="00A14FB0"/>
    <w:rsid w:val="00A9687B"/>
    <w:rsid w:val="00AB39DB"/>
    <w:rsid w:val="00BA24E0"/>
    <w:rsid w:val="00C21BE0"/>
    <w:rsid w:val="00C370DF"/>
    <w:rsid w:val="00CC4536"/>
    <w:rsid w:val="00D0301D"/>
    <w:rsid w:val="00D16283"/>
    <w:rsid w:val="00D747D3"/>
    <w:rsid w:val="00DE1E34"/>
    <w:rsid w:val="00DF49BB"/>
    <w:rsid w:val="00E0182B"/>
    <w:rsid w:val="00E5152C"/>
    <w:rsid w:val="00E94AD8"/>
    <w:rsid w:val="00EB3443"/>
    <w:rsid w:val="00FB2C89"/>
    <w:rsid w:val="00F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7A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AA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1F7BF3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1F7BF3"/>
    <w:pPr>
      <w:spacing w:line="254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EA"/>
  </w:style>
  <w:style w:type="paragraph" w:styleId="Footer">
    <w:name w:val="footer"/>
    <w:basedOn w:val="Normal"/>
    <w:link w:val="FooterChar"/>
    <w:uiPriority w:val="99"/>
    <w:unhideWhenUsed/>
    <w:rsid w:val="00217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7A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AA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1F7BF3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1F7BF3"/>
    <w:pPr>
      <w:spacing w:line="254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EA"/>
  </w:style>
  <w:style w:type="paragraph" w:styleId="Footer">
    <w:name w:val="footer"/>
    <w:basedOn w:val="Normal"/>
    <w:link w:val="FooterChar"/>
    <w:uiPriority w:val="99"/>
    <w:unhideWhenUsed/>
    <w:rsid w:val="00217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rticip.gov.md/ro/document/stages/*/8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icip.gov.md/ro/document/stages/*/8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luminita.onofrei</cp:lastModifiedBy>
  <cp:revision>7</cp:revision>
  <dcterms:created xsi:type="dcterms:W3CDTF">2021-04-29T06:25:00Z</dcterms:created>
  <dcterms:modified xsi:type="dcterms:W3CDTF">2021-05-05T11:37:00Z</dcterms:modified>
</cp:coreProperties>
</file>