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28" w:rsidRPr="001C256F" w:rsidRDefault="007F0028" w:rsidP="002B417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FEB" w:rsidRPr="001C256F" w:rsidRDefault="00486FEB" w:rsidP="002B417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56F">
        <w:rPr>
          <w:rFonts w:ascii="Times New Roman" w:hAnsi="Times New Roman" w:cs="Times New Roman"/>
          <w:b/>
          <w:sz w:val="24"/>
          <w:szCs w:val="24"/>
        </w:rPr>
        <w:t>Notă informativă</w:t>
      </w:r>
    </w:p>
    <w:p w:rsidR="001C256F" w:rsidRPr="001C256F" w:rsidRDefault="001C256F" w:rsidP="005357AD">
      <w:pPr>
        <w:spacing w:after="0" w:line="276" w:lineRule="auto"/>
        <w:jc w:val="center"/>
        <w:rPr>
          <w:rStyle w:val="FontStyle20"/>
          <w:sz w:val="24"/>
          <w:szCs w:val="24"/>
        </w:rPr>
      </w:pPr>
      <w:r w:rsidRPr="001C256F">
        <w:rPr>
          <w:rStyle w:val="FontStyle20"/>
          <w:sz w:val="24"/>
          <w:szCs w:val="24"/>
        </w:rPr>
        <w:t>la proiectul</w:t>
      </w:r>
      <w:r w:rsidR="002B417F" w:rsidRPr="001C256F">
        <w:rPr>
          <w:rStyle w:val="FontStyle20"/>
          <w:sz w:val="24"/>
          <w:szCs w:val="24"/>
        </w:rPr>
        <w:t xml:space="preserve"> </w:t>
      </w:r>
      <w:r w:rsidR="005357AD" w:rsidRPr="001C256F">
        <w:rPr>
          <w:rStyle w:val="FontStyle20"/>
          <w:sz w:val="24"/>
          <w:szCs w:val="24"/>
        </w:rPr>
        <w:t>hot</w:t>
      </w:r>
      <w:r w:rsidR="00370F45" w:rsidRPr="001C256F">
        <w:rPr>
          <w:rStyle w:val="FontStyle20"/>
          <w:sz w:val="24"/>
          <w:szCs w:val="24"/>
        </w:rPr>
        <w:t>ă</w:t>
      </w:r>
      <w:r w:rsidR="005357AD" w:rsidRPr="001C256F">
        <w:rPr>
          <w:rStyle w:val="FontStyle20"/>
          <w:sz w:val="24"/>
          <w:szCs w:val="24"/>
        </w:rPr>
        <w:t>r</w:t>
      </w:r>
      <w:r w:rsidR="00370F45" w:rsidRPr="001C256F">
        <w:rPr>
          <w:rStyle w:val="FontStyle20"/>
          <w:sz w:val="24"/>
          <w:szCs w:val="24"/>
        </w:rPr>
        <w:t>â</w:t>
      </w:r>
      <w:r w:rsidRPr="001C256F">
        <w:rPr>
          <w:rStyle w:val="FontStyle20"/>
          <w:sz w:val="24"/>
          <w:szCs w:val="24"/>
        </w:rPr>
        <w:t>rii de Guvern cu privire la</w:t>
      </w:r>
      <w:r w:rsidR="005357AD" w:rsidRPr="001C256F">
        <w:rPr>
          <w:rStyle w:val="FontStyle20"/>
          <w:sz w:val="24"/>
          <w:szCs w:val="24"/>
        </w:rPr>
        <w:t xml:space="preserve"> </w:t>
      </w:r>
      <w:r w:rsidR="0002761C" w:rsidRPr="001C256F">
        <w:rPr>
          <w:rStyle w:val="FontStyle20"/>
          <w:sz w:val="24"/>
          <w:szCs w:val="24"/>
        </w:rPr>
        <w:t>aprobarea</w:t>
      </w:r>
    </w:p>
    <w:p w:rsidR="00486FEB" w:rsidRPr="001C256F" w:rsidRDefault="0002761C" w:rsidP="005357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56F">
        <w:rPr>
          <w:rStyle w:val="FontStyle20"/>
          <w:sz w:val="24"/>
          <w:szCs w:val="24"/>
        </w:rPr>
        <w:t xml:space="preserve"> </w:t>
      </w:r>
      <w:r w:rsidRPr="001C256F">
        <w:rPr>
          <w:rFonts w:ascii="Times New Roman" w:eastAsia="Arial Unicode MS" w:hAnsi="Times New Roman" w:cs="Times New Roman"/>
          <w:b/>
          <w:sz w:val="24"/>
          <w:szCs w:val="24"/>
        </w:rPr>
        <w:t>listei</w:t>
      </w:r>
      <w:r w:rsidR="00F71E91" w:rsidRPr="001C256F">
        <w:rPr>
          <w:rFonts w:ascii="Times New Roman" w:eastAsia="Arial Unicode MS" w:hAnsi="Times New Roman" w:cs="Times New Roman"/>
          <w:b/>
          <w:sz w:val="24"/>
          <w:szCs w:val="24"/>
        </w:rPr>
        <w:t xml:space="preserve"> produselor alimentare din lanțul alimentar </w:t>
      </w:r>
      <w:r w:rsidR="00F71E91" w:rsidRPr="001C256F">
        <w:rPr>
          <w:rFonts w:ascii="Times New Roman" w:hAnsi="Times New Roman" w:cs="Times New Roman"/>
          <w:b/>
          <w:sz w:val="24"/>
          <w:szCs w:val="24"/>
        </w:rPr>
        <w:t>scurt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86FEB" w:rsidRPr="001C256F" w:rsidTr="00C151CE">
        <w:tc>
          <w:tcPr>
            <w:tcW w:w="9570" w:type="dxa"/>
          </w:tcPr>
          <w:p w:rsidR="00486FEB" w:rsidRPr="001C256F" w:rsidRDefault="00A23DF2" w:rsidP="00D269A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Autorii proiectului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486FEB" w:rsidP="00DF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Ministerul Agriculturii, Dezvoltării Regionale și Mediului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A23DF2" w:rsidP="00D269A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Condiţiile ce au impus elaborarea proiectului de act normativ </w:t>
            </w:r>
            <w:r w:rsidR="00370F45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0F45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finalitățile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urmărite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E46302" w:rsidP="001C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Prezentul proiect este elaborat în temeiul art. </w:t>
            </w:r>
            <w:r w:rsidR="005000B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21</w:t>
            </w:r>
            <w:r w:rsidR="005000B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o-RO"/>
              </w:rPr>
              <w:t>1</w:t>
            </w:r>
            <w:r w:rsidR="005000B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alin. (12) din Legea nr. 231/20</w:t>
            </w:r>
            <w:r w:rsidR="000833E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10 </w:t>
            </w:r>
            <w:r w:rsidR="005000B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cu privire la comerțul interior</w:t>
            </w:r>
            <w:r w:rsidR="001C256F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,</w:t>
            </w:r>
            <w:r w:rsidR="00EC117F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care prevede </w:t>
            </w:r>
            <w:r w:rsidR="001C256F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>că Guvernul trebuie să aprobe</w:t>
            </w:r>
            <w:r w:rsidR="00EC117F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lista </w:t>
            </w:r>
            <w:r w:rsidR="001A5E50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4C52A2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>produselor</w:t>
            </w:r>
            <w:r w:rsidR="001A5E50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C117F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alimentare din lanțul alimentar </w:t>
            </w:r>
            <w:r w:rsidR="00D51740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scurt, care urmează a fi achiziționate de comerciant și expuse </w:t>
            </w:r>
            <w:r w:rsidR="00D51740" w:rsidRPr="001C256F">
              <w:rPr>
                <w:rFonts w:ascii="Times New Roman" w:hAnsi="Times New Roman" w:cs="Times New Roman"/>
                <w:bCs/>
                <w:sz w:val="24"/>
                <w:szCs w:val="24"/>
              </w:rPr>
              <w:t>în proporție de cel puțin 50% din lungimea liniară a raftului</w:t>
            </w:r>
            <w:r w:rsidR="00D51740" w:rsidRPr="001C25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51740" w:rsidRPr="001C256F">
              <w:rPr>
                <w:rFonts w:ascii="Times New Roman" w:hAnsi="Times New Roman" w:cs="Times New Roman"/>
                <w:bCs/>
                <w:sz w:val="24"/>
                <w:szCs w:val="24"/>
              </w:rPr>
              <w:t>comercial.</w:t>
            </w:r>
            <w:r w:rsidR="00D51740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3DF2" w:rsidRPr="001C256F" w:rsidTr="00C151CE">
        <w:tc>
          <w:tcPr>
            <w:tcW w:w="9570" w:type="dxa"/>
          </w:tcPr>
          <w:p w:rsidR="00A23DF2" w:rsidRPr="001C256F" w:rsidRDefault="00A23DF2" w:rsidP="00A23DF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3.Descrierea gradului de compatibilitate pentru proiectele care au ca scop armonizarea </w:t>
            </w:r>
            <w:r w:rsidR="00401DDF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legislației</w:t>
            </w: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DDF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naționale</w:t>
            </w: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r w:rsidR="00401DDF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legislația</w:t>
            </w: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Uniunii Europene</w:t>
            </w:r>
          </w:p>
        </w:tc>
      </w:tr>
      <w:tr w:rsidR="00A23DF2" w:rsidRPr="001C256F" w:rsidTr="00C151CE">
        <w:tc>
          <w:tcPr>
            <w:tcW w:w="9570" w:type="dxa"/>
          </w:tcPr>
          <w:p w:rsidR="00A23DF2" w:rsidRPr="001C256F" w:rsidRDefault="00A23DF2" w:rsidP="00263F07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Proiectul nominalizat</w:t>
            </w:r>
            <w:r w:rsidR="00651AB5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D19" w:rsidRPr="001C256F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nu conține norme privind armonizarea legislației naționale </w:t>
            </w:r>
            <w:r w:rsidR="0002761C" w:rsidRPr="001C256F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cu legislația Uniunii Europene.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A23DF2" w:rsidP="00D269A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Principalele prevederi ale proiectului </w:t>
            </w:r>
            <w:r w:rsidR="00401DDF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DDF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evidențierea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elementelor noi</w:t>
            </w:r>
          </w:p>
        </w:tc>
      </w:tr>
      <w:tr w:rsidR="00486FEB" w:rsidRPr="001C256F" w:rsidTr="00C151CE">
        <w:tc>
          <w:tcPr>
            <w:tcW w:w="9570" w:type="dxa"/>
          </w:tcPr>
          <w:p w:rsidR="00263F07" w:rsidRPr="001C256F" w:rsidRDefault="00401DDF" w:rsidP="001C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Style w:val="2"/>
                <w:rFonts w:eastAsiaTheme="majorEastAsia"/>
                <w:color w:val="auto"/>
                <w:sz w:val="24"/>
                <w:szCs w:val="24"/>
              </w:rPr>
              <w:t xml:space="preserve">Proiectul stabilește </w:t>
            </w:r>
            <w:r w:rsidR="00D51740" w:rsidRPr="001C25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lista produselor alimentare din lanțul alimentar </w:t>
            </w:r>
            <w:r w:rsidR="00D51740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scurt, care urmează a fi achiziționate de comerciant și expuse </w:t>
            </w:r>
            <w:r w:rsidR="00D51740" w:rsidRPr="001C256F">
              <w:rPr>
                <w:rFonts w:ascii="Times New Roman" w:hAnsi="Times New Roman" w:cs="Times New Roman"/>
                <w:bCs/>
                <w:sz w:val="24"/>
                <w:szCs w:val="24"/>
              </w:rPr>
              <w:t>în proporție de cel puțin 50% din lungimea liniară a raftului</w:t>
            </w:r>
            <w:r w:rsidR="00D51740" w:rsidRPr="001C25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51740" w:rsidRPr="001C256F">
              <w:rPr>
                <w:rFonts w:ascii="Times New Roman" w:hAnsi="Times New Roman" w:cs="Times New Roman"/>
                <w:bCs/>
                <w:sz w:val="24"/>
                <w:szCs w:val="24"/>
              </w:rPr>
              <w:t>comercial.</w:t>
            </w:r>
            <w:r w:rsidR="00D51740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F90" w:rsidRPr="001C256F" w:rsidRDefault="00062419" w:rsidP="001C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Lista produselor conține un compartiment „perioada recomandată”</w:t>
            </w:r>
            <w:r w:rsidR="00EB75EA" w:rsidRPr="001C256F">
              <w:rPr>
                <w:rFonts w:ascii="Times New Roman" w:hAnsi="Times New Roman" w:cs="Times New Roman"/>
                <w:sz w:val="24"/>
                <w:szCs w:val="24"/>
              </w:rPr>
              <w:t>, perioada</w:t>
            </w:r>
            <w:r w:rsidR="00891B62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respectivă</w:t>
            </w:r>
            <w:r w:rsidR="00EB75EA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se referă la fructele și legumele de sezon și este doar pentru orientare. În dep</w:t>
            </w:r>
            <w:r w:rsidR="00891B62" w:rsidRPr="001C256F">
              <w:rPr>
                <w:rFonts w:ascii="Times New Roman" w:hAnsi="Times New Roman" w:cs="Times New Roman"/>
                <w:sz w:val="24"/>
                <w:szCs w:val="24"/>
              </w:rPr>
              <w:t>endență de soi, producătorul agricol va indica</w:t>
            </w:r>
            <w:r w:rsidR="00450EA8" w:rsidRPr="001C2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802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în contractul cu </w:t>
            </w:r>
            <w:r w:rsidR="00450EA8" w:rsidRPr="001C256F">
              <w:rPr>
                <w:rFonts w:ascii="Times New Roman" w:hAnsi="Times New Roman" w:cs="Times New Roman"/>
                <w:sz w:val="24"/>
                <w:szCs w:val="24"/>
              </w:rPr>
              <w:t>comerciantul</w:t>
            </w:r>
            <w:r w:rsidR="00E57802" w:rsidRPr="001C2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1B62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perioada </w:t>
            </w:r>
            <w:r w:rsidR="00E57802" w:rsidRPr="001C256F">
              <w:rPr>
                <w:rFonts w:ascii="Times New Roman" w:hAnsi="Times New Roman" w:cs="Times New Roman"/>
                <w:sz w:val="24"/>
                <w:szCs w:val="24"/>
              </w:rPr>
              <w:t>concretă</w:t>
            </w:r>
            <w:r w:rsidR="009A4AD6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, periodicitatea, cantitatea pentru </w:t>
            </w:r>
            <w:r w:rsidR="00450EA8" w:rsidRPr="001C256F">
              <w:rPr>
                <w:rFonts w:ascii="Times New Roman" w:hAnsi="Times New Roman" w:cs="Times New Roman"/>
                <w:sz w:val="24"/>
                <w:szCs w:val="24"/>
              </w:rPr>
              <w:t>livrarea produsului</w:t>
            </w:r>
            <w:r w:rsidR="00D37F90" w:rsidRPr="001C256F">
              <w:rPr>
                <w:rFonts w:ascii="Times New Roman" w:hAnsi="Times New Roman" w:cs="Times New Roman"/>
                <w:sz w:val="24"/>
                <w:szCs w:val="24"/>
              </w:rPr>
              <w:t>, precum și alte aspecte ce țin de relațiile comerciale bilaterale.</w:t>
            </w:r>
          </w:p>
          <w:p w:rsidR="00062419" w:rsidRPr="001C256F" w:rsidRDefault="00D37F90" w:rsidP="001C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Pentru produsele la care nu este indicată o perioada de referință, acestea se recomandă a fi comercializate pe tot parcursul anului.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A23DF2" w:rsidP="00D269A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Fundamentarea economico-financiară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486FEB" w:rsidP="00D269AF">
            <w:pPr>
              <w:pStyle w:val="Frspaier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Implementarea acestui proiect nu necesită alocarea resurselor financiare suplimentare de la bugetul de stat</w:t>
            </w:r>
            <w:r w:rsidR="001C256F" w:rsidRPr="001C2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A23DF2" w:rsidP="00D269A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Modul de încorporare a actului în cadrul normativ în vigoare</w:t>
            </w:r>
          </w:p>
        </w:tc>
      </w:tr>
      <w:tr w:rsidR="00486FEB" w:rsidRPr="001C256F" w:rsidTr="00BA1D8C">
        <w:trPr>
          <w:trHeight w:val="622"/>
        </w:trPr>
        <w:tc>
          <w:tcPr>
            <w:tcW w:w="9570" w:type="dxa"/>
          </w:tcPr>
          <w:p w:rsidR="00651AB5" w:rsidRPr="001C256F" w:rsidRDefault="00BA1D8C" w:rsidP="000327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1C256F" w:rsidRPr="001C256F">
              <w:rPr>
                <w:rFonts w:ascii="Times New Roman" w:hAnsi="Times New Roman" w:cs="Times New Roman"/>
                <w:sz w:val="24"/>
                <w:szCs w:val="24"/>
              </w:rPr>
              <w:t>iectul este elaborat în temeiul</w:t>
            </w:r>
            <w:r w:rsidR="000833E2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0833E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21</w:t>
            </w:r>
            <w:r w:rsidR="000833E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o-RO"/>
              </w:rPr>
              <w:t>1</w:t>
            </w:r>
            <w:r w:rsidR="000833E2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alin. (12) din Legea nr. 231/2010 cu privire la comerțul interior</w:t>
            </w:r>
            <w:r w:rsidR="00116568" w:rsidRPr="001C2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și nu presupune modificarea altor acte normative.</w:t>
            </w:r>
          </w:p>
        </w:tc>
      </w:tr>
      <w:tr w:rsidR="00486FEB" w:rsidRPr="001C256F" w:rsidTr="00C151CE">
        <w:tc>
          <w:tcPr>
            <w:tcW w:w="9570" w:type="dxa"/>
          </w:tcPr>
          <w:p w:rsidR="00486FEB" w:rsidRPr="001C256F" w:rsidRDefault="00A23DF2" w:rsidP="00D269A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442B64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6FEB"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Avizarea şi consultarea publică a proiectului</w:t>
            </w:r>
          </w:p>
        </w:tc>
      </w:tr>
      <w:tr w:rsidR="00486FEB" w:rsidRPr="001C256F" w:rsidTr="00C151CE">
        <w:tc>
          <w:tcPr>
            <w:tcW w:w="9570" w:type="dxa"/>
          </w:tcPr>
          <w:p w:rsidR="00CE4E30" w:rsidRPr="001C256F" w:rsidRDefault="00CE4E30" w:rsidP="001C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Astfel, în conformitate cu art. 32 din Legea nr. 100/2017 cu privire la actele normative, anunțul privind inițierea elaborării proiectului de act normativ </w:t>
            </w:r>
            <w:r w:rsidR="00746CB8"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fost</w:t>
            </w:r>
            <w:r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plasat pe pagina web al Ministerului Agriculturii, Dezvoltării Regionale și Mediului</w:t>
            </w:r>
            <w:r w:rsidR="009F73D7"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4" w:history="1">
              <w:r w:rsidRPr="001C256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www.madrm.gov.md</w:t>
              </w:r>
            </w:hyperlink>
            <w:r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compartimentul ,,Transparență decizională/Anunțuri de inițiere a elaborării deciziilor”. </w:t>
            </w:r>
          </w:p>
          <w:p w:rsidR="00C151CE" w:rsidRPr="001C256F" w:rsidRDefault="00CE4E30" w:rsidP="001C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va fi supus </w:t>
            </w:r>
            <w:r w:rsidR="001C256F"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avizării și consultării publice</w:t>
            </w:r>
            <w:r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</w:t>
            </w:r>
            <w:r w:rsidR="001C256F"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portalul</w:t>
            </w:r>
            <w:r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5" w:history="1">
              <w:r w:rsidRPr="001C256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http://www.particip.gov.md</w:t>
              </w:r>
            </w:hyperlink>
            <w:r w:rsidRPr="001C25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după anunțarea proiectului spre examinare în ședința secretarilor generali de stat.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C151CE" w:rsidP="00C151C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8. Constatările expertizei anticorupție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CC2925" w:rsidP="00EB15D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Va fi transmis</w:t>
            </w:r>
            <w:r w:rsidR="00913A0C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DE" w:rsidRPr="001C256F">
              <w:rPr>
                <w:rFonts w:ascii="Times New Roman" w:hAnsi="Times New Roman" w:cs="Times New Roman"/>
                <w:sz w:val="24"/>
                <w:szCs w:val="24"/>
              </w:rPr>
              <w:t>la CNA pentru</w:t>
            </w:r>
            <w:r w:rsidR="00C151CE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expertiza anticorupție </w:t>
            </w:r>
            <w:r w:rsidR="00EB15DE" w:rsidRPr="001C256F">
              <w:rPr>
                <w:rFonts w:ascii="Times New Roman" w:hAnsi="Times New Roman" w:cs="Times New Roman"/>
                <w:sz w:val="24"/>
                <w:szCs w:val="24"/>
              </w:rPr>
              <w:t>după examinarea in Ședința Secretarilor generali de stat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C151CE" w:rsidP="000103A8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9. Constatările expertizei de compatibilitate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C151CE" w:rsidP="000103A8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Nu este necesară.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C151CE" w:rsidP="000103A8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10. Constatările expertizei juridice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913A0C" w:rsidP="00913A0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>Va fi transmis pentru expertiza juridică după examinarea în Ședința Secretarilor generali de stat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C151CE" w:rsidP="000103A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b/>
                <w:sz w:val="24"/>
                <w:szCs w:val="24"/>
              </w:rPr>
              <w:t>11. Constatările altor expertize</w:t>
            </w:r>
          </w:p>
        </w:tc>
      </w:tr>
      <w:tr w:rsidR="00C151CE" w:rsidRPr="001C256F" w:rsidTr="00C151CE">
        <w:tc>
          <w:tcPr>
            <w:tcW w:w="9570" w:type="dxa"/>
          </w:tcPr>
          <w:p w:rsidR="00C151CE" w:rsidRPr="001C256F" w:rsidRDefault="006E4FBB" w:rsidP="000103A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Va fi transmis </w:t>
            </w:r>
            <w:r w:rsidR="00BC5DA2" w:rsidRPr="001C256F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r w:rsidR="00DA3482" w:rsidRPr="001C256F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="00BC5DA2" w:rsidRPr="001C256F">
              <w:rPr>
                <w:rFonts w:ascii="Times New Roman" w:hAnsi="Times New Roman" w:cs="Times New Roman"/>
                <w:sz w:val="24"/>
                <w:szCs w:val="24"/>
              </w:rPr>
              <w:t xml:space="preserve"> de lucru </w:t>
            </w:r>
            <w:r w:rsidR="00BC5DA2" w:rsidRPr="001C256F">
              <w:rPr>
                <w:rFonts w:ascii="Times New Roman" w:hAnsi="Times New Roman" w:cs="Times New Roman"/>
                <w:iCs/>
                <w:sz w:val="24"/>
                <w:szCs w:val="24"/>
              </w:rPr>
              <w:t>al Comisiei</w:t>
            </w:r>
            <w:bookmarkStart w:id="0" w:name="_GoBack"/>
            <w:bookmarkEnd w:id="0"/>
            <w:r w:rsidR="00BC5DA2" w:rsidRPr="001C25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Stat pentru reglementarea activității de întreprinzător</w:t>
            </w:r>
            <w:r w:rsidR="00DA3482" w:rsidRPr="001C25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pentru examinare și prezentare a</w:t>
            </w:r>
            <w:r w:rsidR="001C256F" w:rsidRPr="001C25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opiniei pe marginea proiectulu</w:t>
            </w:r>
            <w:r w:rsidR="00DA3482" w:rsidRPr="001C256F">
              <w:rPr>
                <w:rFonts w:ascii="Times New Roman" w:hAnsi="Times New Roman" w:cs="Times New Roman"/>
                <w:iCs/>
                <w:sz w:val="24"/>
                <w:szCs w:val="24"/>
              </w:rPr>
              <w:t>i respectiv</w:t>
            </w:r>
            <w:r w:rsidR="00C151CE" w:rsidRPr="001C25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</w:tbl>
    <w:p w:rsidR="00486FEB" w:rsidRPr="001C256F" w:rsidRDefault="00486FEB" w:rsidP="00486FEB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B07" w:rsidRPr="001C256F" w:rsidRDefault="00FB5B07" w:rsidP="00486FEB">
      <w:pPr>
        <w:pStyle w:val="Frspaiere"/>
        <w:ind w:firstLine="426"/>
        <w:rPr>
          <w:rFonts w:ascii="Times New Roman" w:hAnsi="Times New Roman" w:cs="Times New Roman"/>
          <w:sz w:val="24"/>
          <w:szCs w:val="24"/>
        </w:rPr>
      </w:pPr>
    </w:p>
    <w:p w:rsidR="000A430A" w:rsidRPr="001C256F" w:rsidRDefault="00F202C2" w:rsidP="00F202C2">
      <w:pPr>
        <w:pStyle w:val="Frspaiere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Ion PERJU</w:t>
      </w:r>
    </w:p>
    <w:sectPr w:rsidR="000A430A" w:rsidRPr="001C256F" w:rsidSect="001C256F">
      <w:pgSz w:w="11906" w:h="16838"/>
      <w:pgMar w:top="567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EB"/>
    <w:rsid w:val="00016AA5"/>
    <w:rsid w:val="0002761C"/>
    <w:rsid w:val="0003270B"/>
    <w:rsid w:val="00034C9B"/>
    <w:rsid w:val="0003558E"/>
    <w:rsid w:val="00062419"/>
    <w:rsid w:val="000833E2"/>
    <w:rsid w:val="000A3406"/>
    <w:rsid w:val="000A430A"/>
    <w:rsid w:val="00116568"/>
    <w:rsid w:val="001A5E50"/>
    <w:rsid w:val="001C256F"/>
    <w:rsid w:val="00253CEA"/>
    <w:rsid w:val="00263F07"/>
    <w:rsid w:val="00293C9D"/>
    <w:rsid w:val="002B417F"/>
    <w:rsid w:val="002B5BA6"/>
    <w:rsid w:val="00304449"/>
    <w:rsid w:val="00354205"/>
    <w:rsid w:val="00370F45"/>
    <w:rsid w:val="00401DDF"/>
    <w:rsid w:val="00404DA4"/>
    <w:rsid w:val="00442B64"/>
    <w:rsid w:val="00450EA8"/>
    <w:rsid w:val="00475573"/>
    <w:rsid w:val="00486FEB"/>
    <w:rsid w:val="004C52A2"/>
    <w:rsid w:val="005000B2"/>
    <w:rsid w:val="005357AD"/>
    <w:rsid w:val="005570BB"/>
    <w:rsid w:val="00592F8C"/>
    <w:rsid w:val="005A6C93"/>
    <w:rsid w:val="006445BE"/>
    <w:rsid w:val="00651AB5"/>
    <w:rsid w:val="0068098E"/>
    <w:rsid w:val="006877C8"/>
    <w:rsid w:val="006E4FBB"/>
    <w:rsid w:val="00714EBC"/>
    <w:rsid w:val="00746CB8"/>
    <w:rsid w:val="007E7A6F"/>
    <w:rsid w:val="007F0028"/>
    <w:rsid w:val="007F3DCB"/>
    <w:rsid w:val="00816506"/>
    <w:rsid w:val="00843CE1"/>
    <w:rsid w:val="00847435"/>
    <w:rsid w:val="00862533"/>
    <w:rsid w:val="00876D54"/>
    <w:rsid w:val="00891B62"/>
    <w:rsid w:val="008A5B0A"/>
    <w:rsid w:val="008D0D76"/>
    <w:rsid w:val="008D560C"/>
    <w:rsid w:val="008F0A61"/>
    <w:rsid w:val="00913A0C"/>
    <w:rsid w:val="009A0E0D"/>
    <w:rsid w:val="009A4AD6"/>
    <w:rsid w:val="009F73D7"/>
    <w:rsid w:val="00A23DF2"/>
    <w:rsid w:val="00A64BF9"/>
    <w:rsid w:val="00A9689A"/>
    <w:rsid w:val="00B544B2"/>
    <w:rsid w:val="00B75824"/>
    <w:rsid w:val="00B87A89"/>
    <w:rsid w:val="00BA1D8C"/>
    <w:rsid w:val="00BB098B"/>
    <w:rsid w:val="00BC5DA2"/>
    <w:rsid w:val="00BD1209"/>
    <w:rsid w:val="00BE7FB2"/>
    <w:rsid w:val="00C00D97"/>
    <w:rsid w:val="00C151CE"/>
    <w:rsid w:val="00C61643"/>
    <w:rsid w:val="00C77F1F"/>
    <w:rsid w:val="00CC2925"/>
    <w:rsid w:val="00CE4E30"/>
    <w:rsid w:val="00D37F90"/>
    <w:rsid w:val="00D51740"/>
    <w:rsid w:val="00D856B1"/>
    <w:rsid w:val="00DA3482"/>
    <w:rsid w:val="00DB25E4"/>
    <w:rsid w:val="00DF0C38"/>
    <w:rsid w:val="00DF5566"/>
    <w:rsid w:val="00E265EC"/>
    <w:rsid w:val="00E46302"/>
    <w:rsid w:val="00E57802"/>
    <w:rsid w:val="00EA5D19"/>
    <w:rsid w:val="00EB15DE"/>
    <w:rsid w:val="00EB75EA"/>
    <w:rsid w:val="00EC117F"/>
    <w:rsid w:val="00EC657D"/>
    <w:rsid w:val="00EC6634"/>
    <w:rsid w:val="00F202C2"/>
    <w:rsid w:val="00F3249C"/>
    <w:rsid w:val="00F71E91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86491-7545-4964-8A16-D997C466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EB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20">
    <w:name w:val="Font Style20"/>
    <w:basedOn w:val="Fontdeparagrafimplicit"/>
    <w:uiPriority w:val="99"/>
    <w:rsid w:val="00486FEB"/>
    <w:rPr>
      <w:rFonts w:ascii="Times New Roman" w:hAnsi="Times New Roman" w:cs="Times New Roman"/>
      <w:b/>
      <w:bCs/>
      <w:sz w:val="20"/>
      <w:szCs w:val="20"/>
    </w:rPr>
  </w:style>
  <w:style w:type="paragraph" w:styleId="Frspaiere">
    <w:name w:val="No Spacing"/>
    <w:link w:val="FrspaiereCaracter"/>
    <w:uiPriority w:val="1"/>
    <w:qFormat/>
    <w:rsid w:val="00486FEB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59"/>
    <w:rsid w:val="00486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spaiereCaracter">
    <w:name w:val="Fără spațiere Caracter"/>
    <w:basedOn w:val="Fontdeparagrafimplicit"/>
    <w:link w:val="Frspaiere"/>
    <w:uiPriority w:val="1"/>
    <w:rsid w:val="00486FEB"/>
    <w:rPr>
      <w:lang w:val="ro-RO"/>
    </w:rPr>
  </w:style>
  <w:style w:type="character" w:customStyle="1" w:styleId="2">
    <w:name w:val="Основной текст (2)"/>
    <w:basedOn w:val="Fontdeparagrafimplicit"/>
    <w:rsid w:val="00486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docheader">
    <w:name w:val="doc_header"/>
    <w:basedOn w:val="Fontdeparagrafimplicit"/>
    <w:rsid w:val="002B417F"/>
  </w:style>
  <w:style w:type="character" w:customStyle="1" w:styleId="1">
    <w:name w:val="Заголовок №1"/>
    <w:basedOn w:val="Fontdeparagrafimplicit"/>
    <w:rsid w:val="007F0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o-RO" w:eastAsia="ro-RO" w:bidi="ro-RO"/>
    </w:rPr>
  </w:style>
  <w:style w:type="character" w:customStyle="1" w:styleId="20">
    <w:name w:val="Основной текст (2) + Курсив"/>
    <w:rsid w:val="005A6C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Hyperlink">
    <w:name w:val="Hyperlink"/>
    <w:basedOn w:val="Fontdeparagrafimplicit"/>
    <w:uiPriority w:val="99"/>
    <w:semiHidden/>
    <w:unhideWhenUsed/>
    <w:rsid w:val="00C151C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14EBC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EB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hyperlink" Target="http://www.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Sandu</dc:creator>
  <cp:lastModifiedBy>Maria Leahu</cp:lastModifiedBy>
  <cp:revision>3</cp:revision>
  <cp:lastPrinted>2021-06-09T07:00:00Z</cp:lastPrinted>
  <dcterms:created xsi:type="dcterms:W3CDTF">2021-06-08T12:07:00Z</dcterms:created>
  <dcterms:modified xsi:type="dcterms:W3CDTF">2021-06-09T07:01:00Z</dcterms:modified>
</cp:coreProperties>
</file>