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08" w:rsidRPr="00A35062" w:rsidRDefault="00764808" w:rsidP="00A35062">
      <w:pPr>
        <w:jc w:val="center"/>
        <w:rPr>
          <w:b/>
          <w:lang w:val="ro-RO"/>
        </w:rPr>
      </w:pPr>
      <w:r w:rsidRPr="00A35062">
        <w:rPr>
          <w:b/>
          <w:bCs/>
          <w:lang w:val="en-US"/>
        </w:rPr>
        <w:t>TABELUL DE CONCORDANŢĂ</w:t>
      </w:r>
      <w:r w:rsidRPr="00A35062">
        <w:rPr>
          <w:b/>
          <w:lang w:val="ro-RO"/>
        </w:rPr>
        <w:t xml:space="preserve"> </w:t>
      </w:r>
    </w:p>
    <w:p w:rsidR="00764808" w:rsidRPr="00A35062" w:rsidRDefault="00764808" w:rsidP="00A35062">
      <w:pPr>
        <w:jc w:val="center"/>
        <w:rPr>
          <w:b/>
          <w:bCs/>
          <w:shd w:val="clear" w:color="auto" w:fill="FFFFFF"/>
          <w:lang w:val="ro-RO"/>
        </w:rPr>
      </w:pPr>
      <w:r w:rsidRPr="00A35062">
        <w:rPr>
          <w:b/>
          <w:lang w:val="ro-RO"/>
        </w:rPr>
        <w:t xml:space="preserve">la proiectul Privind aprobarea Cerințelor minime </w:t>
      </w:r>
      <w:r w:rsidRPr="00A35062">
        <w:rPr>
          <w:b/>
          <w:bCs/>
          <w:shd w:val="clear" w:color="auto" w:fill="FFFFFF"/>
          <w:lang w:val="ro-RO"/>
        </w:rPr>
        <w:t>pentru îmbunătățirea protecției sănătății și securității lucrătorilor expuși unui potențial risc în medii explozive</w:t>
      </w:r>
    </w:p>
    <w:p w:rsidR="00CA641D" w:rsidRPr="00A35062" w:rsidRDefault="00CA641D" w:rsidP="00A35062">
      <w:pPr>
        <w:rPr>
          <w:lang w:val="ro-RO"/>
        </w:rPr>
      </w:pPr>
    </w:p>
    <w:tbl>
      <w:tblPr>
        <w:tblStyle w:val="TableGrid"/>
        <w:tblW w:w="15318" w:type="dxa"/>
        <w:tblLayout w:type="fixed"/>
        <w:tblLook w:val="04A0" w:firstRow="1" w:lastRow="0" w:firstColumn="1" w:lastColumn="0" w:noHBand="0" w:noVBand="1"/>
      </w:tblPr>
      <w:tblGrid>
        <w:gridCol w:w="378"/>
        <w:gridCol w:w="3510"/>
        <w:gridCol w:w="3780"/>
        <w:gridCol w:w="1890"/>
        <w:gridCol w:w="1620"/>
        <w:gridCol w:w="1980"/>
        <w:gridCol w:w="2160"/>
      </w:tblGrid>
      <w:tr w:rsidR="00A11CE9" w:rsidRPr="00ED456A" w:rsidTr="00A35062">
        <w:trPr>
          <w:trHeight w:val="1502"/>
        </w:trPr>
        <w:tc>
          <w:tcPr>
            <w:tcW w:w="378" w:type="dxa"/>
          </w:tcPr>
          <w:p w:rsidR="00A11CE9" w:rsidRPr="00A35062" w:rsidRDefault="00A11CE9" w:rsidP="00A35062">
            <w:pPr>
              <w:rPr>
                <w:b/>
                <w:lang w:val="ro-RO"/>
              </w:rPr>
            </w:pPr>
            <w:r w:rsidRPr="00A35062">
              <w:rPr>
                <w:b/>
                <w:lang w:val="ro-RO"/>
              </w:rPr>
              <w:t>1</w:t>
            </w:r>
          </w:p>
        </w:tc>
        <w:tc>
          <w:tcPr>
            <w:tcW w:w="14940" w:type="dxa"/>
            <w:gridSpan w:val="6"/>
          </w:tcPr>
          <w:p w:rsidR="00A11CE9" w:rsidRPr="00A35062" w:rsidRDefault="00A11CE9" w:rsidP="00A35062">
            <w:pPr>
              <w:ind w:firstLine="144"/>
              <w:rPr>
                <w:b/>
                <w:lang w:val="ro-RO"/>
              </w:rPr>
            </w:pPr>
            <w:r w:rsidRPr="00A35062">
              <w:rPr>
                <w:b/>
                <w:lang w:val="ro-RO"/>
              </w:rPr>
              <w:t>Titlul actului Uniunii Europene, inclusiv cele mai recente amendamente incluse</w:t>
            </w:r>
          </w:p>
          <w:p w:rsidR="00A11CE9" w:rsidRPr="00A35062" w:rsidRDefault="00A11CE9" w:rsidP="00A35062">
            <w:pPr>
              <w:spacing w:after="200"/>
              <w:rPr>
                <w:lang w:val="ro-RO"/>
              </w:rPr>
            </w:pPr>
            <w:r w:rsidRPr="00A35062">
              <w:rPr>
                <w:lang w:val="en-US"/>
              </w:rPr>
              <w:t xml:space="preserve">Directiva 1999/92/ce a Parlamentului European și a Consiliului din 16 decembrie 1999 privind cerințele minime pentru îmbunătățirea protecției sănătății și securității lucrătorilor expuși unui potențial risc în medii explozive [a cincisprezecea directivă specială în sensul articolului 16 alineatul (1) din Directiva 89/391/CEE], publicată în jurnalul oficial al Uniunii Europene seria L 023/57 din 28 ianuarie 2000, astfel cum a fost modificată ultima oară prin </w:t>
            </w:r>
            <w:hyperlink r:id="rId9" w:tooltip="32019L1832" w:history="1">
              <w:r w:rsidRPr="00A35062">
                <w:rPr>
                  <w:rStyle w:val="Hyperlink"/>
                  <w:color w:val="auto"/>
                  <w:u w:val="none"/>
                  <w:lang w:val="en-US"/>
                </w:rPr>
                <w:t>Directiva 2007/30 a Parlamentului European și a Consiliului din 20</w:t>
              </w:r>
            </w:hyperlink>
            <w:r w:rsidRPr="00A35062">
              <w:rPr>
                <w:rStyle w:val="Hyperlink"/>
                <w:color w:val="auto"/>
                <w:u w:val="none"/>
                <w:lang w:val="en-US"/>
              </w:rPr>
              <w:t xml:space="preserve"> iunie 2007</w:t>
            </w:r>
            <w:r w:rsidRPr="00A35062">
              <w:rPr>
                <w:lang w:val="en-US"/>
              </w:rPr>
              <w:t xml:space="preserve">, publicat la 27 iunie 2007. </w:t>
            </w:r>
          </w:p>
        </w:tc>
      </w:tr>
      <w:tr w:rsidR="00A11CE9" w:rsidRPr="00ED456A" w:rsidTr="00A35062">
        <w:trPr>
          <w:trHeight w:val="809"/>
        </w:trPr>
        <w:tc>
          <w:tcPr>
            <w:tcW w:w="378" w:type="dxa"/>
          </w:tcPr>
          <w:p w:rsidR="00A11CE9" w:rsidRPr="00A35062" w:rsidRDefault="00A11CE9" w:rsidP="00A35062">
            <w:pPr>
              <w:rPr>
                <w:b/>
                <w:lang w:val="ro-RO"/>
              </w:rPr>
            </w:pPr>
            <w:r w:rsidRPr="00A35062">
              <w:rPr>
                <w:b/>
                <w:lang w:val="ro-RO"/>
              </w:rPr>
              <w:t>2</w:t>
            </w:r>
          </w:p>
        </w:tc>
        <w:tc>
          <w:tcPr>
            <w:tcW w:w="14940" w:type="dxa"/>
            <w:gridSpan w:val="6"/>
          </w:tcPr>
          <w:p w:rsidR="00A11CE9" w:rsidRPr="00A35062" w:rsidRDefault="00A35062" w:rsidP="00A35062">
            <w:pPr>
              <w:rPr>
                <w:b/>
                <w:lang w:val="en-US"/>
              </w:rPr>
            </w:pPr>
            <w:r>
              <w:rPr>
                <w:b/>
                <w:lang w:val="ro-RO"/>
              </w:rPr>
              <w:t xml:space="preserve"> </w:t>
            </w:r>
            <w:r w:rsidR="00A11CE9" w:rsidRPr="00A35062">
              <w:rPr>
                <w:b/>
                <w:lang w:val="en-US"/>
              </w:rPr>
              <w:t>Titlul proiectului de act normativ național</w:t>
            </w:r>
          </w:p>
          <w:p w:rsidR="00A11CE9" w:rsidRPr="00A35062" w:rsidRDefault="00A11CE9" w:rsidP="00A35062">
            <w:pPr>
              <w:rPr>
                <w:lang w:val="ro-RO"/>
              </w:rPr>
            </w:pPr>
            <w:r w:rsidRPr="00E27A0F">
              <w:rPr>
                <w:lang w:val="en-US"/>
              </w:rPr>
              <w:t>Hotărâre cu privire la aprobarea Cerințelor minime pentru îmbunătățirea protecției sănătății și securității lucrătorilor expuși unui potențial risc în medii exploziv</w:t>
            </w:r>
          </w:p>
        </w:tc>
      </w:tr>
      <w:tr w:rsidR="00A11CE9" w:rsidRPr="00ED456A" w:rsidTr="00A35062">
        <w:trPr>
          <w:trHeight w:val="548"/>
        </w:trPr>
        <w:tc>
          <w:tcPr>
            <w:tcW w:w="378" w:type="dxa"/>
          </w:tcPr>
          <w:p w:rsidR="00A11CE9" w:rsidRPr="00A35062" w:rsidRDefault="00A11CE9" w:rsidP="00A35062">
            <w:pPr>
              <w:rPr>
                <w:b/>
                <w:lang w:val="ro-RO"/>
              </w:rPr>
            </w:pPr>
            <w:r w:rsidRPr="00A35062">
              <w:rPr>
                <w:b/>
                <w:lang w:val="ro-RO"/>
              </w:rPr>
              <w:t>3</w:t>
            </w:r>
          </w:p>
        </w:tc>
        <w:tc>
          <w:tcPr>
            <w:tcW w:w="14940" w:type="dxa"/>
            <w:gridSpan w:val="6"/>
          </w:tcPr>
          <w:p w:rsidR="00A11CE9" w:rsidRPr="00E27A0F" w:rsidRDefault="00A35062" w:rsidP="00A35062">
            <w:pPr>
              <w:rPr>
                <w:b/>
                <w:lang w:val="en-US"/>
              </w:rPr>
            </w:pPr>
            <w:r>
              <w:rPr>
                <w:b/>
                <w:lang w:val="ro-RO"/>
              </w:rPr>
              <w:t xml:space="preserve"> </w:t>
            </w:r>
            <w:r w:rsidR="00A11CE9" w:rsidRPr="00E27A0F">
              <w:rPr>
                <w:b/>
                <w:lang w:val="en-US"/>
              </w:rPr>
              <w:t>Gradul general de compatibilitate</w:t>
            </w:r>
          </w:p>
          <w:p w:rsidR="00A11CE9" w:rsidRPr="00A35062" w:rsidRDefault="00A11CE9" w:rsidP="00A35062">
            <w:pPr>
              <w:rPr>
                <w:lang w:val="ro-RO"/>
              </w:rPr>
            </w:pPr>
            <w:r w:rsidRPr="00E27A0F">
              <w:rPr>
                <w:lang w:val="en-US"/>
              </w:rPr>
              <w:t>Compatibil parțial</w:t>
            </w:r>
          </w:p>
        </w:tc>
      </w:tr>
      <w:tr w:rsidR="00A11CE9" w:rsidRPr="00A35062" w:rsidTr="00A35062">
        <w:trPr>
          <w:trHeight w:val="935"/>
        </w:trPr>
        <w:tc>
          <w:tcPr>
            <w:tcW w:w="3888" w:type="dxa"/>
            <w:gridSpan w:val="2"/>
            <w:vAlign w:val="center"/>
          </w:tcPr>
          <w:p w:rsidR="00A11CE9" w:rsidRPr="00A35062" w:rsidRDefault="00A11CE9" w:rsidP="00A35062">
            <w:pPr>
              <w:jc w:val="center"/>
              <w:rPr>
                <w:b/>
              </w:rPr>
            </w:pPr>
            <w:r w:rsidRPr="00A35062">
              <w:rPr>
                <w:b/>
              </w:rPr>
              <w:t>Actul Uniunii Europene</w:t>
            </w:r>
          </w:p>
        </w:tc>
        <w:tc>
          <w:tcPr>
            <w:tcW w:w="3780" w:type="dxa"/>
            <w:vAlign w:val="center"/>
          </w:tcPr>
          <w:p w:rsidR="00A11CE9" w:rsidRPr="00E27A0F" w:rsidRDefault="00A11CE9" w:rsidP="00A35062">
            <w:pPr>
              <w:jc w:val="center"/>
              <w:rPr>
                <w:b/>
                <w:lang w:val="en-US"/>
              </w:rPr>
            </w:pPr>
            <w:r w:rsidRPr="00E27A0F">
              <w:rPr>
                <w:b/>
                <w:lang w:val="en-US"/>
              </w:rPr>
              <w:t>Proiectul de act normativ național</w:t>
            </w:r>
          </w:p>
        </w:tc>
        <w:tc>
          <w:tcPr>
            <w:tcW w:w="1890" w:type="dxa"/>
            <w:vAlign w:val="center"/>
          </w:tcPr>
          <w:p w:rsidR="00A11CE9" w:rsidRPr="00A35062" w:rsidRDefault="00A11CE9" w:rsidP="00A35062">
            <w:pPr>
              <w:jc w:val="center"/>
              <w:rPr>
                <w:b/>
                <w:lang w:val="ro-RO"/>
              </w:rPr>
            </w:pPr>
            <w:r w:rsidRPr="00A35062">
              <w:rPr>
                <w:b/>
              </w:rPr>
              <w:t>Gradul de compatibilitate</w:t>
            </w:r>
          </w:p>
        </w:tc>
        <w:tc>
          <w:tcPr>
            <w:tcW w:w="1620" w:type="dxa"/>
            <w:vAlign w:val="center"/>
          </w:tcPr>
          <w:p w:rsidR="00A11CE9" w:rsidRPr="00A35062" w:rsidRDefault="00A11CE9" w:rsidP="00A35062">
            <w:pPr>
              <w:jc w:val="center"/>
              <w:rPr>
                <w:b/>
              </w:rPr>
            </w:pPr>
            <w:r w:rsidRPr="00A35062">
              <w:rPr>
                <w:b/>
              </w:rPr>
              <w:t>Diferențele</w:t>
            </w:r>
          </w:p>
        </w:tc>
        <w:tc>
          <w:tcPr>
            <w:tcW w:w="1980" w:type="dxa"/>
            <w:vAlign w:val="center"/>
          </w:tcPr>
          <w:p w:rsidR="00A11CE9" w:rsidRPr="00A35062" w:rsidRDefault="00A11CE9" w:rsidP="00A35062">
            <w:pPr>
              <w:jc w:val="center"/>
              <w:rPr>
                <w:b/>
              </w:rPr>
            </w:pPr>
            <w:r w:rsidRPr="00A35062">
              <w:rPr>
                <w:b/>
              </w:rPr>
              <w:t>Observațiile</w:t>
            </w:r>
          </w:p>
        </w:tc>
        <w:tc>
          <w:tcPr>
            <w:tcW w:w="2160" w:type="dxa"/>
            <w:tcBorders>
              <w:bottom w:val="single" w:sz="4" w:space="0" w:color="auto"/>
            </w:tcBorders>
            <w:shd w:val="clear" w:color="auto" w:fill="auto"/>
            <w:vAlign w:val="center"/>
          </w:tcPr>
          <w:p w:rsidR="00A11CE9" w:rsidRPr="00A35062" w:rsidRDefault="00A11CE9" w:rsidP="00A35062">
            <w:pPr>
              <w:jc w:val="center"/>
              <w:rPr>
                <w:b/>
              </w:rPr>
            </w:pPr>
            <w:r w:rsidRPr="00A35062">
              <w:rPr>
                <w:b/>
              </w:rPr>
              <w:t>Autoritatea/</w:t>
            </w:r>
          </w:p>
          <w:p w:rsidR="00A11CE9" w:rsidRPr="00A35062" w:rsidRDefault="00A11CE9" w:rsidP="00A35062">
            <w:pPr>
              <w:jc w:val="center"/>
              <w:rPr>
                <w:b/>
              </w:rPr>
            </w:pPr>
            <w:r w:rsidRPr="00A35062">
              <w:rPr>
                <w:b/>
              </w:rPr>
              <w:t>persoana responsabilă</w:t>
            </w:r>
          </w:p>
        </w:tc>
      </w:tr>
      <w:tr w:rsidR="00A11CE9" w:rsidRPr="00A35062" w:rsidTr="00A35062">
        <w:trPr>
          <w:trHeight w:val="359"/>
        </w:trPr>
        <w:tc>
          <w:tcPr>
            <w:tcW w:w="3888" w:type="dxa"/>
            <w:gridSpan w:val="2"/>
            <w:vAlign w:val="center"/>
          </w:tcPr>
          <w:p w:rsidR="00A11CE9" w:rsidRPr="00A35062" w:rsidRDefault="00A11CE9" w:rsidP="00A35062">
            <w:pPr>
              <w:jc w:val="center"/>
              <w:rPr>
                <w:b/>
              </w:rPr>
            </w:pPr>
            <w:r w:rsidRPr="00A35062">
              <w:rPr>
                <w:b/>
              </w:rPr>
              <w:t>4</w:t>
            </w:r>
          </w:p>
        </w:tc>
        <w:tc>
          <w:tcPr>
            <w:tcW w:w="3780" w:type="dxa"/>
            <w:vAlign w:val="center"/>
          </w:tcPr>
          <w:p w:rsidR="00A11CE9" w:rsidRPr="00A35062" w:rsidRDefault="00A11CE9" w:rsidP="00A35062">
            <w:pPr>
              <w:jc w:val="center"/>
              <w:rPr>
                <w:b/>
              </w:rPr>
            </w:pPr>
            <w:r w:rsidRPr="00A35062">
              <w:rPr>
                <w:b/>
              </w:rPr>
              <w:t>5</w:t>
            </w:r>
          </w:p>
        </w:tc>
        <w:tc>
          <w:tcPr>
            <w:tcW w:w="1890" w:type="dxa"/>
            <w:vAlign w:val="center"/>
          </w:tcPr>
          <w:p w:rsidR="00A11CE9" w:rsidRPr="00A35062" w:rsidRDefault="00A11CE9" w:rsidP="00A35062">
            <w:pPr>
              <w:jc w:val="center"/>
              <w:rPr>
                <w:b/>
              </w:rPr>
            </w:pPr>
            <w:r w:rsidRPr="00A35062">
              <w:rPr>
                <w:b/>
              </w:rPr>
              <w:t>6</w:t>
            </w:r>
          </w:p>
        </w:tc>
        <w:tc>
          <w:tcPr>
            <w:tcW w:w="1620" w:type="dxa"/>
            <w:vAlign w:val="center"/>
          </w:tcPr>
          <w:p w:rsidR="00A11CE9" w:rsidRPr="00A35062" w:rsidRDefault="00A11CE9" w:rsidP="00A35062">
            <w:pPr>
              <w:jc w:val="center"/>
              <w:rPr>
                <w:b/>
              </w:rPr>
            </w:pPr>
            <w:r w:rsidRPr="00A35062">
              <w:rPr>
                <w:b/>
              </w:rPr>
              <w:t>7</w:t>
            </w:r>
          </w:p>
        </w:tc>
        <w:tc>
          <w:tcPr>
            <w:tcW w:w="1980" w:type="dxa"/>
            <w:vAlign w:val="center"/>
          </w:tcPr>
          <w:p w:rsidR="00A11CE9" w:rsidRPr="00A35062" w:rsidRDefault="00A11CE9" w:rsidP="00A35062">
            <w:pPr>
              <w:jc w:val="center"/>
              <w:rPr>
                <w:b/>
              </w:rPr>
            </w:pPr>
            <w:r w:rsidRPr="00A35062">
              <w:rPr>
                <w:b/>
              </w:rPr>
              <w:t>8</w:t>
            </w:r>
          </w:p>
        </w:tc>
        <w:tc>
          <w:tcPr>
            <w:tcW w:w="2160" w:type="dxa"/>
            <w:tcBorders>
              <w:bottom w:val="single" w:sz="4" w:space="0" w:color="auto"/>
            </w:tcBorders>
            <w:shd w:val="clear" w:color="auto" w:fill="auto"/>
            <w:vAlign w:val="center"/>
          </w:tcPr>
          <w:p w:rsidR="00A11CE9" w:rsidRPr="00A35062" w:rsidRDefault="00A11CE9" w:rsidP="00A35062">
            <w:pPr>
              <w:jc w:val="center"/>
              <w:rPr>
                <w:b/>
              </w:rPr>
            </w:pPr>
            <w:r w:rsidRPr="00A35062">
              <w:rPr>
                <w:b/>
              </w:rPr>
              <w:t>9</w:t>
            </w:r>
          </w:p>
        </w:tc>
      </w:tr>
      <w:tr w:rsidR="005A0FE7" w:rsidRPr="00ED456A" w:rsidTr="00CA641D">
        <w:tc>
          <w:tcPr>
            <w:tcW w:w="3888" w:type="dxa"/>
            <w:gridSpan w:val="2"/>
          </w:tcPr>
          <w:p w:rsidR="005A0FE7" w:rsidRPr="00A35062" w:rsidRDefault="005A0FE7" w:rsidP="00A35062">
            <w:pPr>
              <w:pStyle w:val="1"/>
              <w:shd w:val="clear" w:color="auto" w:fill="auto"/>
              <w:spacing w:line="240" w:lineRule="auto"/>
              <w:ind w:left="142" w:firstLine="0"/>
              <w:rPr>
                <w:rFonts w:ascii="Times New Roman" w:hAnsi="Times New Roman" w:cs="Times New Roman"/>
                <w:sz w:val="24"/>
                <w:szCs w:val="24"/>
              </w:rPr>
            </w:pPr>
            <w:r w:rsidRPr="00A35062">
              <w:rPr>
                <w:rFonts w:ascii="Times New Roman" w:hAnsi="Times New Roman" w:cs="Times New Roman"/>
                <w:sz w:val="24"/>
                <w:szCs w:val="24"/>
              </w:rPr>
              <w:t>SECŢIUNEA I</w:t>
            </w:r>
          </w:p>
          <w:p w:rsidR="005A0FE7" w:rsidRPr="00A35062" w:rsidRDefault="005A0FE7" w:rsidP="00A35062">
            <w:pPr>
              <w:pStyle w:val="1"/>
              <w:shd w:val="clear" w:color="auto" w:fill="auto"/>
              <w:spacing w:line="240" w:lineRule="auto"/>
              <w:ind w:left="142" w:firstLine="0"/>
              <w:rPr>
                <w:rFonts w:ascii="Times New Roman" w:hAnsi="Times New Roman" w:cs="Times New Roman"/>
                <w:sz w:val="24"/>
                <w:szCs w:val="24"/>
              </w:rPr>
            </w:pPr>
            <w:r w:rsidRPr="00A35062">
              <w:rPr>
                <w:rFonts w:ascii="Times New Roman" w:hAnsi="Times New Roman" w:cs="Times New Roman"/>
                <w:sz w:val="24"/>
                <w:szCs w:val="24"/>
              </w:rPr>
              <w:t>DISPOZIŢII GENERALE</w:t>
            </w:r>
          </w:p>
          <w:p w:rsidR="005A0FE7" w:rsidRPr="00A35062" w:rsidRDefault="005A0FE7" w:rsidP="00A35062">
            <w:pPr>
              <w:pStyle w:val="40"/>
              <w:shd w:val="clear" w:color="auto" w:fill="auto"/>
              <w:spacing w:line="240" w:lineRule="auto"/>
              <w:ind w:left="142"/>
              <w:rPr>
                <w:rFonts w:ascii="Times New Roman" w:hAnsi="Times New Roman" w:cs="Times New Roman"/>
                <w:i w:val="0"/>
                <w:sz w:val="24"/>
                <w:szCs w:val="24"/>
              </w:rPr>
            </w:pPr>
            <w:r w:rsidRPr="00A35062">
              <w:rPr>
                <w:rFonts w:ascii="Times New Roman" w:hAnsi="Times New Roman" w:cs="Times New Roman"/>
                <w:i w:val="0"/>
                <w:sz w:val="24"/>
                <w:szCs w:val="24"/>
              </w:rPr>
              <w:t>Articolul 1</w:t>
            </w:r>
          </w:p>
          <w:p w:rsidR="005A0FE7" w:rsidRPr="00A35062" w:rsidRDefault="005A0FE7" w:rsidP="00A35062">
            <w:pPr>
              <w:pStyle w:val="40"/>
              <w:shd w:val="clear" w:color="auto" w:fill="auto"/>
              <w:spacing w:line="240" w:lineRule="auto"/>
              <w:ind w:left="142"/>
              <w:rPr>
                <w:rFonts w:ascii="Times New Roman" w:hAnsi="Times New Roman" w:cs="Times New Roman"/>
                <w:sz w:val="24"/>
                <w:szCs w:val="24"/>
              </w:rPr>
            </w:pPr>
            <w:r w:rsidRPr="00A35062">
              <w:rPr>
                <w:rStyle w:val="41"/>
                <w:rFonts w:ascii="Times New Roman" w:hAnsi="Times New Roman" w:cs="Times New Roman"/>
                <w:sz w:val="24"/>
                <w:szCs w:val="24"/>
              </w:rPr>
              <w:t>Obiectivul și domeniul de aplicare</w:t>
            </w:r>
          </w:p>
          <w:p w:rsidR="005A0FE7" w:rsidRPr="00A35062" w:rsidRDefault="005A0FE7" w:rsidP="00A35062">
            <w:pPr>
              <w:rPr>
                <w:lang w:val="en-US"/>
              </w:rPr>
            </w:pPr>
            <w:r w:rsidRPr="00A35062">
              <w:rPr>
                <w:lang w:val="en-US"/>
              </w:rPr>
              <w:t>(1)   Prezenta directivă, care este a cincisprezecea directivă specială în sensul articolului 16 alineatul (1) din Directiva 89/391/CEE, stabilește cerințele minime pentru protecția securității și sănătății lucrătorilor expuși unui potențial risc în medii explozive în conformitate cu articolul 2.</w:t>
            </w:r>
          </w:p>
          <w:p w:rsidR="005A0FE7" w:rsidRPr="00A35062" w:rsidRDefault="005A0FE7" w:rsidP="00A35062">
            <w:pPr>
              <w:rPr>
                <w:lang w:val="en-US"/>
              </w:rPr>
            </w:pPr>
            <w:r w:rsidRPr="00A35062">
              <w:rPr>
                <w:lang w:val="en-US"/>
              </w:rPr>
              <w:t>(2)   Prezenta directivă nu se aplică pentru:</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37"/>
              <w:gridCol w:w="3435"/>
            </w:tblGrid>
            <w:tr w:rsidR="005A0FE7" w:rsidRPr="00ED456A" w:rsidTr="00A35062">
              <w:tc>
                <w:tcPr>
                  <w:tcW w:w="267" w:type="dxa"/>
                  <w:shd w:val="clear" w:color="auto" w:fill="FFFFFF"/>
                  <w:hideMark/>
                </w:tcPr>
                <w:p w:rsidR="005A0FE7" w:rsidRPr="00A35062" w:rsidRDefault="005A0FE7" w:rsidP="00A35062">
                  <w:r w:rsidRPr="00A35062">
                    <w:t>(a)</w:t>
                  </w:r>
                </w:p>
              </w:tc>
              <w:tc>
                <w:tcPr>
                  <w:tcW w:w="3913" w:type="dxa"/>
                  <w:shd w:val="clear" w:color="auto" w:fill="FFFFFF"/>
                  <w:hideMark/>
                </w:tcPr>
                <w:p w:rsidR="005A0FE7" w:rsidRPr="00A35062" w:rsidRDefault="005A0FE7" w:rsidP="00A35062">
                  <w:pPr>
                    <w:rPr>
                      <w:lang w:val="en-US"/>
                    </w:rPr>
                  </w:pPr>
                  <w:r w:rsidRPr="00A35062">
                    <w:rPr>
                      <w:lang w:val="en-US"/>
                    </w:rPr>
                    <w:t>zonele utilizate direct</w:t>
                  </w:r>
                  <w:r w:rsidRPr="00A35062">
                    <w:rPr>
                      <w:lang w:val="ro-RO"/>
                    </w:rPr>
                    <w:t xml:space="preserve"> </w:t>
                  </w:r>
                  <w:r w:rsidRPr="00A35062">
                    <w:rPr>
                      <w:lang w:val="en-US"/>
                    </w:rPr>
                    <w:t>pentru și în timpul tratamentului medical al pacienților;</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48"/>
              <w:gridCol w:w="3424"/>
            </w:tblGrid>
            <w:tr w:rsidR="005A0FE7" w:rsidRPr="00ED456A" w:rsidTr="00A35062">
              <w:tc>
                <w:tcPr>
                  <w:tcW w:w="280" w:type="dxa"/>
                  <w:shd w:val="clear" w:color="auto" w:fill="FFFFFF"/>
                  <w:hideMark/>
                </w:tcPr>
                <w:p w:rsidR="005A0FE7" w:rsidRPr="00A35062" w:rsidRDefault="005A0FE7" w:rsidP="00A35062">
                  <w:r w:rsidRPr="00A35062">
                    <w:t>(b)</w:t>
                  </w:r>
                </w:p>
              </w:tc>
              <w:tc>
                <w:tcPr>
                  <w:tcW w:w="3900" w:type="dxa"/>
                  <w:shd w:val="clear" w:color="auto" w:fill="FFFFFF"/>
                  <w:hideMark/>
                </w:tcPr>
                <w:p w:rsidR="005A0FE7" w:rsidRPr="00A35062" w:rsidRDefault="005A0FE7" w:rsidP="00A35062">
                  <w:pPr>
                    <w:rPr>
                      <w:lang w:val="en-US"/>
                    </w:rPr>
                  </w:pPr>
                  <w:r w:rsidRPr="00A35062">
                    <w:rPr>
                      <w:lang w:val="en-US"/>
                    </w:rPr>
                    <w:t>utilizarea dispozitivelor de ardere a combustibililor gazoși în conformitate cu Directiva 90/396/CEE;</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37"/>
              <w:gridCol w:w="3435"/>
            </w:tblGrid>
            <w:tr w:rsidR="005A0FE7" w:rsidRPr="00ED456A" w:rsidTr="00A35062">
              <w:tc>
                <w:tcPr>
                  <w:tcW w:w="267" w:type="dxa"/>
                  <w:shd w:val="clear" w:color="auto" w:fill="FFFFFF"/>
                  <w:hideMark/>
                </w:tcPr>
                <w:p w:rsidR="005A0FE7" w:rsidRPr="00A35062" w:rsidRDefault="005A0FE7" w:rsidP="00A35062">
                  <w:r w:rsidRPr="00A35062">
                    <w:t>(c)</w:t>
                  </w:r>
                </w:p>
              </w:tc>
              <w:tc>
                <w:tcPr>
                  <w:tcW w:w="3913" w:type="dxa"/>
                  <w:shd w:val="clear" w:color="auto" w:fill="FFFFFF"/>
                  <w:hideMark/>
                </w:tcPr>
                <w:p w:rsidR="005A0FE7" w:rsidRPr="00A35062" w:rsidRDefault="005A0FE7" w:rsidP="00A35062">
                  <w:pPr>
                    <w:rPr>
                      <w:lang w:val="en-US"/>
                    </w:rPr>
                  </w:pPr>
                  <w:r w:rsidRPr="00A35062">
                    <w:rPr>
                      <w:lang w:val="en-US"/>
                    </w:rPr>
                    <w:t>producerea, manevrarea, utilizarea, depozitarea și transportul substanțelor explozive sau cu o structură chimică instabilă;</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48"/>
              <w:gridCol w:w="3424"/>
            </w:tblGrid>
            <w:tr w:rsidR="005A0FE7" w:rsidRPr="00ED456A" w:rsidTr="00A35062">
              <w:tc>
                <w:tcPr>
                  <w:tcW w:w="280" w:type="dxa"/>
                  <w:shd w:val="clear" w:color="auto" w:fill="FFFFFF"/>
                  <w:hideMark/>
                </w:tcPr>
                <w:p w:rsidR="005A0FE7" w:rsidRPr="00A35062" w:rsidRDefault="005A0FE7" w:rsidP="00A35062">
                  <w:r w:rsidRPr="00A35062">
                    <w:t>(d)</w:t>
                  </w:r>
                </w:p>
              </w:tc>
              <w:tc>
                <w:tcPr>
                  <w:tcW w:w="3900" w:type="dxa"/>
                  <w:shd w:val="clear" w:color="auto" w:fill="FFFFFF"/>
                  <w:hideMark/>
                </w:tcPr>
                <w:p w:rsidR="005A0FE7" w:rsidRPr="00A35062" w:rsidRDefault="005A0FE7" w:rsidP="00A35062">
                  <w:pPr>
                    <w:rPr>
                      <w:lang w:val="en-US"/>
                    </w:rPr>
                  </w:pPr>
                  <w:r w:rsidRPr="00A35062">
                    <w:rPr>
                      <w:lang w:val="en-US"/>
                    </w:rPr>
                    <w:t>industriile extractive care fac obiectul Directivei 92/91/CEE</w:t>
                  </w:r>
                  <w:hyperlink r:id="rId10" w:anchor="ntr8-L_2000023RO.01005701-E0008" w:history="1"/>
                  <w:r w:rsidRPr="00A35062">
                    <w:rPr>
                      <w:lang w:val="en-US"/>
                    </w:rPr>
                    <w:t> sau al Directivei 92/104/CEE;</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37"/>
              <w:gridCol w:w="3435"/>
            </w:tblGrid>
            <w:tr w:rsidR="005A0FE7" w:rsidRPr="00ED456A" w:rsidTr="00A35062">
              <w:tc>
                <w:tcPr>
                  <w:tcW w:w="267" w:type="dxa"/>
                  <w:shd w:val="clear" w:color="auto" w:fill="FFFFFF"/>
                  <w:hideMark/>
                </w:tcPr>
                <w:p w:rsidR="005A0FE7" w:rsidRPr="00A35062" w:rsidRDefault="005A0FE7" w:rsidP="00A35062">
                  <w:r w:rsidRPr="00A35062">
                    <w:t>(e)</w:t>
                  </w:r>
                </w:p>
              </w:tc>
              <w:tc>
                <w:tcPr>
                  <w:tcW w:w="3913" w:type="dxa"/>
                  <w:shd w:val="clear" w:color="auto" w:fill="FFFFFF"/>
                  <w:hideMark/>
                </w:tcPr>
                <w:p w:rsidR="005A0FE7" w:rsidRPr="00A35062" w:rsidRDefault="005A0FE7" w:rsidP="00A35062">
                  <w:pPr>
                    <w:rPr>
                      <w:lang w:val="en-US"/>
                    </w:rPr>
                  </w:pPr>
                  <w:proofErr w:type="gramStart"/>
                  <w:r w:rsidRPr="00A35062">
                    <w:rPr>
                      <w:lang w:val="en-US"/>
                    </w:rPr>
                    <w:t>utilizarea</w:t>
                  </w:r>
                  <w:proofErr w:type="gramEnd"/>
                  <w:r w:rsidRPr="00A35062">
                    <w:rPr>
                      <w:lang w:val="en-US"/>
                    </w:rPr>
                    <w:t xml:space="preserve"> mijloacelor de transport terestre, navale și aeriene cărora li se aplică dispozițiile relevante ale acordurilor internaționale (de ex. ADNR, ADR, OACI, OMI, RID) și ale directivelor Comunității care pun în practică aceste acorduri. Mijloacele de transport destinate utilizării în medii potențial explozive nu sunt excluse.</w:t>
                  </w:r>
                </w:p>
              </w:tc>
            </w:tr>
          </w:tbl>
          <w:p w:rsidR="005A0FE7" w:rsidRPr="00A35062" w:rsidRDefault="005A0FE7" w:rsidP="00A35062">
            <w:pPr>
              <w:rPr>
                <w:lang w:val="en-US"/>
              </w:rPr>
            </w:pPr>
            <w:r w:rsidRPr="00A35062">
              <w:rPr>
                <w:lang w:val="en-US"/>
              </w:rPr>
              <w:t xml:space="preserve">(3)   Dispozițiile Directivei 89/391/CEE și directivele speciale relevante se aplică în totalitate domeniului prevăzut la alineatul (1), fără </w:t>
            </w:r>
            <w:proofErr w:type="gramStart"/>
            <w:r w:rsidRPr="00A35062">
              <w:rPr>
                <w:lang w:val="en-US"/>
              </w:rPr>
              <w:t>a</w:t>
            </w:r>
            <w:proofErr w:type="gramEnd"/>
            <w:r w:rsidRPr="00A35062">
              <w:rPr>
                <w:lang w:val="en-US"/>
              </w:rPr>
              <w:t xml:space="preserve"> aduce atingere dispozițiilor mai restrictive și speciale cuprinse în prezenta directivă.</w:t>
            </w:r>
          </w:p>
        </w:tc>
        <w:tc>
          <w:tcPr>
            <w:tcW w:w="3780" w:type="dxa"/>
          </w:tcPr>
          <w:p w:rsidR="005A0FE7" w:rsidRPr="00A35062" w:rsidRDefault="005A0FE7" w:rsidP="00A35062">
            <w:pPr>
              <w:jc w:val="center"/>
              <w:rPr>
                <w:b/>
                <w:lang w:val="ro-RO"/>
              </w:rPr>
            </w:pPr>
            <w:r w:rsidRPr="00A35062">
              <w:rPr>
                <w:b/>
                <w:lang w:val="ro-RO"/>
              </w:rPr>
              <w:lastRenderedPageBreak/>
              <w:t>Capitolul I</w:t>
            </w:r>
          </w:p>
          <w:p w:rsidR="005A0FE7" w:rsidRPr="00A35062" w:rsidRDefault="005A0FE7" w:rsidP="00A35062">
            <w:pPr>
              <w:jc w:val="center"/>
              <w:rPr>
                <w:b/>
                <w:lang w:val="ro-RO"/>
              </w:rPr>
            </w:pPr>
            <w:r w:rsidRPr="00A35062">
              <w:rPr>
                <w:b/>
                <w:lang w:val="ro-RO"/>
              </w:rPr>
              <w:t>DISPOZIȚII GENERALE</w:t>
            </w:r>
          </w:p>
          <w:p w:rsidR="005A0FE7" w:rsidRPr="00A35062" w:rsidRDefault="005A0FE7" w:rsidP="00A35062">
            <w:pPr>
              <w:jc w:val="center"/>
              <w:rPr>
                <w:lang w:val="ro-RO"/>
              </w:rPr>
            </w:pPr>
          </w:p>
          <w:p w:rsidR="005A0FE7" w:rsidRPr="00A35062" w:rsidRDefault="005A0FE7" w:rsidP="00A35062">
            <w:pPr>
              <w:rPr>
                <w:lang w:val="ro-RO"/>
              </w:rPr>
            </w:pPr>
            <w:r w:rsidRPr="00A35062">
              <w:rPr>
                <w:b/>
                <w:lang w:val="ro-RO"/>
              </w:rPr>
              <w:t>1.</w:t>
            </w:r>
            <w:r w:rsidRPr="00A35062">
              <w:rPr>
                <w:lang w:val="ro-RO"/>
              </w:rPr>
              <w:t xml:space="preserve"> Prezentele Cerințe minime stabilesc condiții pentru protecția securității și sănătății lucrătorilor expuși unui potențial risc în medii explozive în conformitate cu pct. 3.</w:t>
            </w:r>
          </w:p>
          <w:p w:rsidR="005A0FE7" w:rsidRPr="00A35062" w:rsidRDefault="005A0FE7" w:rsidP="00A35062">
            <w:pPr>
              <w:rPr>
                <w:lang w:val="en-US"/>
              </w:rPr>
            </w:pPr>
            <w:r w:rsidRPr="00A35062">
              <w:rPr>
                <w:b/>
                <w:lang w:val="ro-RO"/>
              </w:rPr>
              <w:t>2.</w:t>
            </w:r>
            <w:r w:rsidRPr="00A35062">
              <w:rPr>
                <w:lang w:val="ro-RO"/>
              </w:rPr>
              <w:t xml:space="preserve"> </w:t>
            </w:r>
            <w:r w:rsidRPr="00A35062">
              <w:rPr>
                <w:lang w:val="en-US"/>
              </w:rPr>
              <w:t>Prezentele Cerințe nu se aplică pentru:</w:t>
            </w:r>
          </w:p>
          <w:p w:rsidR="005A0FE7" w:rsidRPr="00A35062" w:rsidRDefault="005A0FE7" w:rsidP="00A35062">
            <w:pPr>
              <w:pStyle w:val="ListParagraph"/>
              <w:numPr>
                <w:ilvl w:val="1"/>
                <w:numId w:val="1"/>
              </w:numPr>
              <w:rPr>
                <w:lang w:val="en-US"/>
              </w:rPr>
            </w:pPr>
            <w:r w:rsidRPr="00A35062">
              <w:rPr>
                <w:lang w:val="en-US"/>
              </w:rPr>
              <w:t>zonele utilizate direct pentru și în timpul tratamentului medical al pacienților;</w:t>
            </w:r>
          </w:p>
          <w:p w:rsidR="005A0FE7" w:rsidRPr="00A35062" w:rsidRDefault="005A0FE7" w:rsidP="00A35062">
            <w:pPr>
              <w:pStyle w:val="ListParagraph"/>
              <w:numPr>
                <w:ilvl w:val="1"/>
                <w:numId w:val="1"/>
              </w:numPr>
              <w:rPr>
                <w:lang w:val="en-US"/>
              </w:rPr>
            </w:pPr>
            <w:r w:rsidRPr="00A35062">
              <w:rPr>
                <w:lang w:val="en-US"/>
              </w:rPr>
              <w:t>utilizarea dispozitivelor de ardere a combustibililor gazoși;</w:t>
            </w:r>
          </w:p>
          <w:p w:rsidR="005A0FE7" w:rsidRPr="00A35062" w:rsidRDefault="005A0FE7" w:rsidP="00A35062">
            <w:pPr>
              <w:pStyle w:val="ListParagraph"/>
              <w:numPr>
                <w:ilvl w:val="1"/>
                <w:numId w:val="1"/>
              </w:numPr>
              <w:rPr>
                <w:lang w:val="en-US"/>
              </w:rPr>
            </w:pPr>
            <w:r w:rsidRPr="00A35062">
              <w:rPr>
                <w:lang w:val="en-US"/>
              </w:rPr>
              <w:t xml:space="preserve">producerea, manevrarea, utilizarea, depozitarea și transportul substanțelor </w:t>
            </w:r>
            <w:r w:rsidRPr="00A35062">
              <w:rPr>
                <w:lang w:val="en-US"/>
              </w:rPr>
              <w:lastRenderedPageBreak/>
              <w:t>explozive sau cu o structură chimică instabilă;</w:t>
            </w:r>
          </w:p>
          <w:p w:rsidR="005A0FE7" w:rsidRPr="00A35062" w:rsidRDefault="005A0FE7" w:rsidP="00A35062">
            <w:pPr>
              <w:pStyle w:val="ListParagraph"/>
              <w:numPr>
                <w:ilvl w:val="1"/>
                <w:numId w:val="1"/>
              </w:numPr>
              <w:rPr>
                <w:lang w:val="en-US"/>
              </w:rPr>
            </w:pPr>
            <w:r w:rsidRPr="00A35062">
              <w:rPr>
                <w:lang w:val="en-US"/>
              </w:rPr>
              <w:t>industriile extractive care fac obiectul Hotărârii de Guvern nr.151/2019;</w:t>
            </w:r>
          </w:p>
          <w:p w:rsidR="005A0FE7" w:rsidRPr="00A35062" w:rsidRDefault="005A0FE7" w:rsidP="00A35062">
            <w:pPr>
              <w:pStyle w:val="ListParagraph"/>
              <w:numPr>
                <w:ilvl w:val="1"/>
                <w:numId w:val="1"/>
              </w:numPr>
              <w:rPr>
                <w:lang w:val="en-US"/>
              </w:rPr>
            </w:pPr>
            <w:proofErr w:type="gramStart"/>
            <w:r w:rsidRPr="00A35062">
              <w:rPr>
                <w:lang w:val="en-US"/>
              </w:rPr>
              <w:t>utilizarea</w:t>
            </w:r>
            <w:proofErr w:type="gramEnd"/>
            <w:r w:rsidRPr="00A35062">
              <w:rPr>
                <w:lang w:val="en-US"/>
              </w:rPr>
              <w:t xml:space="preserve"> mijloacelor de transport terestre, navale și aeriene. Mijloace de transport utilizate în medii potențial explozive nu sunt excluse.</w:t>
            </w:r>
          </w:p>
          <w:p w:rsidR="005A0FE7" w:rsidRPr="00A35062" w:rsidRDefault="005A0FE7" w:rsidP="00A35062">
            <w:pPr>
              <w:rPr>
                <w:lang w:val="en-US"/>
              </w:rPr>
            </w:pPr>
            <w:r w:rsidRPr="00A35062">
              <w:rPr>
                <w:b/>
                <w:lang w:val="ro-RO"/>
              </w:rPr>
              <w:t xml:space="preserve">3. </w:t>
            </w:r>
            <w:r w:rsidRPr="00A35062">
              <w:rPr>
                <w:lang w:val="en-US"/>
              </w:rPr>
              <w:t>Mediu exploziv reprezintă un amestec de aer, în condiții atmosferice, și substanțe inflamabile sub formă de gaze, vapori, ceață sau pulbere în care, după aprindere, focul se extinde la întregul amestec.</w:t>
            </w:r>
          </w:p>
          <w:p w:rsidR="005A0FE7" w:rsidRPr="00A35062" w:rsidRDefault="005A0FE7" w:rsidP="00A35062">
            <w:pPr>
              <w:rPr>
                <w:lang w:val="en-US"/>
              </w:rPr>
            </w:pPr>
            <w:r w:rsidRPr="00A35062">
              <w:rPr>
                <w:lang w:val="en-US"/>
              </w:rPr>
              <w:t xml:space="preserve"> </w:t>
            </w:r>
          </w:p>
        </w:tc>
        <w:tc>
          <w:tcPr>
            <w:tcW w:w="1890" w:type="dxa"/>
          </w:tcPr>
          <w:p w:rsidR="005A0FE7" w:rsidRDefault="005A0FE7">
            <w:pPr>
              <w:rPr>
                <w:lang w:val="ro-RO"/>
              </w:rPr>
            </w:pPr>
            <w:r>
              <w:rPr>
                <w:lang w:val="ro-RO"/>
              </w:rPr>
              <w:lastRenderedPageBreak/>
              <w:t xml:space="preserve">Compatibil </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val="restart"/>
            <w:shd w:val="clear" w:color="auto" w:fill="auto"/>
          </w:tcPr>
          <w:p w:rsidR="005A0FE7" w:rsidRDefault="005A0FE7" w:rsidP="00A11CE9">
            <w:pPr>
              <w:ind w:firstLine="144"/>
              <w:rPr>
                <w:lang w:val="ro-RO"/>
              </w:rPr>
            </w:pPr>
            <w:r>
              <w:rPr>
                <w:lang w:val="ro-RO"/>
              </w:rPr>
              <w:t>Ministerul Sănătății, Muncii și Protecției Sociale</w:t>
            </w:r>
          </w:p>
          <w:p w:rsidR="005A0FE7" w:rsidRDefault="005A0FE7" w:rsidP="00A11CE9">
            <w:pPr>
              <w:ind w:firstLine="144"/>
              <w:rPr>
                <w:lang w:val="ro-RO"/>
              </w:rPr>
            </w:pPr>
          </w:p>
          <w:p w:rsidR="005A0FE7" w:rsidRDefault="005A0FE7" w:rsidP="00A11CE9">
            <w:pPr>
              <w:ind w:firstLine="144"/>
              <w:rPr>
                <w:lang w:val="ro-RO"/>
              </w:rPr>
            </w:pPr>
            <w:r>
              <w:rPr>
                <w:lang w:val="ro-RO"/>
              </w:rPr>
              <w:t>Direcția politici în domeniul raporturilor de muncă și parteneriatului social</w:t>
            </w:r>
          </w:p>
          <w:p w:rsidR="005A0FE7" w:rsidRDefault="005A0FE7" w:rsidP="00A11CE9">
            <w:pPr>
              <w:ind w:firstLine="144"/>
              <w:rPr>
                <w:lang w:val="ro-RO"/>
              </w:rPr>
            </w:pPr>
            <w:r>
              <w:rPr>
                <w:lang w:val="ro-RO"/>
              </w:rPr>
              <w:t xml:space="preserve">Consultant principal </w:t>
            </w:r>
          </w:p>
          <w:p w:rsidR="005A0FE7" w:rsidRDefault="005A0FE7" w:rsidP="00A11CE9">
            <w:pPr>
              <w:ind w:firstLine="144"/>
              <w:rPr>
                <w:lang w:val="ro-RO"/>
              </w:rPr>
            </w:pPr>
            <w:r>
              <w:rPr>
                <w:lang w:val="ro-RO"/>
              </w:rPr>
              <w:t xml:space="preserve">Luminița Onofrei </w:t>
            </w:r>
          </w:p>
          <w:p w:rsidR="005A0FE7" w:rsidRDefault="005A0FE7" w:rsidP="00A11CE9">
            <w:pPr>
              <w:spacing w:after="200" w:line="276" w:lineRule="auto"/>
              <w:rPr>
                <w:lang w:val="ro-RO"/>
              </w:rPr>
            </w:pPr>
            <w:r>
              <w:rPr>
                <w:lang w:val="ro-RO"/>
              </w:rPr>
              <w:t>Tel: (022) 262 130</w:t>
            </w:r>
          </w:p>
        </w:tc>
      </w:tr>
      <w:tr w:rsidR="005A0FE7" w:rsidRPr="00ED456A" w:rsidTr="00CA641D">
        <w:tc>
          <w:tcPr>
            <w:tcW w:w="3888" w:type="dxa"/>
            <w:gridSpan w:val="2"/>
          </w:tcPr>
          <w:p w:rsidR="005A0FE7" w:rsidRPr="00A35062" w:rsidRDefault="005A0FE7" w:rsidP="00A35062">
            <w:pPr>
              <w:autoSpaceDE w:val="0"/>
              <w:autoSpaceDN w:val="0"/>
              <w:adjustRightInd w:val="0"/>
              <w:jc w:val="center"/>
              <w:rPr>
                <w:lang w:val="ro-RO" w:eastAsia="ro-RO"/>
              </w:rPr>
            </w:pPr>
            <w:r w:rsidRPr="00A35062">
              <w:rPr>
                <w:lang w:val="ro-RO" w:eastAsia="ro-RO"/>
              </w:rPr>
              <w:lastRenderedPageBreak/>
              <w:t>Articolul 2</w:t>
            </w:r>
          </w:p>
          <w:p w:rsidR="005A0FE7" w:rsidRPr="00A35062" w:rsidRDefault="005A0FE7" w:rsidP="00A35062">
            <w:pPr>
              <w:autoSpaceDE w:val="0"/>
              <w:autoSpaceDN w:val="0"/>
              <w:adjustRightInd w:val="0"/>
              <w:jc w:val="center"/>
              <w:rPr>
                <w:b/>
                <w:lang w:val="ro-RO" w:eastAsia="ro-RO"/>
              </w:rPr>
            </w:pPr>
            <w:r w:rsidRPr="00A35062">
              <w:rPr>
                <w:b/>
                <w:lang w:val="ro-RO" w:eastAsia="ro-RO"/>
              </w:rPr>
              <w:t>Definiţie</w:t>
            </w:r>
          </w:p>
          <w:p w:rsidR="005A0FE7" w:rsidRPr="00A35062" w:rsidRDefault="005A0FE7" w:rsidP="00A35062">
            <w:pPr>
              <w:rPr>
                <w:lang w:val="ro-RO"/>
              </w:rPr>
            </w:pPr>
            <w:r w:rsidRPr="00A35062">
              <w:rPr>
                <w:lang w:val="en-US"/>
              </w:rPr>
              <w:t xml:space="preserve">În sensul prezentei directive, „mediu exploziv” reprezintă un amestec de aer, în condiții atmosferice, și </w:t>
            </w:r>
            <w:r w:rsidRPr="00A35062">
              <w:rPr>
                <w:lang w:val="en-US"/>
              </w:rPr>
              <w:lastRenderedPageBreak/>
              <w:t xml:space="preserve">substanțe inflamabile sub formă de gaze, vapori, ceață sau pulbere în care, după aprindere, focul se extinde la întregul amestec. </w:t>
            </w:r>
          </w:p>
        </w:tc>
        <w:tc>
          <w:tcPr>
            <w:tcW w:w="3780" w:type="dxa"/>
          </w:tcPr>
          <w:p w:rsidR="005A0FE7" w:rsidRPr="00A35062" w:rsidRDefault="005A0FE7" w:rsidP="00A35062">
            <w:pPr>
              <w:rPr>
                <w:lang w:val="ro-RO"/>
              </w:rPr>
            </w:pPr>
          </w:p>
        </w:tc>
        <w:tc>
          <w:tcPr>
            <w:tcW w:w="1890" w:type="dxa"/>
          </w:tcPr>
          <w:p w:rsidR="005A0FE7" w:rsidRDefault="005A0FE7">
            <w:pPr>
              <w:rPr>
                <w:lang w:val="ro-RO"/>
              </w:rPr>
            </w:pPr>
            <w:r>
              <w:rPr>
                <w:lang w:val="ro-RO"/>
              </w:rPr>
              <w:t>Compatibil</w:t>
            </w:r>
          </w:p>
          <w:p w:rsidR="005A0FE7" w:rsidRDefault="005A0FE7" w:rsidP="005A0FE7">
            <w:pPr>
              <w:rPr>
                <w:lang w:val="ro-RO"/>
              </w:rPr>
            </w:pPr>
            <w:r>
              <w:rPr>
                <w:lang w:val="ro-RO"/>
              </w:rPr>
              <w:t xml:space="preserve">Definiția de la art.2 din Derectivă este prevăzută la </w:t>
            </w:r>
            <w:r>
              <w:rPr>
                <w:lang w:val="ro-RO"/>
              </w:rPr>
              <w:lastRenderedPageBreak/>
              <w:t>pct.3 Capitolul I din proiect</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A35062">
        <w:tc>
          <w:tcPr>
            <w:tcW w:w="3888" w:type="dxa"/>
            <w:gridSpan w:val="2"/>
          </w:tcPr>
          <w:p w:rsidR="005A0FE7" w:rsidRPr="00A35062" w:rsidRDefault="005A0FE7" w:rsidP="00A35062">
            <w:pPr>
              <w:jc w:val="center"/>
              <w:rPr>
                <w:lang w:val="en-US"/>
              </w:rPr>
            </w:pPr>
            <w:r w:rsidRPr="00A35062">
              <w:rPr>
                <w:lang w:val="en-US"/>
              </w:rPr>
              <w:lastRenderedPageBreak/>
              <w:t>SECȚIUNEA II</w:t>
            </w:r>
          </w:p>
          <w:p w:rsidR="005A0FE7" w:rsidRPr="00A35062" w:rsidRDefault="005A0FE7" w:rsidP="00A35062">
            <w:pPr>
              <w:jc w:val="center"/>
              <w:rPr>
                <w:lang w:val="en-US"/>
              </w:rPr>
            </w:pPr>
            <w:r w:rsidRPr="00A35062">
              <w:rPr>
                <w:lang w:val="en-US"/>
              </w:rPr>
              <w:t>OBLIGAȚIILE ANGAJATORULUI</w:t>
            </w:r>
          </w:p>
          <w:p w:rsidR="005A0FE7" w:rsidRPr="00A35062" w:rsidRDefault="005A0FE7" w:rsidP="00A35062">
            <w:pPr>
              <w:jc w:val="center"/>
              <w:rPr>
                <w:lang w:val="en-US"/>
              </w:rPr>
            </w:pPr>
            <w:r w:rsidRPr="00A35062">
              <w:rPr>
                <w:lang w:val="en-US"/>
              </w:rPr>
              <w:t>Articolul 3</w:t>
            </w:r>
          </w:p>
          <w:p w:rsidR="005A0FE7" w:rsidRPr="00A35062" w:rsidRDefault="005A0FE7" w:rsidP="00A35062">
            <w:pPr>
              <w:jc w:val="center"/>
              <w:rPr>
                <w:b/>
                <w:lang w:val="en-US"/>
              </w:rPr>
            </w:pPr>
            <w:r w:rsidRPr="00A35062">
              <w:rPr>
                <w:b/>
                <w:lang w:val="en-US"/>
              </w:rPr>
              <w:t>Prevenire și protecție împotriva exploziilor</w:t>
            </w:r>
          </w:p>
          <w:p w:rsidR="005A0FE7" w:rsidRPr="00A35062" w:rsidRDefault="005A0FE7" w:rsidP="00A35062">
            <w:pPr>
              <w:ind w:firstLine="144"/>
              <w:rPr>
                <w:lang w:val="en-US"/>
              </w:rPr>
            </w:pPr>
            <w:r w:rsidRPr="00A35062">
              <w:rPr>
                <w:lang w:val="en-US"/>
              </w:rPr>
              <w:t>În vederea prevenirii, în sensul articolului 6 alineatul (2) din Directiva 89/391/CEE, și a asigurării protecției împotriva exploziilor, angajatorul ia măsuri tehnice și organizatorice corespunzătoare naturii operației, în ordinea priorităților și respectând următoarele principii de bază: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r w:rsidRPr="00A35062">
                    <w:rPr>
                      <w:lang w:val="en-US"/>
                    </w:rPr>
                    <w:t>prevenirea formării mediilor explozive sau, acolo unde natura activității nu o permite,</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31"/>
              <w:gridCol w:w="3441"/>
            </w:tblGrid>
            <w:tr w:rsidR="005A0FE7" w:rsidRPr="00ED456A" w:rsidTr="00A35062">
              <w:tc>
                <w:tcPr>
                  <w:tcW w:w="260" w:type="dxa"/>
                  <w:shd w:val="clear" w:color="auto" w:fill="FFFFFF"/>
                  <w:hideMark/>
                </w:tcPr>
                <w:p w:rsidR="005A0FE7" w:rsidRPr="00A35062" w:rsidRDefault="005A0FE7" w:rsidP="00A35062">
                  <w:r w:rsidRPr="00A35062">
                    <w:t>—</w:t>
                  </w:r>
                </w:p>
              </w:tc>
              <w:tc>
                <w:tcPr>
                  <w:tcW w:w="3920" w:type="dxa"/>
                  <w:shd w:val="clear" w:color="auto" w:fill="FFFFFF"/>
                  <w:hideMark/>
                </w:tcPr>
                <w:p w:rsidR="005A0FE7" w:rsidRPr="00A35062" w:rsidRDefault="005A0FE7" w:rsidP="00A35062">
                  <w:pPr>
                    <w:rPr>
                      <w:lang w:val="en-US"/>
                    </w:rPr>
                  </w:pPr>
                  <w:r w:rsidRPr="00A35062">
                    <w:rPr>
                      <w:lang w:val="en-US"/>
                    </w:rPr>
                    <w:t>evitarea aprinderii mediilor explozive și</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A35062"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r w:rsidRPr="00A35062">
                    <w:t>limitarea efectelor dăunătoare ale unei explozii în vederea asigurării sănătății și securității lucrătorilor.</w:t>
                  </w:r>
                </w:p>
              </w:tc>
            </w:tr>
          </w:tbl>
          <w:p w:rsidR="005A0FE7" w:rsidRPr="00A35062" w:rsidRDefault="005A0FE7" w:rsidP="00A35062">
            <w:pPr>
              <w:ind w:firstLine="144"/>
              <w:rPr>
                <w:lang w:val="ro-RO" w:eastAsia="en-US"/>
              </w:rPr>
            </w:pPr>
            <w:r w:rsidRPr="00A35062">
              <w:t>Acolo unde este cazul, aceste măsuri trebuie să fie combinate și suplimentate cu măsuri împotriva propagării exploziilor și actualizate frecvent și, în orice caz, ori de câte ori au loc schimbări semnificative.</w:t>
            </w:r>
          </w:p>
        </w:tc>
        <w:tc>
          <w:tcPr>
            <w:tcW w:w="3780" w:type="dxa"/>
          </w:tcPr>
          <w:p w:rsidR="005A0FE7" w:rsidRPr="00A35062" w:rsidRDefault="005A0FE7" w:rsidP="00A35062">
            <w:pPr>
              <w:jc w:val="center"/>
              <w:rPr>
                <w:b/>
                <w:lang w:val="en-US"/>
              </w:rPr>
            </w:pPr>
            <w:r w:rsidRPr="00A35062">
              <w:rPr>
                <w:b/>
                <w:lang w:val="en-US"/>
              </w:rPr>
              <w:t>Capitolul II</w:t>
            </w:r>
          </w:p>
          <w:p w:rsidR="005A0FE7" w:rsidRPr="00A35062" w:rsidRDefault="005A0FE7" w:rsidP="00A35062">
            <w:pPr>
              <w:jc w:val="center"/>
              <w:rPr>
                <w:b/>
                <w:lang w:val="en-US"/>
              </w:rPr>
            </w:pPr>
            <w:r w:rsidRPr="00A35062">
              <w:rPr>
                <w:b/>
                <w:lang w:val="en-US"/>
              </w:rPr>
              <w:t>OBLIGAȚIILE ANGAJATORULUI</w:t>
            </w:r>
          </w:p>
          <w:p w:rsidR="005A0FE7" w:rsidRPr="00A35062" w:rsidRDefault="005A0FE7" w:rsidP="00A35062">
            <w:pPr>
              <w:jc w:val="center"/>
              <w:rPr>
                <w:b/>
                <w:lang w:val="en-US"/>
              </w:rPr>
            </w:pPr>
          </w:p>
          <w:p w:rsidR="005A0FE7" w:rsidRPr="00A35062" w:rsidRDefault="005A0FE7" w:rsidP="00A35062">
            <w:pPr>
              <w:jc w:val="center"/>
              <w:rPr>
                <w:b/>
                <w:lang w:val="en-US"/>
              </w:rPr>
            </w:pPr>
            <w:r w:rsidRPr="00A35062">
              <w:rPr>
                <w:b/>
                <w:lang w:val="en-US"/>
              </w:rPr>
              <w:t>Secțiunea 1</w:t>
            </w:r>
          </w:p>
          <w:p w:rsidR="005A0FE7" w:rsidRPr="00A35062" w:rsidRDefault="005A0FE7" w:rsidP="00A35062">
            <w:pPr>
              <w:jc w:val="center"/>
              <w:rPr>
                <w:b/>
                <w:lang w:val="en-US"/>
              </w:rPr>
            </w:pPr>
            <w:r w:rsidRPr="00A35062">
              <w:rPr>
                <w:b/>
                <w:lang w:val="en-US"/>
              </w:rPr>
              <w:t>Prevenirea și protecția împotriva exploziilor</w:t>
            </w:r>
          </w:p>
          <w:p w:rsidR="005A0FE7" w:rsidRPr="00A35062" w:rsidRDefault="005A0FE7" w:rsidP="00A35062">
            <w:pPr>
              <w:rPr>
                <w:lang w:val="en-US"/>
              </w:rPr>
            </w:pPr>
            <w:r w:rsidRPr="00A35062">
              <w:rPr>
                <w:b/>
                <w:lang w:val="ro-RO"/>
              </w:rPr>
              <w:t>4.</w:t>
            </w:r>
            <w:r w:rsidRPr="00A35062">
              <w:rPr>
                <w:lang w:val="ro-RO"/>
              </w:rPr>
              <w:t xml:space="preserve"> </w:t>
            </w:r>
            <w:r w:rsidRPr="00A35062">
              <w:rPr>
                <w:lang w:val="en-US"/>
              </w:rPr>
              <w:t>În vederea prevenirii, în sensul/ în conformitate cu alin.(3) art.10 din Legea nr.186/2008, și a asigurării protecției împotriva exploziilor, angajatorul i-a măsuri tehnice și organizatorice corespunzătoare naturii operației, în  ordinea priorităților și respectând următoarele principii de bază:</w:t>
            </w:r>
          </w:p>
          <w:p w:rsidR="005A0FE7" w:rsidRPr="00A35062" w:rsidRDefault="005A0FE7" w:rsidP="00A35062">
            <w:pPr>
              <w:rPr>
                <w:lang w:val="en-US"/>
              </w:rPr>
            </w:pPr>
            <w:r w:rsidRPr="00A35062">
              <w:rPr>
                <w:lang w:val="en-US"/>
              </w:rPr>
              <w:t>1) prevenirea formării mediilor explozive;</w:t>
            </w:r>
          </w:p>
          <w:p w:rsidR="005A0FE7" w:rsidRPr="00A35062" w:rsidRDefault="005A0FE7" w:rsidP="00A35062">
            <w:pPr>
              <w:rPr>
                <w:lang w:val="en-US"/>
              </w:rPr>
            </w:pPr>
            <w:r w:rsidRPr="00A35062">
              <w:rPr>
                <w:lang w:val="ro-RO"/>
              </w:rPr>
              <w:t xml:space="preserve">2) </w:t>
            </w:r>
            <w:r w:rsidRPr="00A35062">
              <w:rPr>
                <w:lang w:val="en-US"/>
              </w:rPr>
              <w:t>evitarea aprinderii mediilor explozive;</w:t>
            </w:r>
          </w:p>
          <w:p w:rsidR="005A0FE7" w:rsidRPr="00A35062" w:rsidRDefault="005A0FE7" w:rsidP="00A35062">
            <w:pPr>
              <w:rPr>
                <w:lang w:val="en-US"/>
              </w:rPr>
            </w:pPr>
            <w:r w:rsidRPr="00A35062">
              <w:rPr>
                <w:lang w:val="en-US"/>
              </w:rPr>
              <w:t xml:space="preserve">3) </w:t>
            </w:r>
            <w:proofErr w:type="gramStart"/>
            <w:r w:rsidRPr="00A35062">
              <w:rPr>
                <w:lang w:val="en-US"/>
              </w:rPr>
              <w:t>limitarea</w:t>
            </w:r>
            <w:proofErr w:type="gramEnd"/>
            <w:r w:rsidRPr="00A35062">
              <w:rPr>
                <w:lang w:val="en-US"/>
              </w:rPr>
              <w:t xml:space="preserve"> efectelor dăunătoare ale unei explozii în vederea asigurării sănătății și securității lucrătorilor.</w:t>
            </w:r>
          </w:p>
          <w:p w:rsidR="005A0FE7" w:rsidRPr="00A35062" w:rsidRDefault="005A0FE7" w:rsidP="00A35062">
            <w:pPr>
              <w:ind w:firstLine="144"/>
              <w:rPr>
                <w:lang w:val="en-US"/>
              </w:rPr>
            </w:pPr>
            <w:r w:rsidRPr="00A35062">
              <w:rPr>
                <w:lang w:val="en-US"/>
              </w:rPr>
              <w:t>Acolo unde este cazul, aceste măsuri trebuie să fie combinate și suplimentate cu măsuri împotriva propagării exploziilor și actualizate frecvent și, în orice caz, ori de câte ori au loc schimbări semnificative.</w:t>
            </w:r>
          </w:p>
        </w:tc>
        <w:tc>
          <w:tcPr>
            <w:tcW w:w="1890" w:type="dxa"/>
          </w:tcPr>
          <w:p w:rsidR="005A0FE7" w:rsidRDefault="005A0FE7">
            <w:pPr>
              <w:rPr>
                <w:lang w:val="ro-RO"/>
              </w:rPr>
            </w:pPr>
            <w:r>
              <w:rPr>
                <w:lang w:val="ro-RO"/>
              </w:rPr>
              <w:t xml:space="preserve">Compatibil </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A35062">
        <w:tc>
          <w:tcPr>
            <w:tcW w:w="3888" w:type="dxa"/>
            <w:gridSpan w:val="2"/>
          </w:tcPr>
          <w:p w:rsidR="005A0FE7" w:rsidRPr="00A35062" w:rsidRDefault="005A0FE7" w:rsidP="00A35062">
            <w:pPr>
              <w:shd w:val="clear" w:color="auto" w:fill="FFFFFF"/>
              <w:jc w:val="center"/>
              <w:rPr>
                <w:iCs/>
                <w:lang w:val="en-US"/>
              </w:rPr>
            </w:pPr>
            <w:r w:rsidRPr="00A35062">
              <w:rPr>
                <w:iCs/>
                <w:lang w:val="en-US"/>
              </w:rPr>
              <w:t>Articolul 4</w:t>
            </w:r>
          </w:p>
          <w:p w:rsidR="005A0FE7" w:rsidRPr="00A35062" w:rsidRDefault="005A0FE7" w:rsidP="00A35062">
            <w:pPr>
              <w:shd w:val="clear" w:color="auto" w:fill="FFFFFF"/>
              <w:jc w:val="center"/>
              <w:rPr>
                <w:i/>
                <w:iCs/>
                <w:lang w:val="en-US"/>
              </w:rPr>
            </w:pPr>
            <w:r w:rsidRPr="00A35062">
              <w:rPr>
                <w:i/>
                <w:iCs/>
                <w:lang w:val="en-US"/>
              </w:rPr>
              <w:t xml:space="preserve"> </w:t>
            </w:r>
            <w:r w:rsidRPr="00A35062">
              <w:rPr>
                <w:b/>
                <w:iCs/>
                <w:lang w:val="en-US"/>
              </w:rPr>
              <w:t>Evaluarea riscurilor de explozii</w:t>
            </w:r>
          </w:p>
          <w:p w:rsidR="005A0FE7" w:rsidRPr="00A35062" w:rsidRDefault="005A0FE7" w:rsidP="00A35062">
            <w:pPr>
              <w:rPr>
                <w:lang w:val="en-US"/>
              </w:rPr>
            </w:pPr>
            <w:r w:rsidRPr="00A35062">
              <w:rPr>
                <w:lang w:val="en-US"/>
              </w:rPr>
              <w:t xml:space="preserve">(1)   În vederea îndeplinirii </w:t>
            </w:r>
            <w:r w:rsidRPr="00A35062">
              <w:rPr>
                <w:lang w:val="en-US"/>
              </w:rPr>
              <w:lastRenderedPageBreak/>
              <w:t>obligațiilor prevăzute la articolul 6 alineatul (3) și la articolul 9 alineatul (1) din Directiva 89/391/CEE, angajatorul evaluează riscurile specifice din mediile explozive, luând în considerare cel puțin:</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r w:rsidRPr="00A35062">
                    <w:rPr>
                      <w:lang w:val="en-US"/>
                    </w:rPr>
                    <w:t>probabilitatea producerii și menținerii mediilor explozive;</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r w:rsidRPr="00A35062">
                    <w:rPr>
                      <w:lang w:val="en-US"/>
                    </w:rPr>
                    <w:t>probabilitatea existenței surselor de aprindere, inclusiv a descărcărilor electrostatice, a activării acestora și a declanșării incendiului;</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r w:rsidRPr="00A35062">
                    <w:rPr>
                      <w:lang w:val="en-US"/>
                    </w:rPr>
                    <w:t>instalațiile, substanțele folosite, procesele și posibilele lor interacțiuni;</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59"/>
              <w:gridCol w:w="3413"/>
            </w:tblGrid>
            <w:tr w:rsidR="005A0FE7" w:rsidRPr="00ED456A" w:rsidTr="00A35062">
              <w:tc>
                <w:tcPr>
                  <w:tcW w:w="292" w:type="dxa"/>
                  <w:shd w:val="clear" w:color="auto" w:fill="FFFFFF"/>
                  <w:hideMark/>
                </w:tcPr>
                <w:p w:rsidR="005A0FE7" w:rsidRPr="00A35062" w:rsidRDefault="005A0FE7" w:rsidP="00A35062">
                  <w:pPr>
                    <w:rPr>
                      <w:lang w:val="en-US"/>
                    </w:rPr>
                  </w:pPr>
                  <w:r w:rsidRPr="00A35062">
                    <w:rPr>
                      <w:lang w:val="en-US"/>
                    </w:rPr>
                    <w:t>—</w:t>
                  </w:r>
                </w:p>
              </w:tc>
              <w:tc>
                <w:tcPr>
                  <w:tcW w:w="3888" w:type="dxa"/>
                  <w:shd w:val="clear" w:color="auto" w:fill="FFFFFF"/>
                  <w:hideMark/>
                </w:tcPr>
                <w:p w:rsidR="005A0FE7" w:rsidRPr="00A35062" w:rsidRDefault="005A0FE7" w:rsidP="00A35062">
                  <w:pPr>
                    <w:rPr>
                      <w:lang w:val="en-US"/>
                    </w:rPr>
                  </w:pPr>
                  <w:proofErr w:type="gramStart"/>
                  <w:r w:rsidRPr="00A35062">
                    <w:rPr>
                      <w:lang w:val="en-US"/>
                    </w:rPr>
                    <w:t>dimensiunile</w:t>
                  </w:r>
                  <w:proofErr w:type="gramEnd"/>
                  <w:r w:rsidRPr="00A35062">
                    <w:rPr>
                      <w:lang w:val="en-US"/>
                    </w:rPr>
                    <w:t xml:space="preserve"> efectelor anticipate.</w:t>
                  </w:r>
                </w:p>
              </w:tc>
            </w:tr>
          </w:tbl>
          <w:p w:rsidR="005A0FE7" w:rsidRPr="00A35062" w:rsidRDefault="005A0FE7" w:rsidP="00A35062">
            <w:pPr>
              <w:ind w:firstLine="144"/>
              <w:rPr>
                <w:lang w:val="en-US"/>
              </w:rPr>
            </w:pPr>
            <w:r w:rsidRPr="00A35062">
              <w:rPr>
                <w:lang w:val="en-US"/>
              </w:rPr>
              <w:t>Riscurile de explozii sunt evaluate în mod global.</w:t>
            </w:r>
          </w:p>
          <w:p w:rsidR="005A0FE7" w:rsidRPr="00A35062" w:rsidRDefault="005A0FE7" w:rsidP="00A35062">
            <w:pPr>
              <w:rPr>
                <w:lang w:val="en-US" w:eastAsia="en-US"/>
              </w:rPr>
            </w:pPr>
            <w:r w:rsidRPr="00A35062">
              <w:rPr>
                <w:lang w:val="en-US"/>
              </w:rPr>
              <w:t>(2)   La evaluarea riscurilor de explozii trebuie luate în considerare locurile care sunt sau pot fi legate prin deschideri de locurile în care pot apărea medii explozive.</w:t>
            </w:r>
          </w:p>
        </w:tc>
        <w:tc>
          <w:tcPr>
            <w:tcW w:w="3780" w:type="dxa"/>
          </w:tcPr>
          <w:p w:rsidR="005A0FE7" w:rsidRPr="00A35062" w:rsidRDefault="005A0FE7" w:rsidP="00A35062">
            <w:pPr>
              <w:jc w:val="center"/>
              <w:rPr>
                <w:b/>
                <w:lang w:val="en-US"/>
              </w:rPr>
            </w:pPr>
            <w:r w:rsidRPr="00A35062">
              <w:rPr>
                <w:b/>
                <w:lang w:val="en-US"/>
              </w:rPr>
              <w:lastRenderedPageBreak/>
              <w:t>Secțiunea a 2-a</w:t>
            </w:r>
          </w:p>
          <w:p w:rsidR="005A0FE7" w:rsidRPr="00A35062" w:rsidRDefault="005A0FE7" w:rsidP="00A35062">
            <w:pPr>
              <w:jc w:val="center"/>
              <w:rPr>
                <w:b/>
                <w:lang w:val="ro-RO"/>
              </w:rPr>
            </w:pPr>
            <w:r w:rsidRPr="00A35062">
              <w:rPr>
                <w:b/>
                <w:lang w:val="en-US"/>
              </w:rPr>
              <w:t>Evaluarea riscurilor de explozii</w:t>
            </w:r>
          </w:p>
          <w:p w:rsidR="005A0FE7" w:rsidRPr="00A35062" w:rsidRDefault="005A0FE7" w:rsidP="00A35062">
            <w:pPr>
              <w:rPr>
                <w:lang w:val="en-US"/>
              </w:rPr>
            </w:pPr>
            <w:r w:rsidRPr="00A35062">
              <w:rPr>
                <w:b/>
                <w:lang w:val="en-US"/>
              </w:rPr>
              <w:t>5.</w:t>
            </w:r>
            <w:r w:rsidRPr="00A35062">
              <w:rPr>
                <w:lang w:val="en-US"/>
              </w:rPr>
              <w:t xml:space="preserve"> În vederea îndeplinirii obligațiilor </w:t>
            </w:r>
            <w:r w:rsidRPr="00A35062">
              <w:rPr>
                <w:lang w:val="en-US"/>
              </w:rPr>
              <w:lastRenderedPageBreak/>
              <w:t>prevăzute la alin.(4) art.10 și art.13 din Legea securității și sănătății în muncă nr.186/2008, angajatorul evaluează riscurile specifice din mediile explozive, luând în considerare cel puțin:</w:t>
            </w:r>
          </w:p>
          <w:p w:rsidR="005A0FE7" w:rsidRPr="00A35062" w:rsidRDefault="005A0FE7" w:rsidP="00A35062">
            <w:pPr>
              <w:rPr>
                <w:lang w:val="en-US"/>
              </w:rPr>
            </w:pPr>
            <w:r w:rsidRPr="00A35062">
              <w:rPr>
                <w:lang w:val="en-US"/>
              </w:rPr>
              <w:t>1) probabilitatea producerii și menținerii mediilor explozive;</w:t>
            </w:r>
          </w:p>
          <w:p w:rsidR="005A0FE7" w:rsidRPr="00A35062" w:rsidRDefault="005A0FE7" w:rsidP="00A35062">
            <w:pPr>
              <w:rPr>
                <w:lang w:val="en-US"/>
              </w:rPr>
            </w:pPr>
            <w:r w:rsidRPr="00A35062">
              <w:rPr>
                <w:lang w:val="en-US"/>
              </w:rPr>
              <w:t>2) probabilitatea existenței surselor de aprindere, inclusiv a descărcărilor electrostatice, a activării acestora și a declanșării incendiului;</w:t>
            </w:r>
          </w:p>
          <w:p w:rsidR="005A0FE7" w:rsidRPr="00A35062" w:rsidRDefault="005A0FE7" w:rsidP="00A35062">
            <w:pPr>
              <w:rPr>
                <w:lang w:val="en-US"/>
              </w:rPr>
            </w:pPr>
            <w:r w:rsidRPr="00A35062">
              <w:rPr>
                <w:lang w:val="en-US"/>
              </w:rPr>
              <w:t xml:space="preserve">3) instalațiile, substanțele folosite procesele și posibilele lor interacțiuni; </w:t>
            </w:r>
          </w:p>
          <w:p w:rsidR="005A0FE7" w:rsidRPr="00A35062" w:rsidRDefault="005A0FE7" w:rsidP="00A35062">
            <w:pPr>
              <w:rPr>
                <w:lang w:val="en-US"/>
              </w:rPr>
            </w:pPr>
            <w:r w:rsidRPr="00A35062">
              <w:rPr>
                <w:lang w:val="en-US"/>
              </w:rPr>
              <w:t xml:space="preserve">4) </w:t>
            </w:r>
            <w:proofErr w:type="gramStart"/>
            <w:r w:rsidRPr="00A35062">
              <w:rPr>
                <w:lang w:val="en-US"/>
              </w:rPr>
              <w:t>dimensiunile</w:t>
            </w:r>
            <w:proofErr w:type="gramEnd"/>
            <w:r w:rsidRPr="00A35062">
              <w:rPr>
                <w:lang w:val="en-US"/>
              </w:rPr>
              <w:t xml:space="preserve"> efectelor anticipate.</w:t>
            </w:r>
          </w:p>
          <w:p w:rsidR="005A0FE7" w:rsidRPr="00A35062" w:rsidRDefault="005A0FE7" w:rsidP="00A35062">
            <w:pPr>
              <w:ind w:firstLine="144"/>
              <w:rPr>
                <w:lang w:val="en-US"/>
              </w:rPr>
            </w:pPr>
            <w:r w:rsidRPr="00A35062">
              <w:rPr>
                <w:lang w:val="en-US"/>
              </w:rPr>
              <w:t>Riscurile de explozii sunt evaluate în mod global.</w:t>
            </w:r>
          </w:p>
          <w:p w:rsidR="005A0FE7" w:rsidRPr="00A35062" w:rsidRDefault="005A0FE7" w:rsidP="00A35062">
            <w:pPr>
              <w:rPr>
                <w:lang w:val="en-US"/>
              </w:rPr>
            </w:pPr>
            <w:r w:rsidRPr="00A35062">
              <w:rPr>
                <w:b/>
                <w:lang w:val="en-US"/>
              </w:rPr>
              <w:t>6.</w:t>
            </w:r>
            <w:r w:rsidRPr="00A35062">
              <w:rPr>
                <w:lang w:val="en-US"/>
              </w:rPr>
              <w:t xml:space="preserve"> La evaluarea riscurilor de explozii trebuie luate în considerare locurile care sunt sau pot fi legate prin deschideri de locurile în care pot apărea medii explozive.</w:t>
            </w:r>
          </w:p>
        </w:tc>
        <w:tc>
          <w:tcPr>
            <w:tcW w:w="1890" w:type="dxa"/>
          </w:tcPr>
          <w:p w:rsidR="005A0FE7" w:rsidRPr="00102C96" w:rsidRDefault="00473589">
            <w:pPr>
              <w:rPr>
                <w:lang w:val="en-US"/>
              </w:rPr>
            </w:pPr>
            <w:r>
              <w:rPr>
                <w:lang w:val="ro-RO"/>
              </w:rPr>
              <w:lastRenderedPageBreak/>
              <w:t xml:space="preserve">Compatibil </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A35062">
        <w:tc>
          <w:tcPr>
            <w:tcW w:w="3888" w:type="dxa"/>
            <w:gridSpan w:val="2"/>
          </w:tcPr>
          <w:p w:rsidR="005A0FE7" w:rsidRPr="00A35062" w:rsidRDefault="005A0FE7" w:rsidP="00A35062">
            <w:pPr>
              <w:pStyle w:val="20"/>
              <w:shd w:val="clear" w:color="auto" w:fill="auto"/>
              <w:spacing w:before="0" w:after="0" w:line="240" w:lineRule="auto"/>
              <w:ind w:firstLine="0"/>
              <w:jc w:val="center"/>
              <w:rPr>
                <w:rFonts w:ascii="Times New Roman" w:hAnsi="Times New Roman" w:cs="Times New Roman"/>
                <w:i/>
                <w:sz w:val="24"/>
                <w:szCs w:val="24"/>
                <w:lang w:val="ro-RO"/>
              </w:rPr>
            </w:pPr>
            <w:r w:rsidRPr="00A35062">
              <w:rPr>
                <w:rStyle w:val="21"/>
                <w:rFonts w:eastAsia="Calibri"/>
                <w:i w:val="0"/>
                <w:sz w:val="24"/>
                <w:szCs w:val="24"/>
              </w:rPr>
              <w:lastRenderedPageBreak/>
              <w:t>Articolul 5</w:t>
            </w:r>
          </w:p>
          <w:p w:rsidR="005A0FE7" w:rsidRPr="00A35062" w:rsidRDefault="005A0FE7" w:rsidP="00A35062">
            <w:pPr>
              <w:pStyle w:val="30"/>
              <w:shd w:val="clear" w:color="auto" w:fill="auto"/>
              <w:tabs>
                <w:tab w:val="left" w:pos="959"/>
              </w:tabs>
              <w:spacing w:before="0" w:after="0" w:line="240" w:lineRule="auto"/>
              <w:ind w:firstLine="0"/>
              <w:rPr>
                <w:rFonts w:ascii="Times New Roman" w:hAnsi="Times New Roman" w:cs="Times New Roman"/>
                <w:b/>
                <w:sz w:val="24"/>
                <w:szCs w:val="24"/>
              </w:rPr>
            </w:pPr>
            <w:r w:rsidRPr="00A35062">
              <w:rPr>
                <w:rFonts w:ascii="Times New Roman" w:hAnsi="Times New Roman" w:cs="Times New Roman"/>
                <w:b/>
                <w:sz w:val="24"/>
                <w:szCs w:val="24"/>
              </w:rPr>
              <w:t>Obligații generale</w:t>
            </w:r>
          </w:p>
          <w:p w:rsidR="005A0FE7" w:rsidRPr="00A35062" w:rsidRDefault="005A0FE7" w:rsidP="00A35062">
            <w:pPr>
              <w:ind w:firstLine="144"/>
              <w:rPr>
                <w:lang w:val="en-US"/>
              </w:rPr>
            </w:pPr>
            <w:r w:rsidRPr="00A35062">
              <w:rPr>
                <w:lang w:val="en-US"/>
              </w:rPr>
              <w:t>Pentru a asigura securitatea și sănătatea lucrătorilor și în conformitate cu principiile de bază ale evaluării riscurilor și cele prevăzute la articolul 3, angajatorul ia măsurile necesare astfel încât: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A35062"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r w:rsidRPr="00A35062">
                    <w:t xml:space="preserve">acolo unde pot apărea medii explozive în concentrații atât de mari încât să pună în pericol </w:t>
                  </w:r>
                  <w:r w:rsidRPr="00A35062">
                    <w:lastRenderedPageBreak/>
                    <w:t>sănătatea și securitatea lucrătorilor sau a celorlalți, mediul de lucru să fie de așa natură încât procesul muncii să se poată desfășura în condiții de siguranță;</w:t>
                  </w:r>
                </w:p>
              </w:tc>
            </w:tr>
          </w:tbl>
          <w:p w:rsidR="005A0FE7" w:rsidRPr="00A35062" w:rsidRDefault="005A0FE7" w:rsidP="00A35062">
            <w:pPr>
              <w:rPr>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A35062"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r w:rsidRPr="00A35062">
                    <w:t>să se asigure supravegherea corespunzătoare în timpul prezenței lucrătorilor la locurile de muncă unde pot apărea medii explozive în concentrații atât de mari încât să pună în pericol sănătatea și securitatea lucrătorilor, conform evaluării riscurilor prin utilizarea unor mijloace tehnice adecvate.</w:t>
                  </w:r>
                </w:p>
              </w:tc>
            </w:tr>
          </w:tbl>
          <w:p w:rsidR="005A0FE7" w:rsidRPr="00A35062" w:rsidRDefault="005A0FE7" w:rsidP="00A35062">
            <w:pPr>
              <w:shd w:val="clear" w:color="auto" w:fill="FFFFFF"/>
              <w:jc w:val="center"/>
              <w:rPr>
                <w:iCs/>
              </w:rPr>
            </w:pPr>
          </w:p>
        </w:tc>
        <w:tc>
          <w:tcPr>
            <w:tcW w:w="3780" w:type="dxa"/>
          </w:tcPr>
          <w:p w:rsidR="005A0FE7" w:rsidRPr="00A35062" w:rsidRDefault="005A0FE7" w:rsidP="00A35062">
            <w:pPr>
              <w:jc w:val="center"/>
              <w:rPr>
                <w:b/>
                <w:lang w:val="en-US"/>
              </w:rPr>
            </w:pPr>
            <w:r w:rsidRPr="00A35062">
              <w:rPr>
                <w:b/>
                <w:lang w:val="en-US"/>
              </w:rPr>
              <w:lastRenderedPageBreak/>
              <w:t>Secțiunea a 3-a</w:t>
            </w:r>
          </w:p>
          <w:p w:rsidR="005A0FE7" w:rsidRPr="00A35062" w:rsidRDefault="005A0FE7" w:rsidP="00A35062">
            <w:pPr>
              <w:jc w:val="center"/>
              <w:rPr>
                <w:b/>
                <w:lang w:val="ro-RO"/>
              </w:rPr>
            </w:pPr>
            <w:r w:rsidRPr="00A35062">
              <w:rPr>
                <w:b/>
                <w:lang w:val="en-US"/>
              </w:rPr>
              <w:t>Obligații generale</w:t>
            </w:r>
          </w:p>
          <w:p w:rsidR="005A0FE7" w:rsidRPr="00A35062" w:rsidRDefault="005A0FE7" w:rsidP="00A35062">
            <w:pPr>
              <w:rPr>
                <w:lang w:val="en-US"/>
              </w:rPr>
            </w:pPr>
            <w:r w:rsidRPr="00A35062">
              <w:rPr>
                <w:b/>
                <w:lang w:val="en-US"/>
              </w:rPr>
              <w:t>7.</w:t>
            </w:r>
            <w:r w:rsidRPr="00A35062">
              <w:rPr>
                <w:lang w:val="en-US"/>
              </w:rPr>
              <w:t xml:space="preserve"> Pentru a asigura securitatea  și sănătatea lucrătorilor și în conformitate cu principiile de bază ale evaluării riscurilor prevăzute la pct.4, angajatorul i-a măsurile necesare, astfel încât:</w:t>
            </w:r>
          </w:p>
          <w:p w:rsidR="005A0FE7" w:rsidRPr="00A35062" w:rsidRDefault="005A0FE7" w:rsidP="00A35062">
            <w:pPr>
              <w:rPr>
                <w:lang w:val="en-US"/>
              </w:rPr>
            </w:pPr>
            <w:r w:rsidRPr="00A35062">
              <w:rPr>
                <w:lang w:val="en-US"/>
              </w:rPr>
              <w:t xml:space="preserve">1) acolo unde pot apărea medii explozive în concentrații atât de mari încât să pună în pericol </w:t>
            </w:r>
            <w:r w:rsidRPr="00A35062">
              <w:rPr>
                <w:lang w:val="en-US"/>
              </w:rPr>
              <w:lastRenderedPageBreak/>
              <w:t>sănătatea și securitatea lucrătorilor și/sau altor persoane, mediul de lucru să fie de așa natură încât procesul muncii să se poată desfășura în condiții de siguranță;</w:t>
            </w:r>
          </w:p>
          <w:p w:rsidR="005A0FE7" w:rsidRPr="00A35062" w:rsidRDefault="005A0FE7" w:rsidP="00A35062">
            <w:pPr>
              <w:rPr>
                <w:lang w:val="en-US"/>
              </w:rPr>
            </w:pPr>
            <w:r w:rsidRPr="00A35062">
              <w:rPr>
                <w:lang w:val="en-US"/>
              </w:rPr>
              <w:t xml:space="preserve">2) </w:t>
            </w:r>
            <w:proofErr w:type="gramStart"/>
            <w:r w:rsidRPr="00A35062">
              <w:rPr>
                <w:lang w:val="en-US"/>
              </w:rPr>
              <w:t>să</w:t>
            </w:r>
            <w:proofErr w:type="gramEnd"/>
            <w:r w:rsidRPr="00A35062">
              <w:rPr>
                <w:lang w:val="en-US"/>
              </w:rPr>
              <w:t xml:space="preserve"> se asigure supravegherea corespunzătoare în timpul prezenței lucrătorilor la locurile de muncă unde pot apărea medii explozive în concentrații atât de mari încât să pună în pericol sănătatea și securitatea lucrătorilor, conform evaluării riscurilor prin utilizarea unor mijloace tehnice adecvate.</w:t>
            </w:r>
          </w:p>
        </w:tc>
        <w:tc>
          <w:tcPr>
            <w:tcW w:w="1890" w:type="dxa"/>
          </w:tcPr>
          <w:p w:rsidR="005A0FE7" w:rsidRPr="00102C96" w:rsidRDefault="00473589">
            <w:pPr>
              <w:rPr>
                <w:lang w:val="en-US"/>
              </w:rPr>
            </w:pPr>
            <w:r>
              <w:rPr>
                <w:lang w:val="ro-RO"/>
              </w:rPr>
              <w:lastRenderedPageBreak/>
              <w:t xml:space="preserve">Compatibil </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A35062">
        <w:tc>
          <w:tcPr>
            <w:tcW w:w="3888" w:type="dxa"/>
            <w:gridSpan w:val="2"/>
          </w:tcPr>
          <w:p w:rsidR="005A0FE7" w:rsidRPr="00A35062" w:rsidRDefault="005A0FE7" w:rsidP="00A35062">
            <w:pPr>
              <w:pStyle w:val="20"/>
              <w:shd w:val="clear" w:color="auto" w:fill="auto"/>
              <w:spacing w:before="0" w:after="0" w:line="240" w:lineRule="auto"/>
              <w:ind w:left="142" w:firstLine="0"/>
              <w:jc w:val="center"/>
              <w:rPr>
                <w:rStyle w:val="21"/>
                <w:rFonts w:eastAsia="Calibri"/>
                <w:i w:val="0"/>
                <w:sz w:val="24"/>
                <w:szCs w:val="24"/>
              </w:rPr>
            </w:pPr>
            <w:r w:rsidRPr="00A35062">
              <w:rPr>
                <w:rStyle w:val="21"/>
                <w:rFonts w:eastAsia="Calibri"/>
                <w:i w:val="0"/>
                <w:sz w:val="24"/>
                <w:szCs w:val="24"/>
              </w:rPr>
              <w:lastRenderedPageBreak/>
              <w:t>Articolul 6</w:t>
            </w:r>
          </w:p>
          <w:p w:rsidR="005A0FE7" w:rsidRPr="00A35062" w:rsidRDefault="005A0FE7" w:rsidP="00A35062">
            <w:pPr>
              <w:pStyle w:val="20"/>
              <w:shd w:val="clear" w:color="auto" w:fill="auto"/>
              <w:spacing w:before="0" w:after="0" w:line="240" w:lineRule="auto"/>
              <w:ind w:left="142" w:firstLine="0"/>
              <w:jc w:val="center"/>
              <w:rPr>
                <w:rFonts w:ascii="Times New Roman" w:hAnsi="Times New Roman" w:cs="Times New Roman"/>
                <w:b w:val="0"/>
                <w:i/>
                <w:sz w:val="24"/>
                <w:szCs w:val="24"/>
              </w:rPr>
            </w:pPr>
            <w:r w:rsidRPr="00A35062">
              <w:rPr>
                <w:rStyle w:val="21"/>
                <w:rFonts w:eastAsia="Calibri"/>
                <w:b/>
                <w:i w:val="0"/>
                <w:sz w:val="24"/>
                <w:szCs w:val="24"/>
              </w:rPr>
              <w:t>Sarcina coordonării</w:t>
            </w:r>
          </w:p>
          <w:p w:rsidR="005A0FE7" w:rsidRPr="00A35062" w:rsidRDefault="005A0FE7" w:rsidP="00A35062">
            <w:pPr>
              <w:ind w:firstLine="144"/>
              <w:rPr>
                <w:lang w:val="en-US"/>
              </w:rPr>
            </w:pPr>
            <w:r w:rsidRPr="00A35062">
              <w:rPr>
                <w:lang w:val="en-US"/>
              </w:rPr>
              <w:t>În cazul în care sunt prezenți la același loc de muncă lucrători din mai multe întreprinderi, fiecare angajator este responsabil pentru toate aspectele care îi revin în sarcină.</w:t>
            </w:r>
          </w:p>
          <w:p w:rsidR="005A0FE7" w:rsidRPr="00A35062" w:rsidRDefault="005A0FE7" w:rsidP="00A35062">
            <w:pPr>
              <w:ind w:firstLine="144"/>
              <w:rPr>
                <w:lang w:val="en-US" w:eastAsia="en-US"/>
              </w:rPr>
            </w:pPr>
            <w:r w:rsidRPr="00A35062">
              <w:rPr>
                <w:lang w:val="en-US"/>
              </w:rPr>
              <w:t>Fără a aduce atingere răspunderii individuale a fiecărui angajator conform Directivei 89/391/CEE, angajatorul responsabil pentru locul de muncă conform legislațiilor și practicilor naționale trebuie să coordoneze aplicarea tuturor măsurilor privind sănătatea și securitatea lucrătorilor și să declare, în documentul privind protecția împotriva exploziilor menționat la articolul 8, scopul acestei coordonări, măsurile și procedurile adoptate pentru a-l pune în practică.</w:t>
            </w:r>
          </w:p>
        </w:tc>
        <w:tc>
          <w:tcPr>
            <w:tcW w:w="3780" w:type="dxa"/>
          </w:tcPr>
          <w:p w:rsidR="005A0FE7" w:rsidRPr="00A35062" w:rsidRDefault="005A0FE7" w:rsidP="00A35062">
            <w:pPr>
              <w:jc w:val="center"/>
              <w:rPr>
                <w:b/>
                <w:lang w:val="en-US"/>
              </w:rPr>
            </w:pPr>
            <w:r w:rsidRPr="00A35062">
              <w:rPr>
                <w:b/>
                <w:lang w:val="en-US"/>
              </w:rPr>
              <w:t>Secțiunea a 4-a</w:t>
            </w:r>
          </w:p>
          <w:p w:rsidR="005A0FE7" w:rsidRPr="00A35062" w:rsidRDefault="005A0FE7" w:rsidP="00A35062">
            <w:pPr>
              <w:jc w:val="center"/>
              <w:rPr>
                <w:b/>
                <w:lang w:val="en-US"/>
              </w:rPr>
            </w:pPr>
            <w:r w:rsidRPr="00A35062">
              <w:rPr>
                <w:b/>
                <w:lang w:val="en-US"/>
              </w:rPr>
              <w:t>Sarcina coordonării</w:t>
            </w:r>
          </w:p>
          <w:p w:rsidR="005A0FE7" w:rsidRPr="00A35062" w:rsidRDefault="005A0FE7" w:rsidP="00A35062">
            <w:pPr>
              <w:rPr>
                <w:lang w:val="en-US"/>
              </w:rPr>
            </w:pPr>
            <w:r w:rsidRPr="00A35062">
              <w:rPr>
                <w:b/>
                <w:lang w:val="en-US"/>
              </w:rPr>
              <w:t>8.</w:t>
            </w:r>
            <w:r w:rsidRPr="00A35062">
              <w:rPr>
                <w:lang w:val="en-US"/>
              </w:rPr>
              <w:t xml:space="preserve"> În cazul în care sunt prezenți la același loc de muncă lucrători din mai multe întreprinderi, fiecare angajator este responsabil pentru toate aspectele care îi revin în sarcină.</w:t>
            </w:r>
          </w:p>
          <w:p w:rsidR="005A0FE7" w:rsidRPr="00A35062" w:rsidRDefault="005A0FE7" w:rsidP="00A35062">
            <w:pPr>
              <w:ind w:firstLine="144"/>
              <w:rPr>
                <w:lang w:val="en-US"/>
              </w:rPr>
            </w:pPr>
            <w:r w:rsidRPr="00A35062">
              <w:rPr>
                <w:lang w:val="en-US"/>
              </w:rPr>
              <w:t>Fără a aduce atingere fiecărui angajator conform Legii securității și sănătății în muncă nr.186/2008, angajatorul responsabil pentru locul de muncă conform legislației și practicii naționale trebuie să coordoneze aplicarea tuturor măsurilor privind sănătatea și securitatea lucrătorilor și să declare, în documentul privind protecția împotriva exploziilor menționat la pct.12, scopul acestei coordonări, măsurile și procedurile adoptate pentru a-l pune în practică.</w:t>
            </w:r>
          </w:p>
        </w:tc>
        <w:tc>
          <w:tcPr>
            <w:tcW w:w="1890" w:type="dxa"/>
          </w:tcPr>
          <w:p w:rsidR="005A0FE7" w:rsidRPr="00102C96" w:rsidRDefault="00473589">
            <w:pPr>
              <w:rPr>
                <w:lang w:val="en-US"/>
              </w:rPr>
            </w:pPr>
            <w:r>
              <w:rPr>
                <w:lang w:val="ro-RO"/>
              </w:rPr>
              <w:t xml:space="preserve">Compatibil </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A35062">
        <w:tc>
          <w:tcPr>
            <w:tcW w:w="3888" w:type="dxa"/>
            <w:gridSpan w:val="2"/>
          </w:tcPr>
          <w:p w:rsidR="005A0FE7" w:rsidRPr="00A35062" w:rsidRDefault="005A0FE7" w:rsidP="00A35062">
            <w:pPr>
              <w:jc w:val="center"/>
              <w:rPr>
                <w:lang w:val="en-US"/>
              </w:rPr>
            </w:pPr>
            <w:r w:rsidRPr="00A35062">
              <w:rPr>
                <w:lang w:val="en-US"/>
              </w:rPr>
              <w:lastRenderedPageBreak/>
              <w:t>Articolul 7</w:t>
            </w:r>
          </w:p>
          <w:p w:rsidR="005A0FE7" w:rsidRPr="00A35062" w:rsidRDefault="005A0FE7" w:rsidP="00A35062">
            <w:pPr>
              <w:jc w:val="center"/>
              <w:rPr>
                <w:b/>
                <w:bCs/>
                <w:lang w:val="en-US"/>
              </w:rPr>
            </w:pPr>
            <w:r w:rsidRPr="00A35062">
              <w:rPr>
                <w:b/>
                <w:lang w:val="en-US"/>
              </w:rPr>
              <w:t xml:space="preserve">Locuri unde pot apărea medii explozive </w:t>
            </w:r>
          </w:p>
          <w:p w:rsidR="005A0FE7" w:rsidRPr="00A35062" w:rsidRDefault="005A0FE7" w:rsidP="00A35062">
            <w:pPr>
              <w:rPr>
                <w:lang w:val="en-US"/>
              </w:rPr>
            </w:pPr>
            <w:r w:rsidRPr="00A35062">
              <w:rPr>
                <w:lang w:val="en-US"/>
              </w:rPr>
              <w:t>(1)   Angajatorul clasifică locurile unde pot apărea medii explozive pe zone, în conformitate cu anexa I.</w:t>
            </w:r>
          </w:p>
          <w:p w:rsidR="005A0FE7" w:rsidRPr="00A35062" w:rsidRDefault="005A0FE7" w:rsidP="00A35062">
            <w:pPr>
              <w:rPr>
                <w:lang w:val="en-US"/>
              </w:rPr>
            </w:pPr>
            <w:r w:rsidRPr="00A35062">
              <w:rPr>
                <w:lang w:val="en-US"/>
              </w:rPr>
              <w:t>(2)   Angajatorul asigură aplicarea cerințelor minime prevăzute în anexa II în locurile prevăzute în alineatul (1).</w:t>
            </w:r>
          </w:p>
          <w:p w:rsidR="005A0FE7" w:rsidRPr="00A35062" w:rsidRDefault="005A0FE7" w:rsidP="00A35062">
            <w:pPr>
              <w:rPr>
                <w:lang w:val="en-US"/>
              </w:rPr>
            </w:pPr>
            <w:r w:rsidRPr="00A35062">
              <w:rPr>
                <w:lang w:val="en-US"/>
              </w:rPr>
              <w:t>(3)   Acolo unde este cazul, locurile unde pot apărea medii explozive în concentrații atât de mari încât să pună în pericol sănătatea și securitatea lucrătorilor trebuie marcate cu indicatoare la punctele de intrare, în conformitate cu anexa III.</w:t>
            </w:r>
          </w:p>
        </w:tc>
        <w:tc>
          <w:tcPr>
            <w:tcW w:w="3780" w:type="dxa"/>
          </w:tcPr>
          <w:p w:rsidR="005A0FE7" w:rsidRPr="00A35062" w:rsidRDefault="005A0FE7" w:rsidP="00A35062">
            <w:pPr>
              <w:jc w:val="center"/>
              <w:rPr>
                <w:b/>
                <w:lang w:val="en-US"/>
              </w:rPr>
            </w:pPr>
            <w:r w:rsidRPr="00A35062">
              <w:rPr>
                <w:b/>
                <w:lang w:val="en-US"/>
              </w:rPr>
              <w:t>Secțiunea a 5-a</w:t>
            </w:r>
          </w:p>
          <w:p w:rsidR="005A0FE7" w:rsidRPr="00A35062" w:rsidRDefault="005A0FE7" w:rsidP="00A35062">
            <w:pPr>
              <w:jc w:val="center"/>
              <w:rPr>
                <w:b/>
                <w:lang w:val="en-US"/>
              </w:rPr>
            </w:pPr>
            <w:r w:rsidRPr="00A35062">
              <w:rPr>
                <w:b/>
                <w:lang w:val="en-US"/>
              </w:rPr>
              <w:t>Locuri unde pot apărea medii explozive</w:t>
            </w:r>
          </w:p>
          <w:p w:rsidR="005A0FE7" w:rsidRPr="00A35062" w:rsidRDefault="005A0FE7" w:rsidP="00A35062">
            <w:pPr>
              <w:rPr>
                <w:lang w:val="en-US"/>
              </w:rPr>
            </w:pPr>
            <w:r w:rsidRPr="00A35062">
              <w:rPr>
                <w:b/>
                <w:lang w:val="ro-RO"/>
              </w:rPr>
              <w:t xml:space="preserve">9. </w:t>
            </w:r>
            <w:r w:rsidRPr="00A35062">
              <w:rPr>
                <w:lang w:val="en-US"/>
              </w:rPr>
              <w:t>Angajatorul clasifică locurile unde pot apărea medii explozive pe zone, în conformitate cu Anexa nr.1.</w:t>
            </w:r>
          </w:p>
          <w:p w:rsidR="005A0FE7" w:rsidRPr="00A35062" w:rsidRDefault="005A0FE7" w:rsidP="00A35062">
            <w:pPr>
              <w:rPr>
                <w:lang w:val="en-US"/>
              </w:rPr>
            </w:pPr>
            <w:r w:rsidRPr="00A35062">
              <w:rPr>
                <w:b/>
                <w:lang w:val="en-US"/>
              </w:rPr>
              <w:t xml:space="preserve">10. </w:t>
            </w:r>
            <w:r w:rsidRPr="00A35062">
              <w:rPr>
                <w:lang w:val="en-US"/>
              </w:rPr>
              <w:t>Angajatorul asigură aplicarea cerințelor minime prevăzute în Anexa nr.2 în locurile prevăzute la Anexa nr.1.</w:t>
            </w:r>
          </w:p>
          <w:p w:rsidR="005A0FE7" w:rsidRPr="00A35062" w:rsidRDefault="005A0FE7" w:rsidP="00A35062">
            <w:pPr>
              <w:rPr>
                <w:lang w:val="en-US"/>
              </w:rPr>
            </w:pPr>
            <w:r w:rsidRPr="00A35062">
              <w:rPr>
                <w:b/>
                <w:lang w:val="en-US"/>
              </w:rPr>
              <w:t>11.</w:t>
            </w:r>
            <w:r w:rsidRPr="00A35062">
              <w:rPr>
                <w:lang w:val="en-US"/>
              </w:rPr>
              <w:t xml:space="preserve"> Acolo unde este cazul, locurile unde pot apărea medii explosive în concentrații atât de mari încât să pună în pericol sănătatea și securitatea lucrătorilor trebuie marcate cu indicatoare la punctele de intrare, în conformitate cu Anexa nr.3.</w:t>
            </w:r>
          </w:p>
        </w:tc>
        <w:tc>
          <w:tcPr>
            <w:tcW w:w="1890" w:type="dxa"/>
          </w:tcPr>
          <w:p w:rsidR="005A0FE7" w:rsidRPr="00102C96" w:rsidRDefault="00473589">
            <w:pPr>
              <w:rPr>
                <w:lang w:val="en-US"/>
              </w:rPr>
            </w:pPr>
            <w:r>
              <w:rPr>
                <w:lang w:val="ro-RO"/>
              </w:rPr>
              <w:t xml:space="preserve">Compatibil </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A35062">
        <w:tc>
          <w:tcPr>
            <w:tcW w:w="3888" w:type="dxa"/>
            <w:gridSpan w:val="2"/>
          </w:tcPr>
          <w:p w:rsidR="005A0FE7" w:rsidRPr="00A35062" w:rsidRDefault="005A0FE7" w:rsidP="00A35062">
            <w:pPr>
              <w:pStyle w:val="20"/>
              <w:shd w:val="clear" w:color="auto" w:fill="auto"/>
              <w:spacing w:before="0" w:after="0" w:line="240" w:lineRule="auto"/>
              <w:ind w:left="142" w:firstLine="0"/>
              <w:jc w:val="center"/>
              <w:rPr>
                <w:rStyle w:val="21"/>
                <w:rFonts w:eastAsia="Calibri"/>
                <w:i w:val="0"/>
                <w:sz w:val="24"/>
                <w:szCs w:val="24"/>
              </w:rPr>
            </w:pPr>
            <w:r w:rsidRPr="00A35062">
              <w:rPr>
                <w:rStyle w:val="21"/>
                <w:rFonts w:eastAsia="Calibri"/>
                <w:i w:val="0"/>
                <w:sz w:val="24"/>
                <w:szCs w:val="24"/>
              </w:rPr>
              <w:t xml:space="preserve">Articolul 8 </w:t>
            </w:r>
          </w:p>
          <w:p w:rsidR="005A0FE7" w:rsidRPr="00A35062" w:rsidRDefault="005A0FE7" w:rsidP="00A35062">
            <w:pPr>
              <w:pStyle w:val="20"/>
              <w:shd w:val="clear" w:color="auto" w:fill="auto"/>
              <w:spacing w:before="0" w:after="0" w:line="240" w:lineRule="auto"/>
              <w:ind w:left="142" w:firstLine="0"/>
              <w:jc w:val="center"/>
              <w:rPr>
                <w:rStyle w:val="21"/>
                <w:rFonts w:eastAsia="Calibri"/>
                <w:b/>
                <w:i w:val="0"/>
                <w:sz w:val="24"/>
                <w:szCs w:val="24"/>
              </w:rPr>
            </w:pPr>
            <w:r w:rsidRPr="00A35062">
              <w:rPr>
                <w:rStyle w:val="21"/>
                <w:rFonts w:eastAsia="Calibri"/>
                <w:b/>
                <w:i w:val="0"/>
                <w:sz w:val="24"/>
                <w:szCs w:val="24"/>
              </w:rPr>
              <w:t xml:space="preserve">Documentul  privind protecția împotriva  exploziilor </w:t>
            </w:r>
          </w:p>
          <w:p w:rsidR="005A0FE7" w:rsidRPr="00A35062" w:rsidRDefault="005A0FE7" w:rsidP="00A35062">
            <w:pPr>
              <w:ind w:firstLine="144"/>
              <w:rPr>
                <w:lang w:val="en-US"/>
              </w:rPr>
            </w:pPr>
            <w:r w:rsidRPr="00A35062">
              <w:rPr>
                <w:lang w:val="en-US"/>
              </w:rPr>
              <w:t>În vederea îndeplinirii obligațiilor prevăzute la articolul 4, angajatorul asigură elaborarea și actualizarea unui document, denumit în continuare „document privind protecția împotriva exploziilor”.</w:t>
            </w:r>
          </w:p>
          <w:p w:rsidR="005A0FE7" w:rsidRPr="00A35062" w:rsidRDefault="005A0FE7" w:rsidP="00A35062">
            <w:pPr>
              <w:ind w:firstLine="144"/>
              <w:rPr>
                <w:lang w:val="en-US"/>
              </w:rPr>
            </w:pPr>
            <w:r w:rsidRPr="00A35062">
              <w:rPr>
                <w:lang w:val="en-US"/>
              </w:rPr>
              <w:t>Documentul privind protecția împotriva exploziilor demonstrează, în special, 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r w:rsidRPr="00A35062">
                    <w:rPr>
                      <w:lang w:val="en-US"/>
                    </w:rPr>
                    <w:t>au fost stabilite și evaluate riscurile de explozie;</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r w:rsidRPr="00A35062">
                    <w:rPr>
                      <w:lang w:val="en-US"/>
                    </w:rPr>
                    <w:t>se vor lua măsuri adecvate pentru îndeplinirea obiectivelor prezentei directive;</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lastRenderedPageBreak/>
                    <w:t>—</w:t>
                  </w:r>
                </w:p>
              </w:tc>
              <w:tc>
                <w:tcPr>
                  <w:tcW w:w="3940" w:type="dxa"/>
                  <w:shd w:val="clear" w:color="auto" w:fill="FFFFFF"/>
                  <w:hideMark/>
                </w:tcPr>
                <w:p w:rsidR="005A0FE7" w:rsidRPr="00A35062" w:rsidRDefault="005A0FE7" w:rsidP="00A35062">
                  <w:pPr>
                    <w:rPr>
                      <w:lang w:val="en-US"/>
                    </w:rPr>
                  </w:pPr>
                  <w:r w:rsidRPr="00A35062">
                    <w:rPr>
                      <w:lang w:val="en-US"/>
                    </w:rPr>
                    <w:t>locurile au fost clasificate pe zone conform anexei I;</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r w:rsidRPr="00A35062">
                    <w:rPr>
                      <w:lang w:val="en-US"/>
                    </w:rPr>
                    <w:t>se vor aplica cerințele minime stabilite în anexa II;</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r w:rsidRPr="00A35062">
                    <w:rPr>
                      <w:lang w:val="en-US"/>
                    </w:rPr>
                    <w:t>locul de muncă și echipamentul de muncă, inclusiv dispozitivele de avertizare, sunt proiectate, realizate și întreținute conform normelor de protecția muncii;</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proofErr w:type="gramStart"/>
                  <w:r w:rsidRPr="00A35062">
                    <w:rPr>
                      <w:lang w:val="en-US"/>
                    </w:rPr>
                    <w:t>s-au</w:t>
                  </w:r>
                  <w:proofErr w:type="gramEnd"/>
                  <w:r w:rsidRPr="00A35062">
                    <w:rPr>
                      <w:lang w:val="en-US"/>
                    </w:rPr>
                    <w:t xml:space="preserve"> luat măsuri pentru utilizarea în condiții de securitate a echipamentului de lucru, în conformitate cu Directiva 89/655/CEE a Consiliului.</w:t>
                  </w:r>
                </w:p>
              </w:tc>
            </w:tr>
          </w:tbl>
          <w:p w:rsidR="005A0FE7" w:rsidRPr="00A35062" w:rsidRDefault="005A0FE7" w:rsidP="00A35062">
            <w:pPr>
              <w:ind w:firstLine="144"/>
              <w:rPr>
                <w:lang w:val="en-US"/>
              </w:rPr>
            </w:pPr>
            <w:r w:rsidRPr="00A35062">
              <w:rPr>
                <w:lang w:val="en-US"/>
              </w:rPr>
              <w:t>Documentul privind protecția împotriva exploziilor este elaborat anterior începerii activității și trebuie actualizat în cazul în care locul de muncă, echipamentul de lucru sau organizarea activității suferă schimbări semnificative, extinderi sau transformări.</w:t>
            </w:r>
          </w:p>
          <w:p w:rsidR="005A0FE7" w:rsidRPr="00A35062" w:rsidRDefault="005A0FE7" w:rsidP="00A35062">
            <w:pPr>
              <w:ind w:firstLine="144"/>
              <w:rPr>
                <w:lang w:val="en-US"/>
              </w:rPr>
            </w:pPr>
            <w:r w:rsidRPr="00A35062">
              <w:rPr>
                <w:lang w:val="en-US"/>
              </w:rPr>
              <w:t>Angajatorul poate combina evaluări ale riscurilor de explozii existente, documente sau alte rapoarte echivalente elaborate în conformitate cu alte acte ale Comunității.</w:t>
            </w:r>
          </w:p>
        </w:tc>
        <w:tc>
          <w:tcPr>
            <w:tcW w:w="3780" w:type="dxa"/>
          </w:tcPr>
          <w:p w:rsidR="005A0FE7" w:rsidRPr="00A35062" w:rsidRDefault="005A0FE7" w:rsidP="00A35062">
            <w:pPr>
              <w:jc w:val="center"/>
              <w:rPr>
                <w:b/>
                <w:lang w:val="en-US"/>
              </w:rPr>
            </w:pPr>
            <w:r w:rsidRPr="00A35062">
              <w:rPr>
                <w:b/>
                <w:lang w:val="en-US"/>
              </w:rPr>
              <w:lastRenderedPageBreak/>
              <w:t>Secțiunea a 6-a</w:t>
            </w:r>
          </w:p>
          <w:p w:rsidR="005A0FE7" w:rsidRPr="00A35062" w:rsidRDefault="005A0FE7" w:rsidP="00A35062">
            <w:pPr>
              <w:jc w:val="center"/>
              <w:rPr>
                <w:b/>
                <w:lang w:val="en-US"/>
              </w:rPr>
            </w:pPr>
            <w:r w:rsidRPr="00A35062">
              <w:rPr>
                <w:b/>
                <w:lang w:val="en-US"/>
              </w:rPr>
              <w:t>Documentul privind protecția împotriva exploziilor</w:t>
            </w:r>
          </w:p>
          <w:p w:rsidR="005A0FE7" w:rsidRPr="00A35062" w:rsidRDefault="005A0FE7" w:rsidP="00A35062">
            <w:pPr>
              <w:jc w:val="center"/>
              <w:rPr>
                <w:lang w:val="en-US"/>
              </w:rPr>
            </w:pPr>
            <w:r w:rsidRPr="00A35062">
              <w:rPr>
                <w:lang w:val="en-US"/>
              </w:rPr>
              <w:t xml:space="preserve"> </w:t>
            </w:r>
          </w:p>
          <w:p w:rsidR="005A0FE7" w:rsidRPr="00A35062" w:rsidRDefault="005A0FE7" w:rsidP="00A35062">
            <w:pPr>
              <w:rPr>
                <w:lang w:val="en-US"/>
              </w:rPr>
            </w:pPr>
            <w:r w:rsidRPr="00A35062">
              <w:rPr>
                <w:b/>
                <w:lang w:val="en-US"/>
              </w:rPr>
              <w:t>12.</w:t>
            </w:r>
            <w:r w:rsidRPr="00A35062">
              <w:rPr>
                <w:lang w:val="en-US"/>
              </w:rPr>
              <w:t xml:space="preserve"> În vederea îndeplinirii obligațiilor prevăzute la Secțiunea a 2-a, angajatorul asigură elaborarea și actualizarea unui document, denumit în continuare ,,Document privind protecția împotriva exploziilor”, ce demonstrează că:</w:t>
            </w:r>
          </w:p>
          <w:p w:rsidR="005A0FE7" w:rsidRPr="00A35062" w:rsidRDefault="005A0FE7" w:rsidP="00A35062">
            <w:pPr>
              <w:pStyle w:val="ListParagraph"/>
              <w:numPr>
                <w:ilvl w:val="0"/>
                <w:numId w:val="2"/>
              </w:numPr>
              <w:ind w:left="360"/>
              <w:rPr>
                <w:lang w:val="en-US"/>
              </w:rPr>
            </w:pPr>
            <w:r w:rsidRPr="00A35062">
              <w:rPr>
                <w:lang w:val="en-US"/>
              </w:rPr>
              <w:t>au fost stabilite și evaluate riscurile explozive;</w:t>
            </w:r>
          </w:p>
          <w:p w:rsidR="005A0FE7" w:rsidRPr="00A35062" w:rsidRDefault="005A0FE7" w:rsidP="00A35062">
            <w:pPr>
              <w:pStyle w:val="ListParagraph"/>
              <w:numPr>
                <w:ilvl w:val="0"/>
                <w:numId w:val="2"/>
              </w:numPr>
              <w:ind w:left="360"/>
              <w:rPr>
                <w:lang w:val="en-US"/>
              </w:rPr>
            </w:pPr>
            <w:r w:rsidRPr="00A35062">
              <w:rPr>
                <w:lang w:val="en-US"/>
              </w:rPr>
              <w:t xml:space="preserve">se vor întreprinde măsuri adecvate pentru îndeplinirea obiectivelor </w:t>
            </w:r>
            <w:r w:rsidRPr="00A35062">
              <w:rPr>
                <w:color w:val="000000" w:themeColor="text1"/>
                <w:lang w:val="en-US"/>
              </w:rPr>
              <w:t>prezentelor Cerințe minime;</w:t>
            </w:r>
          </w:p>
          <w:p w:rsidR="005A0FE7" w:rsidRPr="00A35062" w:rsidRDefault="005A0FE7" w:rsidP="00A35062">
            <w:pPr>
              <w:pStyle w:val="ListParagraph"/>
              <w:numPr>
                <w:ilvl w:val="0"/>
                <w:numId w:val="2"/>
              </w:numPr>
              <w:ind w:left="360"/>
              <w:rPr>
                <w:lang w:val="en-US"/>
              </w:rPr>
            </w:pPr>
            <w:r w:rsidRPr="00A35062">
              <w:rPr>
                <w:lang w:val="en-US"/>
              </w:rPr>
              <w:t>locurile au fost clasificate pe zone, conform Anexei nr.1;</w:t>
            </w:r>
          </w:p>
          <w:p w:rsidR="005A0FE7" w:rsidRPr="00A35062" w:rsidRDefault="005A0FE7" w:rsidP="00A35062">
            <w:pPr>
              <w:pStyle w:val="ListParagraph"/>
              <w:numPr>
                <w:ilvl w:val="0"/>
                <w:numId w:val="2"/>
              </w:numPr>
              <w:ind w:left="360"/>
              <w:rPr>
                <w:lang w:val="en-US"/>
              </w:rPr>
            </w:pPr>
            <w:r w:rsidRPr="00A35062">
              <w:rPr>
                <w:lang w:val="en-US"/>
              </w:rPr>
              <w:lastRenderedPageBreak/>
              <w:t>se vor aplica cerințele minime stabilite în Anexa nr.2;</w:t>
            </w:r>
          </w:p>
          <w:p w:rsidR="005A0FE7" w:rsidRPr="00A35062" w:rsidRDefault="005A0FE7" w:rsidP="00A35062">
            <w:pPr>
              <w:pStyle w:val="ListParagraph"/>
              <w:numPr>
                <w:ilvl w:val="0"/>
                <w:numId w:val="2"/>
              </w:numPr>
              <w:ind w:left="360"/>
              <w:rPr>
                <w:lang w:val="en-US"/>
              </w:rPr>
            </w:pPr>
            <w:r w:rsidRPr="00A35062">
              <w:rPr>
                <w:lang w:val="en-US"/>
              </w:rPr>
              <w:t>locul de muncă și echipamentul de muncă, inclusiv dispozitivele de avertizare, sunt proiectate, realizate și întreținute conform normelor de protecție a  muncii;</w:t>
            </w:r>
          </w:p>
          <w:p w:rsidR="005A0FE7" w:rsidRPr="00A35062" w:rsidRDefault="005A0FE7" w:rsidP="00A35062">
            <w:pPr>
              <w:pStyle w:val="ListParagraph"/>
              <w:numPr>
                <w:ilvl w:val="0"/>
                <w:numId w:val="2"/>
              </w:numPr>
              <w:ind w:left="360"/>
              <w:rPr>
                <w:lang w:val="en-US"/>
              </w:rPr>
            </w:pPr>
            <w:proofErr w:type="gramStart"/>
            <w:r w:rsidRPr="00A35062">
              <w:rPr>
                <w:lang w:val="en-US"/>
              </w:rPr>
              <w:t>s-au</w:t>
            </w:r>
            <w:proofErr w:type="gramEnd"/>
            <w:r w:rsidRPr="00A35062">
              <w:rPr>
                <w:lang w:val="en-US"/>
              </w:rPr>
              <w:t xml:space="preserve"> întreprins măsuri pentru utilizarea în condiții de securitate a echipamentului de muncă în conformitate cu prevederile Hotărârii Guvernului nr.603/2011.</w:t>
            </w:r>
          </w:p>
          <w:p w:rsidR="005A0FE7" w:rsidRPr="00A35062" w:rsidRDefault="005A0FE7" w:rsidP="00A35062">
            <w:pPr>
              <w:ind w:firstLine="144"/>
              <w:rPr>
                <w:color w:val="000000" w:themeColor="text1"/>
                <w:lang w:val="en-US"/>
              </w:rPr>
            </w:pPr>
            <w:r w:rsidRPr="00A35062">
              <w:rPr>
                <w:color w:val="000000" w:themeColor="text1"/>
                <w:lang w:val="en-US"/>
              </w:rPr>
              <w:t xml:space="preserve">Documentul privind protecția împotriva exploziilor este elaborat anterior începerii activității și trebuie actualizat în cazul în care locul de muncă, echipamentul de </w:t>
            </w:r>
            <w:r w:rsidRPr="00A35062">
              <w:rPr>
                <w:lang w:val="en-US"/>
              </w:rPr>
              <w:t>lucru</w:t>
            </w:r>
            <w:r w:rsidRPr="00A35062">
              <w:rPr>
                <w:color w:val="000000" w:themeColor="text1"/>
                <w:lang w:val="en-US"/>
              </w:rPr>
              <w:t xml:space="preserve"> sau organizarea activității suferă schimbări semnificative, extinderi sau transformări.</w:t>
            </w:r>
          </w:p>
          <w:p w:rsidR="005A0FE7" w:rsidRPr="00A35062" w:rsidRDefault="005A0FE7" w:rsidP="00A35062">
            <w:pPr>
              <w:ind w:firstLine="144"/>
              <w:rPr>
                <w:lang w:val="en-US"/>
              </w:rPr>
            </w:pPr>
            <w:r w:rsidRPr="00A35062">
              <w:rPr>
                <w:lang w:val="en-US"/>
              </w:rPr>
              <w:t>Angajatorul poate combina evaluări ale riscurilor de explozii existente, documente sau alte rapoarte echivalente elaborate în conformitate cu alte acte normative.</w:t>
            </w:r>
          </w:p>
        </w:tc>
        <w:tc>
          <w:tcPr>
            <w:tcW w:w="1890" w:type="dxa"/>
          </w:tcPr>
          <w:p w:rsidR="005A0FE7" w:rsidRPr="00102C96" w:rsidRDefault="00473589">
            <w:pPr>
              <w:rPr>
                <w:lang w:val="en-US"/>
              </w:rPr>
            </w:pPr>
            <w:r>
              <w:rPr>
                <w:lang w:val="ro-RO"/>
              </w:rPr>
              <w:lastRenderedPageBreak/>
              <w:t xml:space="preserve">Compatibil </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A35062">
        <w:tc>
          <w:tcPr>
            <w:tcW w:w="3888" w:type="dxa"/>
            <w:gridSpan w:val="2"/>
          </w:tcPr>
          <w:p w:rsidR="005A0FE7" w:rsidRPr="00A35062" w:rsidRDefault="005A0FE7" w:rsidP="00473589">
            <w:pPr>
              <w:pStyle w:val="20"/>
              <w:shd w:val="clear" w:color="auto" w:fill="auto"/>
              <w:spacing w:before="0" w:after="0" w:line="240" w:lineRule="auto"/>
              <w:ind w:firstLine="0"/>
              <w:jc w:val="center"/>
              <w:rPr>
                <w:rStyle w:val="21"/>
                <w:rFonts w:eastAsia="Calibri"/>
                <w:i w:val="0"/>
                <w:sz w:val="24"/>
                <w:szCs w:val="24"/>
              </w:rPr>
            </w:pPr>
            <w:r w:rsidRPr="00A35062">
              <w:rPr>
                <w:rStyle w:val="21"/>
                <w:rFonts w:eastAsia="Calibri"/>
                <w:i w:val="0"/>
                <w:sz w:val="24"/>
                <w:szCs w:val="24"/>
              </w:rPr>
              <w:lastRenderedPageBreak/>
              <w:t>Articolul 9</w:t>
            </w:r>
          </w:p>
          <w:p w:rsidR="005A0FE7" w:rsidRPr="00A35062" w:rsidRDefault="005A0FE7" w:rsidP="00A35062">
            <w:pPr>
              <w:pStyle w:val="20"/>
              <w:shd w:val="clear" w:color="auto" w:fill="auto"/>
              <w:spacing w:before="0" w:after="0" w:line="240" w:lineRule="auto"/>
              <w:ind w:left="142" w:firstLine="0"/>
              <w:jc w:val="center"/>
              <w:rPr>
                <w:rStyle w:val="21"/>
                <w:rFonts w:eastAsia="Calibri"/>
                <w:b/>
                <w:i w:val="0"/>
                <w:sz w:val="24"/>
                <w:szCs w:val="24"/>
              </w:rPr>
            </w:pPr>
            <w:r w:rsidRPr="00A35062">
              <w:rPr>
                <w:rStyle w:val="21"/>
                <w:rFonts w:eastAsia="Calibri"/>
                <w:b/>
                <w:i w:val="0"/>
                <w:sz w:val="24"/>
                <w:szCs w:val="24"/>
              </w:rPr>
              <w:t>Cerințe speciale pentru echipamentul de lucru și locurile de muncă</w:t>
            </w:r>
          </w:p>
          <w:p w:rsidR="005A0FE7" w:rsidRPr="00A35062" w:rsidRDefault="005A0FE7" w:rsidP="00A35062">
            <w:pPr>
              <w:rPr>
                <w:lang w:val="ro-RO"/>
              </w:rPr>
            </w:pPr>
            <w:r w:rsidRPr="00A35062">
              <w:rPr>
                <w:lang w:val="ro-RO"/>
              </w:rPr>
              <w:t xml:space="preserve">(1)   Echipamentul de lucru necesar în locurile unde pot apărea medii explozive, care este deja în folosință </w:t>
            </w:r>
            <w:r w:rsidRPr="00A35062">
              <w:rPr>
                <w:lang w:val="ro-RO"/>
              </w:rPr>
              <w:lastRenderedPageBreak/>
              <w:t>sau este pus la dispoziție în întreprindere sau instituție pentru prima dată înainte de 30 iunie 2003, trebuie să îndeplinească de la acea dată cerințele minime prevăzute în anexa II partea A, dacă nici o altă directivă a Comunității nu poate fi aplicată sau poate fi aplicată doar parțial.</w:t>
            </w:r>
          </w:p>
          <w:p w:rsidR="005A0FE7" w:rsidRPr="00A35062" w:rsidRDefault="005A0FE7" w:rsidP="00A35062">
            <w:pPr>
              <w:rPr>
                <w:lang w:val="ro-RO"/>
              </w:rPr>
            </w:pPr>
            <w:r w:rsidRPr="00A35062">
              <w:rPr>
                <w:lang w:val="ro-RO"/>
              </w:rPr>
              <w:t>(2)   Echipamentul de lucru necesar în locurile unde pot apărea medii explozive care este deja în folosință sau este pus la dispoziție în întreprindere sau instituție pentru prima dată după 30 iunie 2003 trebuie să îndeplinească cerințele minime prevăzute în anexa II părțile A și B.</w:t>
            </w:r>
          </w:p>
          <w:p w:rsidR="005A0FE7" w:rsidRPr="00A35062" w:rsidRDefault="005A0FE7" w:rsidP="00A35062">
            <w:pPr>
              <w:rPr>
                <w:lang w:val="en-US"/>
              </w:rPr>
            </w:pPr>
            <w:r w:rsidRPr="00A35062">
              <w:rPr>
                <w:lang w:val="en-US"/>
              </w:rPr>
              <w:t>(3)   Locurile de muncă unde pot apărea medii explozive și care sunt folosite pentru prima dată după 30 iunie 2003 îndeplinesc cerințele minime prevăzute în prezenta directivă.</w:t>
            </w:r>
          </w:p>
          <w:p w:rsidR="005A0FE7" w:rsidRPr="00A35062" w:rsidRDefault="005A0FE7" w:rsidP="00A35062">
            <w:pPr>
              <w:rPr>
                <w:lang w:val="en-US"/>
              </w:rPr>
            </w:pPr>
            <w:r w:rsidRPr="00A35062">
              <w:rPr>
                <w:lang w:val="en-US"/>
              </w:rPr>
              <w:t>(4)   Locurile de muncă unde pot apărea medii explozive și care sunt deja în folosință înainte de 30 iunie 2003 îndeplinesc cerințele minime prevăzute în prezenta directivă în cel mult trei ani de la data menționată.</w:t>
            </w:r>
          </w:p>
          <w:p w:rsidR="005A0FE7" w:rsidRPr="00A35062" w:rsidRDefault="005A0FE7" w:rsidP="00A35062">
            <w:pPr>
              <w:rPr>
                <w:lang w:val="en-US"/>
              </w:rPr>
            </w:pPr>
            <w:r w:rsidRPr="00A35062">
              <w:rPr>
                <w:lang w:val="en-US"/>
              </w:rPr>
              <w:t>(5)   Dacă, după 30 iunie 2003, se întreprind modificări, extinderi sau lucrări de restructurare în locurile de muncă unde pot apărea medii explozive, angajatorul ia măsurile necesare astfel încât acestea să îndeplinească cerințele minime prevăzute în prezenta directivă.</w:t>
            </w:r>
          </w:p>
        </w:tc>
        <w:tc>
          <w:tcPr>
            <w:tcW w:w="3780" w:type="dxa"/>
          </w:tcPr>
          <w:p w:rsidR="005A0FE7" w:rsidRPr="00A35062" w:rsidRDefault="005A0FE7" w:rsidP="00A35062">
            <w:pPr>
              <w:tabs>
                <w:tab w:val="left" w:pos="553"/>
                <w:tab w:val="center" w:pos="1737"/>
              </w:tabs>
              <w:rPr>
                <w:b/>
                <w:lang w:val="en-US"/>
              </w:rPr>
            </w:pPr>
            <w:r w:rsidRPr="00A35062">
              <w:rPr>
                <w:b/>
                <w:lang w:val="en-US"/>
              </w:rPr>
              <w:lastRenderedPageBreak/>
              <w:tab/>
            </w:r>
            <w:r w:rsidRPr="00A35062">
              <w:rPr>
                <w:b/>
                <w:lang w:val="en-US"/>
              </w:rPr>
              <w:tab/>
              <w:t>Secțiunea a 7-a</w:t>
            </w:r>
          </w:p>
          <w:p w:rsidR="005A0FE7" w:rsidRPr="00A35062" w:rsidRDefault="005A0FE7" w:rsidP="00A35062">
            <w:pPr>
              <w:jc w:val="center"/>
              <w:rPr>
                <w:b/>
                <w:lang w:val="en-US"/>
              </w:rPr>
            </w:pPr>
            <w:r w:rsidRPr="00A35062">
              <w:rPr>
                <w:b/>
                <w:lang w:val="en-US"/>
              </w:rPr>
              <w:t>Cerințe speciale pentru echipamentul de lucru</w:t>
            </w:r>
            <w:r w:rsidRPr="00A35062">
              <w:rPr>
                <w:b/>
                <w:color w:val="FF0000"/>
                <w:lang w:val="en-US"/>
              </w:rPr>
              <w:t xml:space="preserve"> </w:t>
            </w:r>
            <w:r w:rsidRPr="00A35062">
              <w:rPr>
                <w:b/>
                <w:lang w:val="en-US"/>
              </w:rPr>
              <w:t>și locurile de muncă</w:t>
            </w:r>
          </w:p>
          <w:p w:rsidR="005A0FE7" w:rsidRPr="00A35062" w:rsidRDefault="005A0FE7" w:rsidP="00A35062">
            <w:pPr>
              <w:rPr>
                <w:color w:val="000000" w:themeColor="text1"/>
                <w:lang w:val="en-US"/>
              </w:rPr>
            </w:pPr>
            <w:r w:rsidRPr="00A35062">
              <w:rPr>
                <w:b/>
                <w:color w:val="000000" w:themeColor="text1"/>
                <w:lang w:val="en-US"/>
              </w:rPr>
              <w:t>13.</w:t>
            </w:r>
            <w:r w:rsidRPr="00A35062">
              <w:rPr>
                <w:color w:val="000000" w:themeColor="text1"/>
                <w:lang w:val="en-US"/>
              </w:rPr>
              <w:t xml:space="preserve"> E</w:t>
            </w:r>
            <w:r w:rsidRPr="00A35062">
              <w:rPr>
                <w:bCs/>
                <w:shd w:val="clear" w:color="auto" w:fill="FFFFFF"/>
                <w:lang w:val="en-US"/>
              </w:rPr>
              <w:t>chipamentul de lucru</w:t>
            </w:r>
            <w:r w:rsidRPr="00A35062">
              <w:rPr>
                <w:bCs/>
                <w:color w:val="FF0000"/>
                <w:shd w:val="clear" w:color="auto" w:fill="FFFFFF"/>
                <w:lang w:val="en-US"/>
              </w:rPr>
              <w:t xml:space="preserve"> </w:t>
            </w:r>
            <w:r w:rsidRPr="00A35062">
              <w:rPr>
                <w:bCs/>
                <w:shd w:val="clear" w:color="auto" w:fill="FFFFFF"/>
                <w:lang w:val="en-US"/>
              </w:rPr>
              <w:t xml:space="preserve">necesar în locurile unde pot apărea medii explozive, care este deja în folosință </w:t>
            </w:r>
            <w:r w:rsidRPr="00A35062">
              <w:rPr>
                <w:bCs/>
                <w:shd w:val="clear" w:color="auto" w:fill="FFFFFF"/>
                <w:lang w:val="en-US"/>
              </w:rPr>
              <w:lastRenderedPageBreak/>
              <w:t xml:space="preserve">sau este pus la dispoziție în întreprindere sau instituție pentru prima dată înainte de intrarea în vigoare a prezentelor Cerințe minime, </w:t>
            </w:r>
            <w:r w:rsidRPr="00A35062">
              <w:rPr>
                <w:bCs/>
                <w:color w:val="000000" w:themeColor="text1"/>
                <w:shd w:val="clear" w:color="auto" w:fill="FFFFFF"/>
                <w:lang w:val="en-US"/>
              </w:rPr>
              <w:t>trebuie să îndeplinească de la acea dată</w:t>
            </w:r>
            <w:r w:rsidRPr="00A35062">
              <w:rPr>
                <w:bCs/>
                <w:shd w:val="clear" w:color="auto" w:fill="FFFFFF"/>
                <w:lang w:val="en-US"/>
              </w:rPr>
              <w:t xml:space="preserve"> cerințele minime prevăzute în Anexa nr.2 </w:t>
            </w:r>
            <w:r w:rsidRPr="00A35062">
              <w:rPr>
                <w:bCs/>
                <w:color w:val="000000" w:themeColor="text1"/>
                <w:shd w:val="clear" w:color="auto" w:fill="FFFFFF"/>
                <w:lang w:val="en-US"/>
              </w:rPr>
              <w:t>partea I,</w:t>
            </w:r>
            <w:r w:rsidRPr="00A35062">
              <w:rPr>
                <w:bCs/>
                <w:shd w:val="clear" w:color="auto" w:fill="FFFFFF"/>
                <w:lang w:val="en-US"/>
              </w:rPr>
              <w:t xml:space="preserve"> dacă nici un alt act normativ nu poate fi aplicat sau poate fi aplicat doar parțial.</w:t>
            </w:r>
          </w:p>
          <w:p w:rsidR="005A0FE7" w:rsidRPr="00A35062" w:rsidRDefault="005A0FE7" w:rsidP="00A35062">
            <w:pPr>
              <w:jc w:val="both"/>
              <w:rPr>
                <w:lang w:val="en-US"/>
              </w:rPr>
            </w:pPr>
            <w:r w:rsidRPr="00A35062">
              <w:rPr>
                <w:b/>
                <w:lang w:val="en-US"/>
              </w:rPr>
              <w:t>14.</w:t>
            </w:r>
            <w:r w:rsidRPr="00A35062">
              <w:rPr>
                <w:lang w:val="en-US"/>
              </w:rPr>
              <w:t xml:space="preserve"> </w:t>
            </w:r>
            <w:r w:rsidRPr="00A35062">
              <w:rPr>
                <w:color w:val="000000" w:themeColor="text1"/>
                <w:lang w:val="en-US"/>
              </w:rPr>
              <w:t>E</w:t>
            </w:r>
            <w:r w:rsidRPr="00A35062">
              <w:rPr>
                <w:bCs/>
                <w:shd w:val="clear" w:color="auto" w:fill="FFFFFF"/>
                <w:lang w:val="en-US"/>
              </w:rPr>
              <w:t xml:space="preserve">chipamentul de lucru necesar în locurile unde pot apărea medii explozive care este în folosință sau este pus la dispoziție în unitate pentru prima dată după </w:t>
            </w:r>
            <w:r w:rsidRPr="00A35062">
              <w:rPr>
                <w:lang w:val="en-US"/>
              </w:rPr>
              <w:t>intrarea în vigoare a prezentelor Cerințe minime, trebuie să îndeplinească cerințele minime prevăzute în Anexa nr.2 partea I și II.</w:t>
            </w:r>
          </w:p>
          <w:p w:rsidR="005A0FE7" w:rsidRPr="00A35062" w:rsidRDefault="005A0FE7" w:rsidP="00A35062">
            <w:pPr>
              <w:jc w:val="both"/>
              <w:rPr>
                <w:lang w:val="en-US"/>
              </w:rPr>
            </w:pPr>
            <w:r w:rsidRPr="00A35062">
              <w:rPr>
                <w:b/>
                <w:lang w:val="en-US"/>
              </w:rPr>
              <w:t>15.</w:t>
            </w:r>
            <w:r w:rsidRPr="00A35062">
              <w:rPr>
                <w:lang w:val="en-US"/>
              </w:rPr>
              <w:t xml:space="preserve"> L</w:t>
            </w:r>
            <w:r w:rsidRPr="00A35062">
              <w:rPr>
                <w:bCs/>
                <w:shd w:val="clear" w:color="auto" w:fill="FFFFFF"/>
                <w:lang w:val="en-US"/>
              </w:rPr>
              <w:t>ocurile unde pot apărea medii explozive și care sunt folosite pentru prima data după intrarea în vigoare a prezentelor Cerințe minime, îndeplinesc prezentele Cerințe minime.</w:t>
            </w:r>
          </w:p>
          <w:p w:rsidR="005A0FE7" w:rsidRPr="00A35062" w:rsidRDefault="005A0FE7" w:rsidP="00A35062">
            <w:pPr>
              <w:rPr>
                <w:lang w:val="en-US"/>
              </w:rPr>
            </w:pPr>
            <w:r w:rsidRPr="00A35062">
              <w:rPr>
                <w:b/>
                <w:lang w:val="en-US"/>
              </w:rPr>
              <w:t>16.</w:t>
            </w:r>
            <w:r w:rsidRPr="00A35062">
              <w:rPr>
                <w:lang w:val="en-US"/>
              </w:rPr>
              <w:t xml:space="preserve"> L</w:t>
            </w:r>
            <w:r w:rsidRPr="00A35062">
              <w:rPr>
                <w:bCs/>
                <w:shd w:val="clear" w:color="auto" w:fill="FFFFFF"/>
                <w:lang w:val="en-US"/>
              </w:rPr>
              <w:t xml:space="preserve">ocurile unde pot apărea medii explozive și care sunt deja în folosință înainte de intrarea în vigoare a prezentelor Cerințe minime, îndeplinesc prezentele Cerințe minime în cel mult 3 ani </w:t>
            </w:r>
            <w:r w:rsidRPr="00A35062">
              <w:rPr>
                <w:bCs/>
                <w:color w:val="000000" w:themeColor="text1"/>
                <w:shd w:val="clear" w:color="auto" w:fill="FFFFFF"/>
                <w:lang w:val="en-US"/>
              </w:rPr>
              <w:t>de la data intrării în vigoare.</w:t>
            </w:r>
          </w:p>
          <w:p w:rsidR="005A0FE7" w:rsidRPr="00A35062" w:rsidRDefault="005A0FE7" w:rsidP="00A35062">
            <w:pPr>
              <w:rPr>
                <w:b/>
                <w:lang w:val="en-US"/>
              </w:rPr>
            </w:pPr>
            <w:r w:rsidRPr="00A35062">
              <w:rPr>
                <w:b/>
                <w:bCs/>
                <w:shd w:val="clear" w:color="auto" w:fill="FFFFFF"/>
                <w:lang w:val="en-US"/>
              </w:rPr>
              <w:t xml:space="preserve">17. </w:t>
            </w:r>
            <w:r w:rsidRPr="00A35062">
              <w:rPr>
                <w:bCs/>
                <w:shd w:val="clear" w:color="auto" w:fill="FFFFFF"/>
                <w:lang w:val="en-US"/>
              </w:rPr>
              <w:t xml:space="preserve">Dacă, după intrarea în vigoare a prezentelor Cerințe minime, se întreprind modificări, extinderi sau lucrări de restructurare în locurile de muncă unde pot apărea medii </w:t>
            </w:r>
            <w:r w:rsidRPr="00A35062">
              <w:rPr>
                <w:bCs/>
                <w:shd w:val="clear" w:color="auto" w:fill="FFFFFF"/>
                <w:lang w:val="en-US"/>
              </w:rPr>
              <w:lastRenderedPageBreak/>
              <w:t>explozive, angajatorul i-a măsurile necesare astfel încât acestea să îndeplinească prezentele Cerințe minime.</w:t>
            </w:r>
          </w:p>
        </w:tc>
        <w:tc>
          <w:tcPr>
            <w:tcW w:w="1890" w:type="dxa"/>
          </w:tcPr>
          <w:p w:rsidR="005A0FE7" w:rsidRPr="00102C96" w:rsidRDefault="00473589">
            <w:pPr>
              <w:rPr>
                <w:lang w:val="en-US"/>
              </w:rPr>
            </w:pPr>
            <w:r>
              <w:rPr>
                <w:lang w:val="ro-RO"/>
              </w:rPr>
              <w:lastRenderedPageBreak/>
              <w:t>Compatibil</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A35062">
        <w:tc>
          <w:tcPr>
            <w:tcW w:w="3888" w:type="dxa"/>
            <w:gridSpan w:val="2"/>
          </w:tcPr>
          <w:p w:rsidR="005A0FE7" w:rsidRPr="00A35062" w:rsidRDefault="005A0FE7" w:rsidP="00A35062">
            <w:pPr>
              <w:jc w:val="center"/>
              <w:rPr>
                <w:lang w:val="en-US"/>
              </w:rPr>
            </w:pPr>
            <w:r w:rsidRPr="00A35062">
              <w:rPr>
                <w:lang w:val="en-US"/>
              </w:rPr>
              <w:lastRenderedPageBreak/>
              <w:t>SECȚIUNEA III</w:t>
            </w:r>
          </w:p>
          <w:p w:rsidR="005A0FE7" w:rsidRPr="00A35062" w:rsidRDefault="005A0FE7" w:rsidP="00A35062">
            <w:pPr>
              <w:jc w:val="center"/>
              <w:rPr>
                <w:lang w:val="en-US"/>
              </w:rPr>
            </w:pPr>
            <w:r w:rsidRPr="00A35062">
              <w:rPr>
                <w:lang w:val="en-US"/>
              </w:rPr>
              <w:t>DISPOZIȚII DIVERSE</w:t>
            </w:r>
          </w:p>
          <w:p w:rsidR="005A0FE7" w:rsidRPr="00A35062" w:rsidRDefault="005A0FE7" w:rsidP="00A35062">
            <w:pPr>
              <w:jc w:val="center"/>
              <w:rPr>
                <w:lang w:val="en-US"/>
              </w:rPr>
            </w:pPr>
            <w:r w:rsidRPr="00A35062">
              <w:rPr>
                <w:lang w:val="en-US"/>
              </w:rPr>
              <w:t>Articolul 10</w:t>
            </w:r>
          </w:p>
          <w:p w:rsidR="005A0FE7" w:rsidRPr="00A35062" w:rsidRDefault="005A0FE7" w:rsidP="00A35062">
            <w:pPr>
              <w:pStyle w:val="title-annex-1"/>
              <w:shd w:val="clear" w:color="auto" w:fill="FFFFFF"/>
              <w:spacing w:before="0" w:beforeAutospacing="0" w:after="0" w:afterAutospacing="0"/>
              <w:jc w:val="center"/>
              <w:rPr>
                <w:b/>
                <w:iCs/>
              </w:rPr>
            </w:pPr>
            <w:r w:rsidRPr="00A35062">
              <w:rPr>
                <w:b/>
                <w:iCs/>
              </w:rPr>
              <w:t xml:space="preserve">Adaptări ale anexelor </w:t>
            </w:r>
          </w:p>
          <w:p w:rsidR="005A0FE7" w:rsidRPr="00A35062" w:rsidRDefault="005A0FE7" w:rsidP="00A35062">
            <w:pPr>
              <w:ind w:firstLine="144"/>
              <w:rPr>
                <w:lang w:val="en-US"/>
              </w:rPr>
            </w:pPr>
            <w:r w:rsidRPr="00A35062">
              <w:rPr>
                <w:lang w:val="en-US"/>
              </w:rPr>
              <w:t>Se adoptă adaptări de natură pur tehnică ale anexelor, impuse de: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r w:rsidRPr="00A35062">
                    <w:rPr>
                      <w:lang w:val="en-US"/>
                    </w:rPr>
                    <w:t xml:space="preserve"> adoptarea directivelor privind armonizarea tehnică și standardizarea în domeniul protecției împotriva exploziilor</w:t>
                  </w:r>
                  <w:r w:rsidRPr="00A35062">
                    <w:rPr>
                      <w:lang w:val="ro-RO"/>
                    </w:rPr>
                    <w:t xml:space="preserve"> </w:t>
                  </w:r>
                  <w:r w:rsidRPr="00A35062">
                    <w:rPr>
                      <w:lang w:val="en-US"/>
                    </w:rPr>
                    <w:t>și/sau</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r w:rsidRPr="00A35062">
                    <w:rPr>
                      <w:lang w:val="ro-RO"/>
                    </w:rPr>
                    <w:t xml:space="preserve"> </w:t>
                  </w:r>
                  <w:r w:rsidRPr="00A35062">
                    <w:rPr>
                      <w:lang w:val="en-US"/>
                    </w:rPr>
                    <w:t>progresul tehnic, modificările regulamentelor sau specificațiilor internaționale și progresele în domeniul prevenirii și protecției împotriva exploziilor,</w:t>
                  </w:r>
                </w:p>
              </w:tc>
            </w:tr>
          </w:tbl>
          <w:p w:rsidR="005A0FE7" w:rsidRPr="00A35062" w:rsidRDefault="005A0FE7" w:rsidP="00A35062">
            <w:pPr>
              <w:rPr>
                <w:lang w:val="en-US"/>
              </w:rPr>
            </w:pPr>
            <w:proofErr w:type="gramStart"/>
            <w:r w:rsidRPr="00A35062">
              <w:rPr>
                <w:lang w:val="en-US"/>
              </w:rPr>
              <w:t>în</w:t>
            </w:r>
            <w:proofErr w:type="gramEnd"/>
            <w:r w:rsidRPr="00A35062">
              <w:rPr>
                <w:lang w:val="en-US"/>
              </w:rPr>
              <w:t xml:space="preserve"> conformitate cu procedura prevăzută la articolul 17 din Directiva 89/391/CEE.</w:t>
            </w:r>
          </w:p>
        </w:tc>
        <w:tc>
          <w:tcPr>
            <w:tcW w:w="3780" w:type="dxa"/>
          </w:tcPr>
          <w:p w:rsidR="005A0FE7" w:rsidRPr="00A35062" w:rsidRDefault="005A0FE7" w:rsidP="00A35062">
            <w:pPr>
              <w:jc w:val="center"/>
              <w:rPr>
                <w:b/>
                <w:lang w:val="en-US"/>
              </w:rPr>
            </w:pPr>
          </w:p>
        </w:tc>
        <w:tc>
          <w:tcPr>
            <w:tcW w:w="1890" w:type="dxa"/>
          </w:tcPr>
          <w:p w:rsidR="005A0FE7" w:rsidRPr="00102C96" w:rsidRDefault="00D8531C" w:rsidP="00ED456A">
            <w:pPr>
              <w:rPr>
                <w:lang w:val="en-US"/>
              </w:rPr>
            </w:pPr>
            <w:r w:rsidRPr="00ED456A">
              <w:rPr>
                <w:lang w:val="en-US"/>
              </w:rPr>
              <w:t>Preveder</w:t>
            </w:r>
            <w:r w:rsidR="00ED456A">
              <w:rPr>
                <w:lang w:val="en-US"/>
              </w:rPr>
              <w:t>i</w:t>
            </w:r>
            <w:r w:rsidRPr="00ED456A">
              <w:rPr>
                <w:lang w:val="en-US"/>
              </w:rPr>
              <w:t xml:space="preserve"> UE neaplicabil</w:t>
            </w:r>
            <w:r w:rsidR="00ED456A">
              <w:rPr>
                <w:lang w:val="en-US"/>
              </w:rPr>
              <w:t>e</w:t>
            </w:r>
            <w:r w:rsidRPr="00ED456A">
              <w:rPr>
                <w:lang w:val="en-US"/>
              </w:rPr>
              <w:t xml:space="preserve"> </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RPr="00ED456A" w:rsidTr="00A35062">
        <w:tc>
          <w:tcPr>
            <w:tcW w:w="3888" w:type="dxa"/>
            <w:gridSpan w:val="2"/>
          </w:tcPr>
          <w:p w:rsidR="005A0FE7" w:rsidRPr="00A35062" w:rsidRDefault="005A0FE7" w:rsidP="00A35062">
            <w:pPr>
              <w:jc w:val="center"/>
              <w:rPr>
                <w:lang w:val="en-US"/>
              </w:rPr>
            </w:pPr>
            <w:r w:rsidRPr="00A35062">
              <w:rPr>
                <w:lang w:val="en-US"/>
              </w:rPr>
              <w:t>Articolul 11</w:t>
            </w:r>
          </w:p>
          <w:p w:rsidR="005A0FE7" w:rsidRPr="00A35062" w:rsidRDefault="005A0FE7" w:rsidP="00A35062">
            <w:pPr>
              <w:pStyle w:val="title-annex-1"/>
              <w:shd w:val="clear" w:color="auto" w:fill="FFFFFF"/>
              <w:spacing w:before="0" w:beforeAutospacing="0" w:after="0" w:afterAutospacing="0"/>
              <w:jc w:val="center"/>
              <w:rPr>
                <w:b/>
                <w:iCs/>
              </w:rPr>
            </w:pPr>
            <w:r w:rsidRPr="00A35062">
              <w:rPr>
                <w:b/>
                <w:iCs/>
              </w:rPr>
              <w:t>Ghidul de bune practice</w:t>
            </w:r>
          </w:p>
          <w:p w:rsidR="005A0FE7" w:rsidRPr="00A35062" w:rsidRDefault="005A0FE7" w:rsidP="00A35062">
            <w:pPr>
              <w:ind w:firstLine="144"/>
              <w:rPr>
                <w:lang w:val="en-US"/>
              </w:rPr>
            </w:pPr>
            <w:r w:rsidRPr="00A35062">
              <w:rPr>
                <w:lang w:val="en-US"/>
              </w:rPr>
              <w:t>Comisia elaborează linii directoare într-un ghid de bune practici, care nu este de natură coercitivă. Acest ghid se referă la temele menționate la articolele 3-8, anexa I și anexa II partea A.</w:t>
            </w:r>
          </w:p>
          <w:p w:rsidR="005A0FE7" w:rsidRPr="00A35062" w:rsidRDefault="005A0FE7" w:rsidP="00A35062">
            <w:pPr>
              <w:ind w:firstLine="144"/>
              <w:rPr>
                <w:lang w:val="en-US"/>
              </w:rPr>
            </w:pPr>
            <w:r w:rsidRPr="00A35062">
              <w:rPr>
                <w:lang w:val="en-US"/>
              </w:rPr>
              <w:t>Comisia consultă în primul rând Comitetul consultativ pentru securitate, igienă și protecția sănătății la locul de muncă, în conformitate cu Decizia 74/325/CEE</w:t>
            </w:r>
            <w:hyperlink r:id="rId11" w:anchor="ntr11-L_2000023RO.01005701-E0011" w:history="1"/>
            <w:r w:rsidRPr="00A35062">
              <w:rPr>
                <w:lang w:val="en-US"/>
              </w:rPr>
              <w:t> a Consiliului.</w:t>
            </w:r>
          </w:p>
          <w:p w:rsidR="005A0FE7" w:rsidRPr="00A35062" w:rsidRDefault="005A0FE7" w:rsidP="00A35062">
            <w:pPr>
              <w:ind w:firstLine="144"/>
              <w:rPr>
                <w:lang w:val="en-US"/>
              </w:rPr>
            </w:pPr>
            <w:r w:rsidRPr="00A35062">
              <w:rPr>
                <w:lang w:val="en-US"/>
              </w:rPr>
              <w:lastRenderedPageBreak/>
              <w:t>În contextul aplicării prezentei directive, statele membre țin seama în cea mai mare măsură de acest ghid la elaborarea politicilor lor naționale pentru protecția sănătății și a securității lucrătorilor.</w:t>
            </w:r>
          </w:p>
        </w:tc>
        <w:tc>
          <w:tcPr>
            <w:tcW w:w="3780" w:type="dxa"/>
          </w:tcPr>
          <w:p w:rsidR="005A0FE7" w:rsidRPr="00A35062" w:rsidRDefault="005A0FE7" w:rsidP="00A35062">
            <w:pPr>
              <w:jc w:val="center"/>
              <w:rPr>
                <w:b/>
                <w:lang w:val="en-US"/>
              </w:rPr>
            </w:pPr>
          </w:p>
        </w:tc>
        <w:tc>
          <w:tcPr>
            <w:tcW w:w="1890" w:type="dxa"/>
          </w:tcPr>
          <w:p w:rsidR="005A0FE7" w:rsidRPr="00102C96" w:rsidRDefault="005A0FE7">
            <w:pPr>
              <w:rPr>
                <w:lang w:val="en-US"/>
              </w:rPr>
            </w:pP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A35062">
        <w:tc>
          <w:tcPr>
            <w:tcW w:w="3888" w:type="dxa"/>
            <w:gridSpan w:val="2"/>
          </w:tcPr>
          <w:p w:rsidR="005A0FE7" w:rsidRPr="00A35062" w:rsidRDefault="005A0FE7" w:rsidP="00A35062">
            <w:pPr>
              <w:jc w:val="center"/>
              <w:rPr>
                <w:lang w:val="en-US"/>
              </w:rPr>
            </w:pPr>
            <w:r w:rsidRPr="00A35062">
              <w:rPr>
                <w:lang w:val="en-US"/>
              </w:rPr>
              <w:lastRenderedPageBreak/>
              <w:t>Articolul 12</w:t>
            </w:r>
          </w:p>
          <w:p w:rsidR="005A0FE7" w:rsidRPr="00A35062" w:rsidRDefault="005A0FE7" w:rsidP="00A35062">
            <w:pPr>
              <w:jc w:val="center"/>
              <w:rPr>
                <w:b/>
                <w:lang w:val="en-US"/>
              </w:rPr>
            </w:pPr>
            <w:r w:rsidRPr="00A35062">
              <w:rPr>
                <w:b/>
                <w:lang w:val="en-US"/>
              </w:rPr>
              <w:t>Informații pentru întreprinderi</w:t>
            </w:r>
          </w:p>
          <w:p w:rsidR="005A0FE7" w:rsidRPr="00A35062" w:rsidRDefault="005A0FE7" w:rsidP="00ED456A">
            <w:pPr>
              <w:ind w:firstLine="144"/>
              <w:rPr>
                <w:lang w:val="en-US"/>
              </w:rPr>
            </w:pPr>
            <w:r w:rsidRPr="00A35062">
              <w:rPr>
                <w:lang w:val="en-US"/>
              </w:rPr>
              <w:t xml:space="preserve">Statele membre depun eforturi, la cerere, pentru a pune la dispoziția angajatorilor informații relevante, în conformitate cu articolul 11, cu referiri speciale la ghidul de bune practici. </w:t>
            </w:r>
          </w:p>
        </w:tc>
        <w:tc>
          <w:tcPr>
            <w:tcW w:w="3780" w:type="dxa"/>
          </w:tcPr>
          <w:p w:rsidR="005A0FE7" w:rsidRPr="00A35062" w:rsidRDefault="005A0FE7" w:rsidP="00A35062">
            <w:pPr>
              <w:jc w:val="center"/>
              <w:rPr>
                <w:b/>
                <w:lang w:val="en-US"/>
              </w:rPr>
            </w:pPr>
          </w:p>
        </w:tc>
        <w:tc>
          <w:tcPr>
            <w:tcW w:w="1890" w:type="dxa"/>
          </w:tcPr>
          <w:p w:rsidR="005A0FE7" w:rsidRPr="00102C96" w:rsidRDefault="005A0FE7">
            <w:pPr>
              <w:rPr>
                <w:lang w:val="en-US"/>
              </w:rPr>
            </w:pP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CA641D">
        <w:trPr>
          <w:trHeight w:val="2870"/>
        </w:trPr>
        <w:tc>
          <w:tcPr>
            <w:tcW w:w="3888" w:type="dxa"/>
            <w:gridSpan w:val="2"/>
          </w:tcPr>
          <w:p w:rsidR="005A0FE7" w:rsidRPr="00A35062" w:rsidRDefault="005A0FE7" w:rsidP="00A35062">
            <w:pPr>
              <w:ind w:firstLine="144"/>
              <w:jc w:val="center"/>
              <w:rPr>
                <w:lang w:val="en-US"/>
              </w:rPr>
            </w:pPr>
            <w:r w:rsidRPr="00A35062">
              <w:rPr>
                <w:lang w:val="en-US"/>
              </w:rPr>
              <w:t>Articolul 13</w:t>
            </w:r>
          </w:p>
          <w:p w:rsidR="005A0FE7" w:rsidRPr="00A35062" w:rsidRDefault="005A0FE7" w:rsidP="00A35062">
            <w:pPr>
              <w:ind w:firstLine="144"/>
              <w:jc w:val="center"/>
              <w:rPr>
                <w:b/>
                <w:lang w:val="en-US"/>
              </w:rPr>
            </w:pPr>
            <w:r w:rsidRPr="00A35062">
              <w:rPr>
                <w:b/>
                <w:lang w:val="en-US"/>
              </w:rPr>
              <w:t>Dispoziții finale</w:t>
            </w:r>
          </w:p>
          <w:p w:rsidR="005A0FE7" w:rsidRPr="00A35062" w:rsidRDefault="005A0FE7" w:rsidP="00A35062">
            <w:pPr>
              <w:rPr>
                <w:lang w:val="en-US"/>
              </w:rPr>
            </w:pPr>
            <w:r w:rsidRPr="00A35062">
              <w:rPr>
                <w:lang w:val="en-US"/>
              </w:rPr>
              <w:t>(1)   Statele membre adoptă și pun în aplicare actele cu putere de lege și actele administrative necesare aducerii la îndeplinire a prezentei directive până la data de 30 iunie 2003. Statele membre informează de îndată Comisia în acest sens.</w:t>
            </w:r>
          </w:p>
          <w:p w:rsidR="005A0FE7" w:rsidRPr="00A35062" w:rsidRDefault="005A0FE7" w:rsidP="00A35062">
            <w:pPr>
              <w:ind w:firstLine="144"/>
              <w:rPr>
                <w:lang w:val="en-US"/>
              </w:rPr>
            </w:pPr>
            <w:r w:rsidRPr="00A35062">
              <w:rPr>
                <w:lang w:val="en-US"/>
              </w:rPr>
              <w:t xml:space="preserve">Atunci când statele membre adoptă aceste dispoziții, ele conțin o trimitere la prezenta directivă sau sunt însoțite de o asemenea trimitere la data publicării lor oficiale. Statele membre stabilesc modalitatea de efectuare </w:t>
            </w:r>
            <w:proofErr w:type="gramStart"/>
            <w:r w:rsidRPr="00A35062">
              <w:rPr>
                <w:lang w:val="en-US"/>
              </w:rPr>
              <w:t>a</w:t>
            </w:r>
            <w:proofErr w:type="gramEnd"/>
            <w:r w:rsidRPr="00A35062">
              <w:rPr>
                <w:lang w:val="en-US"/>
              </w:rPr>
              <w:t xml:space="preserve"> acestei trimiteri.</w:t>
            </w:r>
          </w:p>
          <w:p w:rsidR="005A0FE7" w:rsidRPr="00A35062" w:rsidRDefault="005A0FE7" w:rsidP="00A35062">
            <w:pPr>
              <w:rPr>
                <w:lang w:val="en-US"/>
              </w:rPr>
            </w:pPr>
            <w:r w:rsidRPr="00A35062">
              <w:rPr>
                <w:lang w:val="en-US"/>
              </w:rPr>
              <w:t>(2)   Comisiei îi sunt comunicate de statele membre textele dispozițiilor de drept intern deja adoptate sau în curs de adoptare în domeniul reglementat de prezenta directivă.</w:t>
            </w:r>
          </w:p>
          <w:p w:rsidR="005A0FE7" w:rsidRPr="00CA641D" w:rsidRDefault="005A0FE7" w:rsidP="00A35062">
            <w:pPr>
              <w:rPr>
                <w:lang w:val="en-US"/>
              </w:rPr>
            </w:pPr>
            <w:r w:rsidRPr="00A35062">
              <w:rPr>
                <w:lang w:val="en-US"/>
              </w:rPr>
              <w:t xml:space="preserve">(3)   Statele membre raportează Comisiei din cinci în cinci ani în </w:t>
            </w:r>
            <w:r w:rsidRPr="00A35062">
              <w:rPr>
                <w:lang w:val="en-US"/>
              </w:rPr>
              <w:lastRenderedPageBreak/>
              <w:t>legătură cu punerea în practică a dispozițiilor prezentei directive, indicând punctele de vedere ale angajatorilor și ale lucrătorilor. Comisia informează Parlamentul European, Consiliul, Comitetul Economic și Social și Comitetul consultativ pentru securitate, igienă și protecția sănătății la locul de muncă în această privință.</w:t>
            </w:r>
          </w:p>
        </w:tc>
        <w:tc>
          <w:tcPr>
            <w:tcW w:w="3780" w:type="dxa"/>
          </w:tcPr>
          <w:p w:rsidR="005A0FE7" w:rsidRPr="00A35062" w:rsidRDefault="005A0FE7" w:rsidP="00A35062">
            <w:pPr>
              <w:jc w:val="center"/>
              <w:rPr>
                <w:b/>
                <w:lang w:val="en-US"/>
              </w:rPr>
            </w:pPr>
          </w:p>
        </w:tc>
        <w:tc>
          <w:tcPr>
            <w:tcW w:w="1890" w:type="dxa"/>
          </w:tcPr>
          <w:p w:rsidR="005A0FE7" w:rsidRPr="00102C96" w:rsidRDefault="00CA641D">
            <w:pPr>
              <w:rPr>
                <w:lang w:val="en-US"/>
              </w:rPr>
            </w:pPr>
            <w:r>
              <w:rPr>
                <w:lang w:val="en-US"/>
              </w:rPr>
              <w:t xml:space="preserve">Prevederi UE neaplicabile </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CA641D">
        <w:trPr>
          <w:trHeight w:val="1430"/>
        </w:trPr>
        <w:tc>
          <w:tcPr>
            <w:tcW w:w="3888" w:type="dxa"/>
            <w:gridSpan w:val="2"/>
          </w:tcPr>
          <w:p w:rsidR="005A0FE7" w:rsidRPr="00A35062" w:rsidRDefault="005A0FE7" w:rsidP="00A35062">
            <w:pPr>
              <w:jc w:val="center"/>
              <w:rPr>
                <w:lang w:val="en-US"/>
              </w:rPr>
            </w:pPr>
            <w:r w:rsidRPr="00A35062">
              <w:rPr>
                <w:lang w:val="en-US"/>
              </w:rPr>
              <w:lastRenderedPageBreak/>
              <w:t>Articolul 14</w:t>
            </w:r>
          </w:p>
          <w:p w:rsidR="005A0FE7" w:rsidRPr="00A35062" w:rsidRDefault="005A0FE7" w:rsidP="00A35062">
            <w:pPr>
              <w:ind w:firstLine="144"/>
              <w:rPr>
                <w:lang w:val="en-US"/>
              </w:rPr>
            </w:pPr>
            <w:r w:rsidRPr="00A35062">
              <w:rPr>
                <w:lang w:val="en-US"/>
              </w:rPr>
              <w:t>Prezenta directivă intră în vigoare la data publicării sale în </w:t>
            </w:r>
            <w:r w:rsidRPr="00A35062">
              <w:rPr>
                <w:rFonts w:eastAsia="Calibri"/>
                <w:lang w:val="en-US"/>
              </w:rPr>
              <w:t>Jurnalul Oficial al Comunităților Europene</w:t>
            </w:r>
            <w:r w:rsidRPr="00A35062">
              <w:rPr>
                <w:lang w:val="en-US"/>
              </w:rPr>
              <w:t xml:space="preserve">. </w:t>
            </w:r>
          </w:p>
          <w:p w:rsidR="005A0FE7" w:rsidRPr="00A35062" w:rsidRDefault="005A0FE7" w:rsidP="00A35062">
            <w:pPr>
              <w:jc w:val="both"/>
              <w:rPr>
                <w:lang w:val="en-US"/>
              </w:rPr>
            </w:pPr>
            <w:r w:rsidRPr="00A35062">
              <w:rPr>
                <w:lang w:val="en-US"/>
              </w:rPr>
              <w:t xml:space="preserve">Neaplicabile </w:t>
            </w:r>
          </w:p>
        </w:tc>
        <w:tc>
          <w:tcPr>
            <w:tcW w:w="3780" w:type="dxa"/>
          </w:tcPr>
          <w:p w:rsidR="005A0FE7" w:rsidRPr="00A35062" w:rsidRDefault="005A0FE7" w:rsidP="00A35062">
            <w:pPr>
              <w:jc w:val="center"/>
              <w:rPr>
                <w:b/>
                <w:lang w:val="en-US"/>
              </w:rPr>
            </w:pPr>
          </w:p>
        </w:tc>
        <w:tc>
          <w:tcPr>
            <w:tcW w:w="1890" w:type="dxa"/>
          </w:tcPr>
          <w:p w:rsidR="005A0FE7" w:rsidRPr="00102C96" w:rsidRDefault="00CA641D">
            <w:pPr>
              <w:rPr>
                <w:lang w:val="en-US"/>
              </w:rPr>
            </w:pPr>
            <w:r>
              <w:rPr>
                <w:lang w:val="en-US"/>
              </w:rPr>
              <w:t>Prevederi UE neaplicabile</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CA641D">
        <w:trPr>
          <w:trHeight w:val="890"/>
        </w:trPr>
        <w:tc>
          <w:tcPr>
            <w:tcW w:w="3888" w:type="dxa"/>
            <w:gridSpan w:val="2"/>
          </w:tcPr>
          <w:p w:rsidR="005A0FE7" w:rsidRPr="00A35062" w:rsidRDefault="005A0FE7" w:rsidP="00A35062">
            <w:pPr>
              <w:jc w:val="center"/>
              <w:rPr>
                <w:lang w:val="en-US"/>
              </w:rPr>
            </w:pPr>
            <w:r w:rsidRPr="00A35062">
              <w:rPr>
                <w:lang w:val="en-US"/>
              </w:rPr>
              <w:t>Articolul 15</w:t>
            </w:r>
          </w:p>
          <w:p w:rsidR="005A0FE7" w:rsidRPr="00A35062" w:rsidRDefault="005A0FE7" w:rsidP="00CA641D">
            <w:pPr>
              <w:ind w:firstLine="144"/>
              <w:rPr>
                <w:lang w:val="en-US"/>
              </w:rPr>
            </w:pPr>
            <w:r w:rsidRPr="00A35062">
              <w:rPr>
                <w:lang w:val="en-US"/>
              </w:rPr>
              <w:t xml:space="preserve">Prezenta directivă se adresează statelor membre. </w:t>
            </w:r>
          </w:p>
        </w:tc>
        <w:tc>
          <w:tcPr>
            <w:tcW w:w="3780" w:type="dxa"/>
          </w:tcPr>
          <w:p w:rsidR="005A0FE7" w:rsidRPr="00A35062" w:rsidRDefault="005A0FE7" w:rsidP="00A35062">
            <w:pPr>
              <w:jc w:val="center"/>
              <w:rPr>
                <w:b/>
                <w:lang w:val="en-US"/>
              </w:rPr>
            </w:pPr>
          </w:p>
        </w:tc>
        <w:tc>
          <w:tcPr>
            <w:tcW w:w="1890" w:type="dxa"/>
          </w:tcPr>
          <w:p w:rsidR="005A0FE7" w:rsidRPr="00102C96" w:rsidRDefault="00CA641D">
            <w:pPr>
              <w:rPr>
                <w:lang w:val="en-US"/>
              </w:rPr>
            </w:pPr>
            <w:r>
              <w:rPr>
                <w:lang w:val="en-US"/>
              </w:rPr>
              <w:t xml:space="preserve">Prevederi UE neaplicabile </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A35062">
        <w:tc>
          <w:tcPr>
            <w:tcW w:w="3888" w:type="dxa"/>
            <w:gridSpan w:val="2"/>
          </w:tcPr>
          <w:p w:rsidR="005A0FE7" w:rsidRPr="00A35062" w:rsidRDefault="005A0FE7" w:rsidP="00A35062">
            <w:pPr>
              <w:pStyle w:val="title-annex-1"/>
              <w:shd w:val="clear" w:color="auto" w:fill="FFFFFF"/>
              <w:spacing w:before="0" w:beforeAutospacing="0" w:after="120" w:afterAutospacing="0"/>
              <w:jc w:val="center"/>
              <w:rPr>
                <w:b/>
                <w:iCs/>
              </w:rPr>
            </w:pPr>
            <w:r w:rsidRPr="00A35062">
              <w:rPr>
                <w:b/>
                <w:iCs/>
              </w:rPr>
              <w:t>ANEXA I</w:t>
            </w:r>
          </w:p>
          <w:p w:rsidR="005A0FE7" w:rsidRPr="00A35062" w:rsidRDefault="005A0FE7" w:rsidP="00A35062">
            <w:pPr>
              <w:pStyle w:val="title-gr-seq-level-1"/>
              <w:shd w:val="clear" w:color="auto" w:fill="FFFFFF"/>
              <w:spacing w:before="120" w:beforeAutospacing="0" w:after="120" w:afterAutospacing="0"/>
              <w:jc w:val="center"/>
              <w:rPr>
                <w:rStyle w:val="boldface"/>
                <w:b/>
                <w:bCs/>
              </w:rPr>
            </w:pPr>
            <w:r w:rsidRPr="00A35062">
              <w:rPr>
                <w:rStyle w:val="boldface"/>
                <w:b/>
                <w:bCs/>
              </w:rPr>
              <w:t>CLASIFICAREA LOCURILOR UNDE POT APĂREA MEDII EXPLOZIVE</w:t>
            </w:r>
          </w:p>
          <w:p w:rsidR="005A0FE7" w:rsidRPr="00A35062" w:rsidRDefault="005A0FE7" w:rsidP="00A35062">
            <w:pPr>
              <w:pStyle w:val="title-gr-seq-level-1"/>
              <w:shd w:val="clear" w:color="auto" w:fill="FFFFFF"/>
              <w:spacing w:before="120" w:beforeAutospacing="0" w:after="120" w:afterAutospacing="0"/>
              <w:rPr>
                <w:rStyle w:val="boldface"/>
                <w:b/>
              </w:rPr>
            </w:pPr>
            <w:r w:rsidRPr="00A35062">
              <w:rPr>
                <w:rStyle w:val="boldface"/>
                <w:b/>
              </w:rPr>
              <w:t>Notă introductivă</w:t>
            </w:r>
          </w:p>
          <w:p w:rsidR="005A0FE7" w:rsidRPr="00A35062" w:rsidRDefault="005A0FE7" w:rsidP="00A35062">
            <w:pPr>
              <w:ind w:firstLine="144"/>
              <w:rPr>
                <w:lang w:val="en-US"/>
              </w:rPr>
            </w:pPr>
            <w:r w:rsidRPr="00A35062">
              <w:rPr>
                <w:lang w:val="en-US"/>
              </w:rPr>
              <w:t>Următorul sistem de clasificare trebuie aplicat locurilor unde se iau măsuri de precauție în conformitate cu articolele 3, 4, 7 și 8.</w:t>
            </w:r>
          </w:p>
          <w:p w:rsidR="005A0FE7" w:rsidRPr="00A35062" w:rsidRDefault="005A0FE7" w:rsidP="00A35062">
            <w:pPr>
              <w:rPr>
                <w:b/>
                <w:lang w:val="en-US"/>
              </w:rPr>
            </w:pPr>
            <w:r w:rsidRPr="00A35062">
              <w:rPr>
                <w:b/>
                <w:lang w:val="en-US"/>
              </w:rPr>
              <w:t>1.   Locuri unde pot apărea medii explozive</w:t>
            </w:r>
          </w:p>
          <w:p w:rsidR="005A0FE7" w:rsidRPr="00A35062" w:rsidRDefault="005A0FE7" w:rsidP="00A35062">
            <w:pPr>
              <w:ind w:firstLine="144"/>
              <w:rPr>
                <w:lang w:val="en-US"/>
              </w:rPr>
            </w:pPr>
            <w:r w:rsidRPr="00A35062">
              <w:rPr>
                <w:lang w:val="en-US"/>
              </w:rPr>
              <w:t xml:space="preserve">Un loc în care pot apărea medii explozive în concentrații atât de mari încât să necesite măsuri speciale de precauție pentru a proteja sănătatea și securitatea lucrătorilor implicați este considerat periculos în sensul </w:t>
            </w:r>
            <w:r w:rsidRPr="00A35062">
              <w:rPr>
                <w:lang w:val="en-US"/>
              </w:rPr>
              <w:lastRenderedPageBreak/>
              <w:t>prezentei directive.</w:t>
            </w:r>
          </w:p>
          <w:p w:rsidR="005A0FE7" w:rsidRPr="00A35062" w:rsidRDefault="005A0FE7" w:rsidP="00A35062">
            <w:pPr>
              <w:ind w:firstLine="144"/>
              <w:rPr>
                <w:lang w:val="en-US"/>
              </w:rPr>
            </w:pPr>
            <w:r w:rsidRPr="00A35062">
              <w:rPr>
                <w:lang w:val="en-US"/>
              </w:rPr>
              <w:t>Un loc în care nu pot apărea medii explozive în concentrații atât de mari încât să necesite măsuri speciale de precauție pentru a proteja sănătatea și securitatea lucrătorilor implicați este considerat lipsit de pericol în sensul prezentei directive.</w:t>
            </w:r>
          </w:p>
          <w:p w:rsidR="005A0FE7" w:rsidRPr="00A35062" w:rsidRDefault="005A0FE7" w:rsidP="00A35062">
            <w:pPr>
              <w:rPr>
                <w:lang w:val="en-US"/>
              </w:rPr>
            </w:pPr>
            <w:r w:rsidRPr="00A35062">
              <w:rPr>
                <w:lang w:val="en-US"/>
              </w:rPr>
              <w:t>Substanțele inflamabile sau combustibile sunt considerate materialele care pot forma medii explozive, exceptând cazul în care o analiză a proprietăților lor relevă că în contact cu aerul nu pot propaga independent explozia.</w:t>
            </w:r>
          </w:p>
          <w:p w:rsidR="005A0FE7" w:rsidRPr="00A35062" w:rsidRDefault="005A0FE7" w:rsidP="00A35062">
            <w:pPr>
              <w:rPr>
                <w:b/>
                <w:lang w:val="en-US"/>
              </w:rPr>
            </w:pPr>
            <w:r w:rsidRPr="00A35062">
              <w:rPr>
                <w:b/>
                <w:lang w:val="en-US"/>
              </w:rPr>
              <w:t>2.   Clasificarea locurilor periculoase</w:t>
            </w:r>
          </w:p>
          <w:p w:rsidR="005A0FE7" w:rsidRPr="00A35062" w:rsidRDefault="005A0FE7" w:rsidP="00A35062">
            <w:pPr>
              <w:ind w:firstLine="144"/>
              <w:rPr>
                <w:lang w:val="en-US"/>
              </w:rPr>
            </w:pPr>
            <w:r w:rsidRPr="00A35062">
              <w:rPr>
                <w:lang w:val="en-US"/>
              </w:rPr>
              <w:t>Locurile periculoase sunt clasificate pe zone în funcție de frecvența și durata permanenței unui mediu exploziv.</w:t>
            </w:r>
          </w:p>
          <w:p w:rsidR="005A0FE7" w:rsidRPr="00A35062" w:rsidRDefault="005A0FE7" w:rsidP="00A35062">
            <w:pPr>
              <w:rPr>
                <w:lang w:val="en-US"/>
              </w:rPr>
            </w:pPr>
            <w:r w:rsidRPr="00A35062">
              <w:rPr>
                <w:lang w:val="en-US"/>
              </w:rPr>
              <w:t xml:space="preserve">Gradul măsurilor luate în conformitate cu anexa II partea </w:t>
            </w:r>
            <w:proofErr w:type="gramStart"/>
            <w:r w:rsidRPr="00A35062">
              <w:rPr>
                <w:lang w:val="en-US"/>
              </w:rPr>
              <w:t>A</w:t>
            </w:r>
            <w:proofErr w:type="gramEnd"/>
            <w:r w:rsidRPr="00A35062">
              <w:rPr>
                <w:lang w:val="en-US"/>
              </w:rPr>
              <w:t xml:space="preserve"> este stabilit de această clasificare.</w:t>
            </w:r>
          </w:p>
          <w:p w:rsidR="005A0FE7" w:rsidRPr="00A35062" w:rsidRDefault="005A0FE7" w:rsidP="00A35062">
            <w:pPr>
              <w:rPr>
                <w:b/>
                <w:lang w:val="en-US"/>
              </w:rPr>
            </w:pPr>
            <w:r w:rsidRPr="00A35062">
              <w:rPr>
                <w:b/>
                <w:lang w:val="en-US"/>
              </w:rPr>
              <w:t>Zona 0</w:t>
            </w:r>
          </w:p>
          <w:p w:rsidR="005A0FE7" w:rsidRPr="00A35062" w:rsidRDefault="005A0FE7" w:rsidP="00A35062">
            <w:pPr>
              <w:ind w:firstLine="144"/>
              <w:rPr>
                <w:lang w:val="en-US"/>
              </w:rPr>
            </w:pPr>
            <w:r w:rsidRPr="00A35062">
              <w:rPr>
                <w:lang w:val="en-US"/>
              </w:rPr>
              <w:t>Un loc în care este prezent permanent sau pe perioade lungi sau frecvent un mediu exploziv format la contactul substanțelor inflamabile sub formă de gaz, vapori sau ceață cu aerul.</w:t>
            </w:r>
          </w:p>
          <w:p w:rsidR="005A0FE7" w:rsidRPr="00A35062" w:rsidRDefault="005A0FE7" w:rsidP="00A35062">
            <w:pPr>
              <w:rPr>
                <w:b/>
                <w:lang w:val="en-US"/>
              </w:rPr>
            </w:pPr>
            <w:r w:rsidRPr="00A35062">
              <w:rPr>
                <w:b/>
                <w:lang w:val="en-US"/>
              </w:rPr>
              <w:t>Zona 1</w:t>
            </w:r>
          </w:p>
          <w:p w:rsidR="005A0FE7" w:rsidRPr="00A35062" w:rsidRDefault="005A0FE7" w:rsidP="00A35062">
            <w:pPr>
              <w:ind w:firstLine="144"/>
              <w:rPr>
                <w:lang w:val="en-US"/>
              </w:rPr>
            </w:pPr>
            <w:r w:rsidRPr="00A35062">
              <w:rPr>
                <w:lang w:val="en-US"/>
              </w:rPr>
              <w:t xml:space="preserve">Un loc în care este probabil să apară ocazional în stare de funcționare normală un mediu exploziv format la contactul substanțelor inflamabile sub formă de gaz, vapori sau ceață cu </w:t>
            </w:r>
            <w:r w:rsidRPr="00A35062">
              <w:rPr>
                <w:lang w:val="en-US"/>
              </w:rPr>
              <w:lastRenderedPageBreak/>
              <w:t>aerul.</w:t>
            </w:r>
          </w:p>
          <w:p w:rsidR="005A0FE7" w:rsidRPr="00A35062" w:rsidRDefault="005A0FE7" w:rsidP="00A35062">
            <w:pPr>
              <w:rPr>
                <w:b/>
                <w:lang w:val="en-US"/>
              </w:rPr>
            </w:pPr>
            <w:r w:rsidRPr="00A35062">
              <w:rPr>
                <w:b/>
                <w:lang w:val="en-US"/>
              </w:rPr>
              <w:t>Zona 2</w:t>
            </w:r>
          </w:p>
          <w:p w:rsidR="005A0FE7" w:rsidRPr="00A35062" w:rsidRDefault="005A0FE7" w:rsidP="00A35062">
            <w:pPr>
              <w:ind w:firstLine="144"/>
              <w:rPr>
                <w:lang w:val="en-US"/>
              </w:rPr>
            </w:pPr>
            <w:r w:rsidRPr="00A35062">
              <w:rPr>
                <w:lang w:val="en-US"/>
              </w:rPr>
              <w:t>Un loc în care nu este probabil să apară un mediu exploziv format la contactul substanțelor inflamabile sub formă de gaz, vapori sau ceață cu aerul, dar dacă apare, persistă doar o scurtă perioadă.</w:t>
            </w:r>
          </w:p>
          <w:p w:rsidR="005A0FE7" w:rsidRPr="00A35062" w:rsidRDefault="005A0FE7" w:rsidP="00A35062">
            <w:pPr>
              <w:rPr>
                <w:b/>
                <w:lang w:val="en-US"/>
              </w:rPr>
            </w:pPr>
            <w:r w:rsidRPr="00A35062">
              <w:rPr>
                <w:b/>
                <w:lang w:val="en-US"/>
              </w:rPr>
              <w:t>Zona 20</w:t>
            </w:r>
          </w:p>
          <w:p w:rsidR="005A0FE7" w:rsidRPr="00A35062" w:rsidRDefault="005A0FE7" w:rsidP="00A35062">
            <w:pPr>
              <w:ind w:firstLine="144"/>
              <w:rPr>
                <w:lang w:val="en-US"/>
              </w:rPr>
            </w:pPr>
            <w:r w:rsidRPr="00A35062">
              <w:rPr>
                <w:lang w:val="en-US"/>
              </w:rPr>
              <w:t xml:space="preserve">Un loc în care este prezent permanent sau pe perioade lungi sau frecvent un mediu exploziv sub </w:t>
            </w:r>
            <w:proofErr w:type="gramStart"/>
            <w:r w:rsidRPr="00A35062">
              <w:rPr>
                <w:lang w:val="en-US"/>
              </w:rPr>
              <w:t>formă de nor</w:t>
            </w:r>
            <w:proofErr w:type="gramEnd"/>
            <w:r w:rsidRPr="00A35062">
              <w:rPr>
                <w:lang w:val="en-US"/>
              </w:rPr>
              <w:t xml:space="preserve"> sau pulbere combustibilă în aer.</w:t>
            </w:r>
          </w:p>
          <w:p w:rsidR="005A0FE7" w:rsidRPr="00A35062" w:rsidRDefault="005A0FE7" w:rsidP="00A35062">
            <w:pPr>
              <w:rPr>
                <w:b/>
                <w:lang w:val="en-US"/>
              </w:rPr>
            </w:pPr>
            <w:r w:rsidRPr="00A35062">
              <w:rPr>
                <w:b/>
                <w:lang w:val="en-US"/>
              </w:rPr>
              <w:t>Zona 21</w:t>
            </w:r>
          </w:p>
          <w:p w:rsidR="005A0FE7" w:rsidRPr="00A35062" w:rsidRDefault="005A0FE7" w:rsidP="00A35062">
            <w:pPr>
              <w:ind w:firstLine="144"/>
              <w:rPr>
                <w:lang w:val="en-US"/>
              </w:rPr>
            </w:pPr>
            <w:r w:rsidRPr="00A35062">
              <w:rPr>
                <w:lang w:val="en-US"/>
              </w:rPr>
              <w:t xml:space="preserve">Un loc în </w:t>
            </w:r>
            <w:proofErr w:type="gramStart"/>
            <w:r w:rsidRPr="00A35062">
              <w:rPr>
                <w:lang w:val="en-US"/>
              </w:rPr>
              <w:t>care este posibil să apară ocazional în stare de funcționare normală un mediu exploziv sub formă de nor</w:t>
            </w:r>
            <w:proofErr w:type="gramEnd"/>
            <w:r w:rsidRPr="00A35062">
              <w:rPr>
                <w:lang w:val="en-US"/>
              </w:rPr>
              <w:t xml:space="preserve"> de pulbere combustibilă în aer.</w:t>
            </w:r>
          </w:p>
          <w:p w:rsidR="005A0FE7" w:rsidRPr="00A35062" w:rsidRDefault="005A0FE7" w:rsidP="00A35062">
            <w:pPr>
              <w:rPr>
                <w:b/>
                <w:lang w:val="en-US"/>
              </w:rPr>
            </w:pPr>
            <w:r w:rsidRPr="00A35062">
              <w:rPr>
                <w:b/>
                <w:lang w:val="en-US"/>
              </w:rPr>
              <w:t>Zona 22</w:t>
            </w:r>
          </w:p>
          <w:p w:rsidR="005A0FE7" w:rsidRPr="00A35062" w:rsidRDefault="005A0FE7" w:rsidP="00A35062">
            <w:pPr>
              <w:ind w:firstLine="144"/>
              <w:rPr>
                <w:lang w:val="en-US"/>
              </w:rPr>
            </w:pPr>
            <w:r w:rsidRPr="00A35062">
              <w:rPr>
                <w:lang w:val="en-US"/>
              </w:rPr>
              <w:t>Un loc în care nu este probabil să apară un mediu exploziv sub formă de nor de pulbere combustibilă în aer în stare de funcționare normală, dar, dacă apare, persistă doar o scurtă perioadă.</w:t>
            </w:r>
          </w:p>
          <w:p w:rsidR="005A0FE7" w:rsidRPr="00A35062" w:rsidRDefault="005A0FE7" w:rsidP="00A35062">
            <w:pPr>
              <w:rPr>
                <w:lang w:val="en-US"/>
              </w:rPr>
            </w:pPr>
          </w:p>
          <w:p w:rsidR="005A0FE7" w:rsidRPr="00A35062" w:rsidRDefault="005A0FE7" w:rsidP="00A35062">
            <w:r w:rsidRPr="00A35062">
              <w:t>Note:</w:t>
            </w:r>
          </w:p>
          <w:tbl>
            <w:tblPr>
              <w:tblW w:w="4180" w:type="dxa"/>
              <w:shd w:val="clear" w:color="auto" w:fill="FFFFFF"/>
              <w:tblLayout w:type="fixed"/>
              <w:tblCellMar>
                <w:left w:w="0" w:type="dxa"/>
                <w:right w:w="0" w:type="dxa"/>
              </w:tblCellMar>
              <w:tblLook w:val="04A0" w:firstRow="1" w:lastRow="0" w:firstColumn="1" w:lastColumn="0" w:noHBand="0" w:noVBand="1"/>
            </w:tblPr>
            <w:tblGrid>
              <w:gridCol w:w="180"/>
              <w:gridCol w:w="4000"/>
            </w:tblGrid>
            <w:tr w:rsidR="005A0FE7" w:rsidRPr="00ED456A" w:rsidTr="00A35062">
              <w:tc>
                <w:tcPr>
                  <w:tcW w:w="180" w:type="dxa"/>
                  <w:shd w:val="clear" w:color="auto" w:fill="FFFFFF"/>
                  <w:hideMark/>
                </w:tcPr>
                <w:p w:rsidR="005A0FE7" w:rsidRPr="00A35062" w:rsidRDefault="005A0FE7" w:rsidP="00A35062">
                  <w:r w:rsidRPr="00A35062">
                    <w:t>1.</w:t>
                  </w:r>
                </w:p>
              </w:tc>
              <w:tc>
                <w:tcPr>
                  <w:tcW w:w="4000" w:type="dxa"/>
                  <w:shd w:val="clear" w:color="auto" w:fill="FFFFFF"/>
                  <w:hideMark/>
                </w:tcPr>
                <w:p w:rsidR="005A0FE7" w:rsidRPr="00A35062" w:rsidRDefault="005A0FE7" w:rsidP="00A35062">
                  <w:pPr>
                    <w:rPr>
                      <w:lang w:val="en-US"/>
                    </w:rPr>
                  </w:pPr>
                  <w:r w:rsidRPr="00A35062">
                    <w:rPr>
                      <w:lang w:val="ro-RO"/>
                    </w:rPr>
                    <w:t xml:space="preserve"> </w:t>
                  </w:r>
                  <w:r w:rsidRPr="00A35062">
                    <w:rPr>
                      <w:lang w:val="en-US"/>
                    </w:rPr>
                    <w:t>Straturile, depunerile și grămezile de pulbere combustibilă trebuie considerate ca orice altă sursă ce poate genera un mediu exploziv.</w:t>
                  </w:r>
                </w:p>
              </w:tc>
            </w:tr>
            <w:tr w:rsidR="005A0FE7" w:rsidRPr="00ED456A" w:rsidTr="00A35062">
              <w:tc>
                <w:tcPr>
                  <w:tcW w:w="180" w:type="dxa"/>
                  <w:shd w:val="clear" w:color="auto" w:fill="FFFFFF"/>
                  <w:hideMark/>
                </w:tcPr>
                <w:p w:rsidR="005A0FE7" w:rsidRPr="00A35062" w:rsidRDefault="005A0FE7" w:rsidP="00A35062">
                  <w:r w:rsidRPr="00A35062">
                    <w:t>2.</w:t>
                  </w:r>
                </w:p>
              </w:tc>
              <w:tc>
                <w:tcPr>
                  <w:tcW w:w="4000" w:type="dxa"/>
                  <w:shd w:val="clear" w:color="auto" w:fill="FFFFFF"/>
                  <w:hideMark/>
                </w:tcPr>
                <w:p w:rsidR="005A0FE7" w:rsidRPr="00A35062" w:rsidRDefault="005A0FE7" w:rsidP="00A35062">
                  <w:pPr>
                    <w:rPr>
                      <w:lang w:val="en-US"/>
                    </w:rPr>
                  </w:pPr>
                  <w:r w:rsidRPr="00A35062">
                    <w:rPr>
                      <w:lang w:val="ro-RO"/>
                    </w:rPr>
                    <w:t xml:space="preserve"> </w:t>
                  </w:r>
                  <w:r w:rsidRPr="00A35062">
                    <w:rPr>
                      <w:lang w:val="en-US"/>
                    </w:rPr>
                    <w:t>„Funcționare normală” reprezintă situația în care instalațiile sunt folosite în parametrii lor de proiectare.</w:t>
                  </w:r>
                </w:p>
              </w:tc>
            </w:tr>
          </w:tbl>
          <w:p w:rsidR="005A0FE7" w:rsidRPr="00A35062" w:rsidRDefault="005A0FE7" w:rsidP="00A35062">
            <w:pPr>
              <w:ind w:firstLine="144"/>
              <w:jc w:val="center"/>
              <w:rPr>
                <w:lang w:val="en-US"/>
              </w:rPr>
            </w:pPr>
          </w:p>
        </w:tc>
        <w:tc>
          <w:tcPr>
            <w:tcW w:w="3780" w:type="dxa"/>
          </w:tcPr>
          <w:p w:rsidR="005A0FE7" w:rsidRPr="00CA641D" w:rsidRDefault="005A0FE7" w:rsidP="00A35062">
            <w:pPr>
              <w:jc w:val="right"/>
              <w:rPr>
                <w:bCs/>
                <w:i/>
                <w:sz w:val="20"/>
                <w:shd w:val="clear" w:color="auto" w:fill="FFFFFF"/>
                <w:lang w:val="en-US"/>
              </w:rPr>
            </w:pPr>
            <w:r w:rsidRPr="00CA641D">
              <w:rPr>
                <w:bCs/>
                <w:i/>
                <w:sz w:val="20"/>
                <w:shd w:val="clear" w:color="auto" w:fill="FFFFFF"/>
                <w:lang w:val="en-US"/>
              </w:rPr>
              <w:lastRenderedPageBreak/>
              <w:t xml:space="preserve">Anexa nr.1 </w:t>
            </w:r>
          </w:p>
          <w:p w:rsidR="005A0FE7" w:rsidRPr="00CA641D" w:rsidRDefault="005A0FE7" w:rsidP="00A35062">
            <w:pPr>
              <w:jc w:val="right"/>
              <w:rPr>
                <w:bCs/>
                <w:i/>
                <w:sz w:val="20"/>
                <w:shd w:val="clear" w:color="auto" w:fill="FFFFFF"/>
                <w:lang w:val="en-US"/>
              </w:rPr>
            </w:pPr>
            <w:r w:rsidRPr="00CA641D">
              <w:rPr>
                <w:bCs/>
                <w:i/>
                <w:sz w:val="20"/>
                <w:shd w:val="clear" w:color="auto" w:fill="FFFFFF"/>
                <w:lang w:val="en-US"/>
              </w:rPr>
              <w:t>la Cerințele minime</w:t>
            </w:r>
          </w:p>
          <w:p w:rsidR="005A0FE7" w:rsidRPr="00CA641D" w:rsidRDefault="005A0FE7" w:rsidP="00CA641D">
            <w:pPr>
              <w:jc w:val="right"/>
              <w:rPr>
                <w:bCs/>
                <w:i/>
                <w:sz w:val="20"/>
                <w:shd w:val="clear" w:color="auto" w:fill="FFFFFF"/>
                <w:lang w:val="en-US"/>
              </w:rPr>
            </w:pPr>
            <w:r w:rsidRPr="00CA641D">
              <w:rPr>
                <w:bCs/>
                <w:i/>
                <w:sz w:val="20"/>
                <w:shd w:val="clear" w:color="auto" w:fill="FFFFFF"/>
                <w:lang w:val="en-US"/>
              </w:rPr>
              <w:t xml:space="preserve">pentru îmbunătățirea protecției sănătății </w:t>
            </w:r>
            <w:r w:rsidR="00CA641D" w:rsidRPr="00CA641D">
              <w:rPr>
                <w:bCs/>
                <w:i/>
                <w:sz w:val="20"/>
                <w:shd w:val="clear" w:color="auto" w:fill="FFFFFF"/>
                <w:lang w:val="en-US"/>
              </w:rPr>
              <w:t xml:space="preserve">și securității lucrătorilor </w:t>
            </w:r>
            <w:r w:rsidRPr="00CA641D">
              <w:rPr>
                <w:bCs/>
                <w:i/>
                <w:sz w:val="20"/>
                <w:shd w:val="clear" w:color="auto" w:fill="FFFFFF"/>
                <w:lang w:val="en-US"/>
              </w:rPr>
              <w:t xml:space="preserve">expuși </w:t>
            </w:r>
            <w:r w:rsidR="00CA641D" w:rsidRPr="00CA641D">
              <w:rPr>
                <w:bCs/>
                <w:i/>
                <w:sz w:val="20"/>
                <w:shd w:val="clear" w:color="auto" w:fill="FFFFFF"/>
                <w:lang w:val="en-US"/>
              </w:rPr>
              <w:t xml:space="preserve"> </w:t>
            </w:r>
            <w:r w:rsidRPr="00CA641D">
              <w:rPr>
                <w:bCs/>
                <w:i/>
                <w:sz w:val="20"/>
                <w:shd w:val="clear" w:color="auto" w:fill="FFFFFF"/>
                <w:lang w:val="en-US"/>
              </w:rPr>
              <w:t>unui potențial risc în medii explozive</w:t>
            </w:r>
          </w:p>
          <w:p w:rsidR="005A0FE7" w:rsidRPr="00A35062" w:rsidRDefault="005A0FE7" w:rsidP="00A35062">
            <w:pPr>
              <w:jc w:val="right"/>
              <w:rPr>
                <w:bCs/>
                <w:i/>
                <w:shd w:val="clear" w:color="auto" w:fill="FFFFFF"/>
                <w:lang w:val="en-US"/>
              </w:rPr>
            </w:pPr>
            <w:r w:rsidRPr="00A35062">
              <w:rPr>
                <w:bCs/>
                <w:i/>
                <w:shd w:val="clear" w:color="auto" w:fill="FFFFFF"/>
                <w:lang w:val="en-US"/>
              </w:rPr>
              <w:t xml:space="preserve"> </w:t>
            </w:r>
          </w:p>
          <w:p w:rsidR="005A0FE7" w:rsidRPr="00A35062" w:rsidRDefault="005A0FE7" w:rsidP="00A35062">
            <w:pPr>
              <w:jc w:val="center"/>
              <w:rPr>
                <w:b/>
                <w:bCs/>
                <w:shd w:val="clear" w:color="auto" w:fill="FFFFFF"/>
                <w:lang w:val="en-US"/>
              </w:rPr>
            </w:pPr>
            <w:r w:rsidRPr="00A35062">
              <w:rPr>
                <w:b/>
                <w:bCs/>
                <w:shd w:val="clear" w:color="auto" w:fill="FFFFFF"/>
                <w:lang w:val="en-US"/>
              </w:rPr>
              <w:t>CLASIFICAREA LOCURILOR UNDE POT APĂREA MEDII EXPLOZIVE</w:t>
            </w:r>
          </w:p>
          <w:p w:rsidR="005A0FE7" w:rsidRPr="00A35062" w:rsidRDefault="005A0FE7" w:rsidP="00A35062">
            <w:pPr>
              <w:jc w:val="center"/>
              <w:rPr>
                <w:b/>
                <w:bCs/>
                <w:shd w:val="clear" w:color="auto" w:fill="FFFFFF"/>
                <w:lang w:val="en-US"/>
              </w:rPr>
            </w:pPr>
          </w:p>
          <w:p w:rsidR="005A0FE7" w:rsidRPr="00A35062" w:rsidRDefault="005A0FE7" w:rsidP="00A35062">
            <w:pPr>
              <w:ind w:firstLine="144"/>
              <w:rPr>
                <w:bCs/>
                <w:shd w:val="clear" w:color="auto" w:fill="FFFFFF"/>
                <w:lang w:val="en-US"/>
              </w:rPr>
            </w:pPr>
            <w:r w:rsidRPr="00A35062">
              <w:rPr>
                <w:bCs/>
                <w:shd w:val="clear" w:color="auto" w:fill="FFFFFF"/>
                <w:lang w:val="en-US"/>
              </w:rPr>
              <w:t>Prezentul sistem de clasificare trebuie aplicat locurilor unde se întreprind de precauție în conformitate cu Capitolul II, Secțiunea 1, 2, 5 și 6.</w:t>
            </w:r>
          </w:p>
          <w:p w:rsidR="005A0FE7" w:rsidRPr="00A35062" w:rsidRDefault="005A0FE7" w:rsidP="00A35062">
            <w:pPr>
              <w:ind w:firstLine="144"/>
              <w:rPr>
                <w:bCs/>
                <w:shd w:val="clear" w:color="auto" w:fill="FFFFFF"/>
                <w:lang w:val="en-US"/>
              </w:rPr>
            </w:pPr>
          </w:p>
          <w:p w:rsidR="005A0FE7" w:rsidRPr="00A35062" w:rsidRDefault="005A0FE7" w:rsidP="00A35062">
            <w:pPr>
              <w:rPr>
                <w:b/>
                <w:lang w:val="en-US"/>
              </w:rPr>
            </w:pPr>
            <w:r w:rsidRPr="00A35062">
              <w:rPr>
                <w:b/>
                <w:lang w:val="ro-RO"/>
              </w:rPr>
              <w:t xml:space="preserve">1. </w:t>
            </w:r>
            <w:r w:rsidRPr="00A35062">
              <w:rPr>
                <w:b/>
                <w:lang w:val="en-US"/>
              </w:rPr>
              <w:t>Locuri unde pot apărea medii explozive</w:t>
            </w:r>
          </w:p>
          <w:p w:rsidR="005A0FE7" w:rsidRPr="00A35062" w:rsidRDefault="005A0FE7" w:rsidP="00A35062">
            <w:pPr>
              <w:ind w:firstLine="144"/>
              <w:rPr>
                <w:bCs/>
                <w:shd w:val="clear" w:color="auto" w:fill="FFFFFF"/>
                <w:lang w:val="en-US"/>
              </w:rPr>
            </w:pPr>
            <w:r w:rsidRPr="00A35062">
              <w:rPr>
                <w:bCs/>
                <w:shd w:val="clear" w:color="auto" w:fill="FFFFFF"/>
                <w:lang w:val="en-US"/>
              </w:rPr>
              <w:t xml:space="preserve">Un loc în care pot apărea medii </w:t>
            </w:r>
            <w:r w:rsidRPr="00A35062">
              <w:rPr>
                <w:bCs/>
                <w:shd w:val="clear" w:color="auto" w:fill="FFFFFF"/>
                <w:lang w:val="en-US"/>
              </w:rPr>
              <w:lastRenderedPageBreak/>
              <w:t>explozive în concentrații atât de mari încât să necesite măsuri speciale de precauție pentru a proteja securitatea și sănătatea lucrătorilor implicate este considerat periculos în sensul prezentelor Cerințe minime.</w:t>
            </w:r>
          </w:p>
          <w:p w:rsidR="005A0FE7" w:rsidRPr="00A35062" w:rsidRDefault="005A0FE7" w:rsidP="00A35062">
            <w:pPr>
              <w:ind w:firstLine="144"/>
              <w:rPr>
                <w:bCs/>
                <w:shd w:val="clear" w:color="auto" w:fill="FFFFFF"/>
                <w:lang w:val="en-US"/>
              </w:rPr>
            </w:pPr>
            <w:r w:rsidRPr="00A35062">
              <w:rPr>
                <w:bCs/>
                <w:shd w:val="clear" w:color="auto" w:fill="FFFFFF"/>
                <w:lang w:val="en-US"/>
              </w:rPr>
              <w:t>Substanțele inflamabile sau combustibile sunt considerate materialele care pot forma medii explozive, exceptând cazul în care o analiză a proprietăților lor relevă că în contact cu aerul nu pot propaga independent explozia.</w:t>
            </w:r>
          </w:p>
          <w:p w:rsidR="005A0FE7" w:rsidRPr="00A35062" w:rsidRDefault="005A0FE7" w:rsidP="00A35062">
            <w:pPr>
              <w:spacing w:before="240"/>
              <w:rPr>
                <w:b/>
                <w:bCs/>
                <w:shd w:val="clear" w:color="auto" w:fill="FFFFFF"/>
                <w:lang w:val="en-US"/>
              </w:rPr>
            </w:pPr>
            <w:r w:rsidRPr="00A35062">
              <w:rPr>
                <w:b/>
                <w:bCs/>
                <w:shd w:val="clear" w:color="auto" w:fill="FFFFFF"/>
                <w:lang w:val="ro-RO"/>
              </w:rPr>
              <w:t xml:space="preserve">2. </w:t>
            </w:r>
            <w:r w:rsidRPr="00A35062">
              <w:rPr>
                <w:b/>
                <w:bCs/>
                <w:shd w:val="clear" w:color="auto" w:fill="FFFFFF"/>
                <w:lang w:val="en-US"/>
              </w:rPr>
              <w:t>Clasificarea locurilor periculoase</w:t>
            </w:r>
          </w:p>
          <w:p w:rsidR="005A0FE7" w:rsidRPr="00A35062" w:rsidRDefault="005A0FE7" w:rsidP="00A35062">
            <w:pPr>
              <w:ind w:firstLine="144"/>
              <w:rPr>
                <w:bCs/>
                <w:shd w:val="clear" w:color="auto" w:fill="FFFFFF"/>
                <w:lang w:val="en-US"/>
              </w:rPr>
            </w:pPr>
            <w:r w:rsidRPr="00A35062">
              <w:rPr>
                <w:bCs/>
                <w:shd w:val="clear" w:color="auto" w:fill="FFFFFF"/>
                <w:lang w:val="en-US"/>
              </w:rPr>
              <w:t>Locurile periculoase sunt clasificate pe zone în funcție de frecvența și durata permanenței unui mediu exploziv.</w:t>
            </w:r>
          </w:p>
          <w:p w:rsidR="005A0FE7" w:rsidRPr="00A35062" w:rsidRDefault="005A0FE7" w:rsidP="00A35062">
            <w:pPr>
              <w:ind w:firstLine="144"/>
              <w:rPr>
                <w:bCs/>
                <w:shd w:val="clear" w:color="auto" w:fill="FFFFFF"/>
                <w:lang w:val="en-US"/>
              </w:rPr>
            </w:pPr>
            <w:r w:rsidRPr="00A35062">
              <w:rPr>
                <w:bCs/>
                <w:shd w:val="clear" w:color="auto" w:fill="FFFFFF"/>
                <w:lang w:val="en-US"/>
              </w:rPr>
              <w:t>Gradul măsurilor luate în conformitate cu Anexa nr.2 partea I</w:t>
            </w:r>
            <w:r w:rsidRPr="00A35062">
              <w:rPr>
                <w:bCs/>
                <w:color w:val="FF0000"/>
                <w:shd w:val="clear" w:color="auto" w:fill="FFFFFF"/>
                <w:lang w:val="en-US"/>
              </w:rPr>
              <w:t xml:space="preserve"> </w:t>
            </w:r>
            <w:r w:rsidRPr="00A35062">
              <w:rPr>
                <w:bCs/>
                <w:shd w:val="clear" w:color="auto" w:fill="FFFFFF"/>
                <w:lang w:val="en-US"/>
              </w:rPr>
              <w:t>este stabilit de următoarea clasificare:</w:t>
            </w:r>
          </w:p>
          <w:p w:rsidR="005A0FE7" w:rsidRPr="00A35062" w:rsidRDefault="005A0FE7" w:rsidP="00A35062">
            <w:pPr>
              <w:ind w:firstLine="144"/>
              <w:rPr>
                <w:bCs/>
                <w:i/>
                <w:shd w:val="clear" w:color="auto" w:fill="FFFFFF"/>
                <w:lang w:val="en-US"/>
              </w:rPr>
            </w:pPr>
            <w:r w:rsidRPr="00A35062">
              <w:rPr>
                <w:bCs/>
                <w:i/>
                <w:shd w:val="clear" w:color="auto" w:fill="FFFFFF"/>
                <w:lang w:val="en-US"/>
              </w:rPr>
              <w:t>Zona 0</w:t>
            </w:r>
          </w:p>
          <w:p w:rsidR="005A0FE7" w:rsidRPr="00A35062" w:rsidRDefault="005A0FE7" w:rsidP="00A35062">
            <w:pPr>
              <w:ind w:firstLine="144"/>
              <w:rPr>
                <w:bCs/>
                <w:shd w:val="clear" w:color="auto" w:fill="FFFFFF"/>
                <w:lang w:val="en-US"/>
              </w:rPr>
            </w:pPr>
            <w:r w:rsidRPr="00A35062">
              <w:rPr>
                <w:bCs/>
                <w:shd w:val="clear" w:color="auto" w:fill="FFFFFF"/>
                <w:lang w:val="en-US"/>
              </w:rPr>
              <w:t>Un loc în care este prezent permanent sau pe perioade lungi sau frecvent un mediu exploziv format la contactul substanțelor inflamabile sub formă de gaz, vapori sau ceață cu aerul.</w:t>
            </w:r>
          </w:p>
          <w:p w:rsidR="005A0FE7" w:rsidRPr="00A35062" w:rsidRDefault="005A0FE7" w:rsidP="00A35062">
            <w:pPr>
              <w:ind w:firstLine="144"/>
              <w:rPr>
                <w:bCs/>
                <w:i/>
                <w:shd w:val="clear" w:color="auto" w:fill="FFFFFF"/>
                <w:lang w:val="en-US"/>
              </w:rPr>
            </w:pPr>
            <w:r w:rsidRPr="00A35062">
              <w:rPr>
                <w:bCs/>
                <w:i/>
                <w:shd w:val="clear" w:color="auto" w:fill="FFFFFF"/>
                <w:lang w:val="en-US"/>
              </w:rPr>
              <w:t>Zona 1</w:t>
            </w:r>
          </w:p>
          <w:p w:rsidR="005A0FE7" w:rsidRPr="00A35062" w:rsidRDefault="005A0FE7" w:rsidP="00A35062">
            <w:pPr>
              <w:ind w:firstLine="144"/>
              <w:rPr>
                <w:bCs/>
                <w:shd w:val="clear" w:color="auto" w:fill="FFFFFF"/>
                <w:lang w:val="en-US"/>
              </w:rPr>
            </w:pPr>
            <w:r w:rsidRPr="00A35062">
              <w:rPr>
                <w:bCs/>
                <w:shd w:val="clear" w:color="auto" w:fill="FFFFFF"/>
                <w:lang w:val="en-US"/>
              </w:rPr>
              <w:t xml:space="preserve">Un loc în care este probabil să apară ocazional în stare de funcționare normal un mediu exploziv format la contactul </w:t>
            </w:r>
            <w:r w:rsidRPr="00A35062">
              <w:rPr>
                <w:bCs/>
                <w:shd w:val="clear" w:color="auto" w:fill="FFFFFF"/>
                <w:lang w:val="en-US"/>
              </w:rPr>
              <w:lastRenderedPageBreak/>
              <w:t>substanțelor inflamabile sub formă de gaz, vapori sau ceață cu aerul.</w:t>
            </w:r>
          </w:p>
          <w:p w:rsidR="005A0FE7" w:rsidRPr="00A35062" w:rsidRDefault="005A0FE7" w:rsidP="00A35062">
            <w:pPr>
              <w:ind w:firstLine="144"/>
              <w:rPr>
                <w:bCs/>
                <w:i/>
                <w:shd w:val="clear" w:color="auto" w:fill="FFFFFF"/>
                <w:lang w:val="en-US"/>
              </w:rPr>
            </w:pPr>
            <w:r w:rsidRPr="00A35062">
              <w:rPr>
                <w:bCs/>
                <w:i/>
                <w:shd w:val="clear" w:color="auto" w:fill="FFFFFF"/>
                <w:lang w:val="en-US"/>
              </w:rPr>
              <w:t>Zona 2</w:t>
            </w:r>
          </w:p>
          <w:p w:rsidR="005A0FE7" w:rsidRPr="00A35062" w:rsidRDefault="005A0FE7" w:rsidP="00A35062">
            <w:pPr>
              <w:ind w:firstLine="144"/>
              <w:rPr>
                <w:bCs/>
                <w:shd w:val="clear" w:color="auto" w:fill="FFFFFF"/>
                <w:lang w:val="en-US"/>
              </w:rPr>
            </w:pPr>
            <w:r w:rsidRPr="00A35062">
              <w:rPr>
                <w:bCs/>
                <w:shd w:val="clear" w:color="auto" w:fill="FFFFFF"/>
                <w:lang w:val="en-US"/>
              </w:rPr>
              <w:t>Un loc în care nu este probabil să apară un mediu exploziv format la contactul substanțelor sub formă de gaz, vapori sau ceață cu aerul, dar dacă apare, persistă doar o scurtă perioadă.</w:t>
            </w:r>
          </w:p>
          <w:p w:rsidR="005A0FE7" w:rsidRPr="00A35062" w:rsidRDefault="005A0FE7" w:rsidP="00A35062">
            <w:pPr>
              <w:ind w:firstLine="144"/>
              <w:rPr>
                <w:bCs/>
                <w:i/>
                <w:shd w:val="clear" w:color="auto" w:fill="FFFFFF"/>
                <w:lang w:val="en-US"/>
              </w:rPr>
            </w:pPr>
            <w:r w:rsidRPr="00A35062">
              <w:rPr>
                <w:bCs/>
                <w:i/>
                <w:shd w:val="clear" w:color="auto" w:fill="FFFFFF"/>
                <w:lang w:val="en-US"/>
              </w:rPr>
              <w:t>Zona 20</w:t>
            </w:r>
          </w:p>
          <w:p w:rsidR="005A0FE7" w:rsidRPr="00A35062" w:rsidRDefault="005A0FE7" w:rsidP="00A35062">
            <w:pPr>
              <w:ind w:firstLine="144"/>
              <w:rPr>
                <w:bCs/>
                <w:shd w:val="clear" w:color="auto" w:fill="FFFFFF"/>
                <w:lang w:val="en-US"/>
              </w:rPr>
            </w:pPr>
            <w:r w:rsidRPr="00A35062">
              <w:rPr>
                <w:bCs/>
                <w:shd w:val="clear" w:color="auto" w:fill="FFFFFF"/>
                <w:lang w:val="en-US"/>
              </w:rPr>
              <w:t xml:space="preserve">Un loc în care este prezent permanent sau pe perioade lungi sau frecvent un mediu exploziv sub </w:t>
            </w:r>
            <w:proofErr w:type="gramStart"/>
            <w:r w:rsidRPr="00A35062">
              <w:rPr>
                <w:bCs/>
                <w:shd w:val="clear" w:color="auto" w:fill="FFFFFF"/>
                <w:lang w:val="en-US"/>
              </w:rPr>
              <w:t>formă de nor</w:t>
            </w:r>
            <w:proofErr w:type="gramEnd"/>
            <w:r w:rsidRPr="00A35062">
              <w:rPr>
                <w:bCs/>
                <w:shd w:val="clear" w:color="auto" w:fill="FFFFFF"/>
                <w:lang w:val="en-US"/>
              </w:rPr>
              <w:t xml:space="preserve"> sau pulbere combustibilă în aer.</w:t>
            </w:r>
          </w:p>
          <w:p w:rsidR="005A0FE7" w:rsidRPr="00A35062" w:rsidRDefault="005A0FE7" w:rsidP="00A35062">
            <w:pPr>
              <w:ind w:firstLine="144"/>
              <w:rPr>
                <w:bCs/>
                <w:i/>
                <w:shd w:val="clear" w:color="auto" w:fill="FFFFFF"/>
                <w:lang w:val="en-US"/>
              </w:rPr>
            </w:pPr>
            <w:r w:rsidRPr="00A35062">
              <w:rPr>
                <w:bCs/>
                <w:i/>
                <w:shd w:val="clear" w:color="auto" w:fill="FFFFFF"/>
                <w:lang w:val="en-US"/>
              </w:rPr>
              <w:t>Zona 21</w:t>
            </w:r>
          </w:p>
          <w:p w:rsidR="005A0FE7" w:rsidRPr="00A35062" w:rsidRDefault="005A0FE7" w:rsidP="00A35062">
            <w:pPr>
              <w:ind w:firstLine="144"/>
              <w:rPr>
                <w:bCs/>
                <w:shd w:val="clear" w:color="auto" w:fill="FFFFFF"/>
                <w:lang w:val="en-US"/>
              </w:rPr>
            </w:pPr>
            <w:r w:rsidRPr="00A35062">
              <w:rPr>
                <w:bCs/>
                <w:shd w:val="clear" w:color="auto" w:fill="FFFFFF"/>
                <w:lang w:val="en-US"/>
              </w:rPr>
              <w:t xml:space="preserve">Un loc în </w:t>
            </w:r>
            <w:proofErr w:type="gramStart"/>
            <w:r w:rsidRPr="00A35062">
              <w:rPr>
                <w:bCs/>
                <w:shd w:val="clear" w:color="auto" w:fill="FFFFFF"/>
                <w:lang w:val="en-US"/>
              </w:rPr>
              <w:t>care este posibil să apară ocazional în stare de funcționare normală un mediu exploziv sub formă de nor</w:t>
            </w:r>
            <w:proofErr w:type="gramEnd"/>
            <w:r w:rsidRPr="00A35062">
              <w:rPr>
                <w:bCs/>
                <w:shd w:val="clear" w:color="auto" w:fill="FFFFFF"/>
                <w:lang w:val="en-US"/>
              </w:rPr>
              <w:t xml:space="preserve"> de pulbere combustibilă în aer.</w:t>
            </w:r>
          </w:p>
          <w:p w:rsidR="005A0FE7" w:rsidRPr="00A35062" w:rsidRDefault="005A0FE7" w:rsidP="00A35062">
            <w:pPr>
              <w:ind w:firstLine="144"/>
              <w:rPr>
                <w:bCs/>
                <w:i/>
                <w:shd w:val="clear" w:color="auto" w:fill="FFFFFF"/>
                <w:lang w:val="en-US"/>
              </w:rPr>
            </w:pPr>
            <w:r w:rsidRPr="00A35062">
              <w:rPr>
                <w:bCs/>
                <w:i/>
                <w:shd w:val="clear" w:color="auto" w:fill="FFFFFF"/>
                <w:lang w:val="en-US"/>
              </w:rPr>
              <w:t>Zona 22</w:t>
            </w:r>
          </w:p>
          <w:p w:rsidR="005A0FE7" w:rsidRPr="00A35062" w:rsidRDefault="005A0FE7" w:rsidP="00A35062">
            <w:pPr>
              <w:ind w:firstLine="144"/>
              <w:rPr>
                <w:bCs/>
                <w:shd w:val="clear" w:color="auto" w:fill="FFFFFF"/>
                <w:lang w:val="en-US"/>
              </w:rPr>
            </w:pPr>
            <w:r w:rsidRPr="00A35062">
              <w:rPr>
                <w:bCs/>
                <w:shd w:val="clear" w:color="auto" w:fill="FFFFFF"/>
                <w:lang w:val="en-US"/>
              </w:rPr>
              <w:t>Un loc în care nu este probabil să apară un mediu exploziv sub formă de nor de pulbere combustibilă în aer în stare de funcționare normală, dar, dacă apare, persită o scurtă perioadă.</w:t>
            </w:r>
          </w:p>
          <w:p w:rsidR="005A0FE7" w:rsidRPr="00A35062" w:rsidRDefault="005A0FE7" w:rsidP="00A35062">
            <w:pPr>
              <w:ind w:firstLine="144"/>
              <w:rPr>
                <w:bCs/>
                <w:i/>
                <w:shd w:val="clear" w:color="auto" w:fill="FFFFFF"/>
                <w:lang w:val="en-US"/>
              </w:rPr>
            </w:pPr>
            <w:r w:rsidRPr="00A35062">
              <w:rPr>
                <w:bCs/>
                <w:i/>
                <w:shd w:val="clear" w:color="auto" w:fill="FFFFFF"/>
                <w:lang w:val="en-US"/>
              </w:rPr>
              <w:t>Note:</w:t>
            </w:r>
          </w:p>
          <w:p w:rsidR="005A0FE7" w:rsidRPr="00A35062" w:rsidRDefault="005A0FE7" w:rsidP="00A35062">
            <w:pPr>
              <w:ind w:firstLine="144"/>
              <w:rPr>
                <w:bCs/>
                <w:shd w:val="clear" w:color="auto" w:fill="FFFFFF"/>
                <w:lang w:val="en-US"/>
              </w:rPr>
            </w:pPr>
            <w:r w:rsidRPr="00A35062">
              <w:rPr>
                <w:bCs/>
                <w:shd w:val="clear" w:color="auto" w:fill="FFFFFF"/>
                <w:lang w:val="en-US"/>
              </w:rPr>
              <w:t>1. Straturile, depunerile și grămezile de pulbere combustibilă trebuie considerate ca orice altă sursă ce poate genera un mediu exploziv.</w:t>
            </w:r>
          </w:p>
          <w:p w:rsidR="005A0FE7" w:rsidRPr="00A35062" w:rsidRDefault="005A0FE7" w:rsidP="00A35062">
            <w:pPr>
              <w:rPr>
                <w:b/>
                <w:lang w:val="en-US"/>
              </w:rPr>
            </w:pPr>
            <w:proofErr w:type="gramStart"/>
            <w:r w:rsidRPr="00A35062">
              <w:rPr>
                <w:bCs/>
                <w:shd w:val="clear" w:color="auto" w:fill="FFFFFF"/>
                <w:lang w:val="en-US"/>
              </w:rPr>
              <w:t>2. ,,Func</w:t>
            </w:r>
            <w:proofErr w:type="gramEnd"/>
            <w:r w:rsidRPr="00A35062">
              <w:rPr>
                <w:bCs/>
                <w:shd w:val="clear" w:color="auto" w:fill="FFFFFF"/>
                <w:lang w:val="en-US"/>
              </w:rPr>
              <w:t xml:space="preserve">ționarea normală” reprezintă situația în care instalațiile sunt folosite în parametrii lor de </w:t>
            </w:r>
            <w:r w:rsidRPr="00A35062">
              <w:rPr>
                <w:bCs/>
                <w:shd w:val="clear" w:color="auto" w:fill="FFFFFF"/>
                <w:lang w:val="en-US"/>
              </w:rPr>
              <w:lastRenderedPageBreak/>
              <w:t>proiectare.</w:t>
            </w:r>
          </w:p>
        </w:tc>
        <w:tc>
          <w:tcPr>
            <w:tcW w:w="1890" w:type="dxa"/>
          </w:tcPr>
          <w:p w:rsidR="005A0FE7" w:rsidRPr="00102C96" w:rsidRDefault="005A0FE7">
            <w:pPr>
              <w:rPr>
                <w:lang w:val="en-US"/>
              </w:rPr>
            </w:pPr>
            <w:r>
              <w:rPr>
                <w:lang w:val="en-US"/>
              </w:rPr>
              <w:lastRenderedPageBreak/>
              <w:t xml:space="preserve">Compatibil </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A35062">
        <w:tc>
          <w:tcPr>
            <w:tcW w:w="3888" w:type="dxa"/>
            <w:gridSpan w:val="2"/>
          </w:tcPr>
          <w:p w:rsidR="005A0FE7" w:rsidRPr="00A35062" w:rsidRDefault="005A0FE7" w:rsidP="00A35062">
            <w:pPr>
              <w:pStyle w:val="title-annex-1"/>
              <w:shd w:val="clear" w:color="auto" w:fill="FFFFFF"/>
              <w:spacing w:before="0" w:beforeAutospacing="0" w:after="120" w:afterAutospacing="0"/>
              <w:jc w:val="center"/>
              <w:rPr>
                <w:b/>
                <w:iCs/>
                <w:lang w:val="ro-RO"/>
              </w:rPr>
            </w:pPr>
            <w:r w:rsidRPr="00A35062">
              <w:rPr>
                <w:b/>
                <w:iCs/>
                <w:lang w:val="ro-RO"/>
              </w:rPr>
              <w:lastRenderedPageBreak/>
              <w:t>ANEXA II</w:t>
            </w:r>
          </w:p>
          <w:p w:rsidR="005A0FE7" w:rsidRPr="00A35062" w:rsidRDefault="005A0FE7" w:rsidP="00A35062">
            <w:pPr>
              <w:jc w:val="center"/>
              <w:rPr>
                <w:b/>
                <w:lang w:val="ro-RO"/>
              </w:rPr>
            </w:pPr>
            <w:r w:rsidRPr="00A35062">
              <w:rPr>
                <w:b/>
                <w:lang w:val="ro-RO"/>
              </w:rPr>
              <w:t>A.   </w:t>
            </w:r>
            <w:r w:rsidRPr="00A35062">
              <w:rPr>
                <w:rFonts w:eastAsia="Calibri"/>
                <w:b/>
                <w:lang w:val="ro-RO"/>
              </w:rPr>
              <w:t>CERINȚE MINIME PENTRU ÎMBUNĂTĂȚIREA PROTECȚIEI SĂNĂTĂȚII ȘI SECURITĂȚII LUCRĂTORILOR EXPUȘI UNUI RISC POTENțIAL ÎN MEDII EXPLOZIVE</w:t>
            </w:r>
          </w:p>
          <w:p w:rsidR="005A0FE7" w:rsidRPr="00A35062" w:rsidRDefault="005A0FE7" w:rsidP="00A35062">
            <w:pPr>
              <w:rPr>
                <w:b/>
                <w:lang w:val="en-US"/>
              </w:rPr>
            </w:pPr>
            <w:r w:rsidRPr="00A35062">
              <w:rPr>
                <w:b/>
                <w:lang w:val="en-US"/>
              </w:rPr>
              <w:t>Notă introductivă</w:t>
            </w:r>
          </w:p>
          <w:p w:rsidR="005A0FE7" w:rsidRPr="00A35062" w:rsidRDefault="005A0FE7" w:rsidP="00A35062">
            <w:pPr>
              <w:rPr>
                <w:lang w:val="en-US"/>
              </w:rPr>
            </w:pPr>
            <w:r w:rsidRPr="00A35062">
              <w:rPr>
                <w:lang w:val="en-US"/>
              </w:rPr>
              <w:t>Obligațiile prevăzute în prezenta anexă se aplică: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r w:rsidRPr="00A35062">
                    <w:rPr>
                      <w:lang w:val="en-US"/>
                    </w:rPr>
                    <w:t>locurilor clasificate ca periculoase conform anexei I ori de câte ori este impusă de caracteristicile locurilor de muncă, ale punctelor de lucru, de echipamentele sau substanțele folosite sau de pericolul cauzat de activitatea în medii explozive;</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proofErr w:type="gramStart"/>
                  <w:r w:rsidRPr="00A35062">
                    <w:rPr>
                      <w:lang w:val="en-US"/>
                    </w:rPr>
                    <w:t>echipamentului</w:t>
                  </w:r>
                  <w:proofErr w:type="gramEnd"/>
                  <w:r w:rsidRPr="00A35062">
                    <w:rPr>
                      <w:lang w:val="en-US"/>
                    </w:rPr>
                    <w:t xml:space="preserve"> utilizat în locuri lipsite de pericol care ajută la folosirea în siguranță a echipamentului aflat în locuri periculoase.</w:t>
                  </w:r>
                </w:p>
              </w:tc>
            </w:tr>
          </w:tbl>
          <w:p w:rsidR="005A0FE7" w:rsidRPr="00A35062" w:rsidRDefault="005A0FE7" w:rsidP="00A35062">
            <w:pPr>
              <w:rPr>
                <w:b/>
                <w:lang w:val="en-US"/>
              </w:rPr>
            </w:pPr>
            <w:r w:rsidRPr="00A35062">
              <w:rPr>
                <w:b/>
                <w:lang w:val="en-US"/>
              </w:rPr>
              <w:t>1.   Măsuri organizatorice</w:t>
            </w:r>
          </w:p>
          <w:p w:rsidR="005A0FE7" w:rsidRPr="00A35062" w:rsidRDefault="005A0FE7" w:rsidP="00A35062">
            <w:pPr>
              <w:rPr>
                <w:b/>
                <w:lang w:val="en-US"/>
              </w:rPr>
            </w:pPr>
            <w:r w:rsidRPr="00A35062">
              <w:rPr>
                <w:b/>
                <w:lang w:val="en-US"/>
              </w:rPr>
              <w:t>1.1.   Formarea lucrătorilor</w:t>
            </w:r>
          </w:p>
          <w:p w:rsidR="005A0FE7" w:rsidRPr="00A35062" w:rsidRDefault="005A0FE7" w:rsidP="00A35062">
            <w:pPr>
              <w:ind w:firstLine="144"/>
              <w:rPr>
                <w:lang w:val="en-US"/>
              </w:rPr>
            </w:pPr>
            <w:r w:rsidRPr="00A35062">
              <w:rPr>
                <w:lang w:val="en-US"/>
              </w:rPr>
              <w:t>Angajatorul trebuie să le asigure celor care lucrează în locuri unde pot apărea medii explozive o formare corespunzătoare și suficientă cu privire la protecția împotriva exploziilor.</w:t>
            </w:r>
          </w:p>
          <w:p w:rsidR="005A0FE7" w:rsidRPr="00A35062" w:rsidRDefault="005A0FE7" w:rsidP="00A35062">
            <w:pPr>
              <w:rPr>
                <w:b/>
                <w:lang w:val="en-US"/>
              </w:rPr>
            </w:pPr>
            <w:r w:rsidRPr="00A35062">
              <w:rPr>
                <w:b/>
                <w:lang w:val="en-US"/>
              </w:rPr>
              <w:t>1.2.   Indicații scrise și permise de lucru</w:t>
            </w:r>
          </w:p>
          <w:p w:rsidR="005A0FE7" w:rsidRPr="00A35062" w:rsidRDefault="005A0FE7" w:rsidP="00A35062">
            <w:pPr>
              <w:rPr>
                <w:lang w:val="en-US"/>
              </w:rPr>
            </w:pPr>
            <w:r w:rsidRPr="00A35062">
              <w:rPr>
                <w:lang w:val="en-US"/>
              </w:rPr>
              <w:t>Acolo unde este cerut de documentul privind protecția împotriva exploziilor: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lastRenderedPageBreak/>
                    <w:t>—</w:t>
                  </w:r>
                </w:p>
              </w:tc>
              <w:tc>
                <w:tcPr>
                  <w:tcW w:w="3940" w:type="dxa"/>
                  <w:shd w:val="clear" w:color="auto" w:fill="FFFFFF"/>
                  <w:hideMark/>
                </w:tcPr>
                <w:p w:rsidR="005A0FE7" w:rsidRPr="00A35062" w:rsidRDefault="005A0FE7" w:rsidP="00A35062">
                  <w:pPr>
                    <w:rPr>
                      <w:lang w:val="en-US"/>
                    </w:rPr>
                  </w:pPr>
                  <w:r w:rsidRPr="00A35062">
                    <w:rPr>
                      <w:lang w:val="en-US"/>
                    </w:rPr>
                    <w:t>munca în locuri periculoase trebuie efectuată respectând instrucțiunile scrise emise de angajator;</w:t>
                  </w:r>
                </w:p>
              </w:tc>
            </w:tr>
          </w:tbl>
          <w:p w:rsidR="005A0FE7" w:rsidRPr="00A35062"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A35062">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proofErr w:type="gramStart"/>
                  <w:r w:rsidRPr="00A35062">
                    <w:rPr>
                      <w:lang w:val="en-US"/>
                    </w:rPr>
                    <w:t>trebuie</w:t>
                  </w:r>
                  <w:proofErr w:type="gramEnd"/>
                  <w:r w:rsidRPr="00A35062">
                    <w:rPr>
                      <w:lang w:val="en-US"/>
                    </w:rPr>
                    <w:t xml:space="preserve"> aplicat un sistem de permise de lucru pentru a îndeplini și activitățile periculoase și pe cele care pot interacționa cu alt gen de activitate, producând pericole.</w:t>
                  </w:r>
                </w:p>
              </w:tc>
            </w:tr>
          </w:tbl>
          <w:p w:rsidR="005A0FE7" w:rsidRPr="00A35062" w:rsidRDefault="005A0FE7" w:rsidP="00A35062">
            <w:pPr>
              <w:rPr>
                <w:lang w:val="en-US"/>
              </w:rPr>
            </w:pPr>
            <w:r w:rsidRPr="00A35062">
              <w:rPr>
                <w:lang w:val="en-US"/>
              </w:rPr>
              <w:t>Permisele de lucru trebuie emise anterior începerii lucrului de către o persoană cu responsabilitate în acest domeniu.</w:t>
            </w:r>
          </w:p>
          <w:p w:rsidR="005A0FE7" w:rsidRPr="00A35062" w:rsidRDefault="005A0FE7" w:rsidP="00A35062">
            <w:pPr>
              <w:rPr>
                <w:b/>
                <w:lang w:val="en-US"/>
              </w:rPr>
            </w:pPr>
            <w:r w:rsidRPr="00A35062">
              <w:rPr>
                <w:b/>
                <w:lang w:val="en-US"/>
              </w:rPr>
              <w:t>2.   Măsuri de protecție împotriva exploziilor</w:t>
            </w:r>
          </w:p>
          <w:p w:rsidR="005A0FE7" w:rsidRPr="00A35062" w:rsidRDefault="005A0FE7" w:rsidP="00A35062">
            <w:pPr>
              <w:rPr>
                <w:lang w:val="en-US"/>
              </w:rPr>
            </w:pPr>
            <w:r w:rsidRPr="00A35062">
              <w:rPr>
                <w:lang w:val="en-US"/>
              </w:rPr>
              <w:t>2.1.   Orice scurgere sau pierdere, voită sau nu, de gaze inflamabile, vapori, ceață sau pulbere combustibilă care poate produce pericole de explozie trebuie deviată sau îndepărtată corespunzător spre un loc sigur sau, dacă nu este posibil, trebuie oprită în condiții de securitate sau trebuie remediată prin altă metodă adecvată.</w:t>
            </w:r>
          </w:p>
          <w:p w:rsidR="005A0FE7" w:rsidRPr="00A35062" w:rsidRDefault="005A0FE7" w:rsidP="00A35062">
            <w:pPr>
              <w:rPr>
                <w:lang w:val="en-US"/>
              </w:rPr>
            </w:pPr>
            <w:r w:rsidRPr="00A35062">
              <w:rPr>
                <w:lang w:val="en-US"/>
              </w:rPr>
              <w:t>2.2.   Dacă un mediu exploziv conține mai multe tipuri de gaze, vapori, ceață sau pulberi inflamabile sau combustibile, măsurile de protecție trebuie să fie adecvate celui mai mare pericol posibil.</w:t>
            </w:r>
          </w:p>
          <w:p w:rsidR="005A0FE7" w:rsidRPr="00A35062" w:rsidRDefault="005A0FE7" w:rsidP="00A35062">
            <w:pPr>
              <w:ind w:firstLine="144"/>
              <w:rPr>
                <w:lang w:val="en-US"/>
              </w:rPr>
            </w:pPr>
            <w:r w:rsidRPr="00A35062">
              <w:rPr>
                <w:lang w:val="en-US"/>
              </w:rPr>
              <w:t xml:space="preserve">2.3.   Prevenirea pericolelor de aprindere conform articolului 3 trebuie, de asemenea, să ia în considerare descărcările electrostatice, acolo unde lucrătorii sau mediul de lucru acționează ca </w:t>
            </w:r>
            <w:r w:rsidRPr="00A35062">
              <w:rPr>
                <w:lang w:val="en-US"/>
              </w:rPr>
              <w:lastRenderedPageBreak/>
              <w:t>purtători sau producători de sarcină electrică.</w:t>
            </w:r>
          </w:p>
          <w:p w:rsidR="005A0FE7" w:rsidRPr="00A35062" w:rsidRDefault="005A0FE7" w:rsidP="00A35062">
            <w:pPr>
              <w:ind w:firstLine="144"/>
              <w:rPr>
                <w:lang w:val="en-US"/>
              </w:rPr>
            </w:pPr>
            <w:r w:rsidRPr="00A35062">
              <w:rPr>
                <w:lang w:val="en-US"/>
              </w:rPr>
              <w:t>Lucrătorilor trebuie să li se asigure haine de protecție corespunzătoare, din materiale ce nu produc descărcări electrostatice care pot aprinde mediile explozive.</w:t>
            </w:r>
          </w:p>
          <w:p w:rsidR="005A0FE7" w:rsidRPr="00A35062" w:rsidRDefault="005A0FE7" w:rsidP="00A35062">
            <w:pPr>
              <w:rPr>
                <w:lang w:val="en-US"/>
              </w:rPr>
            </w:pPr>
            <w:r w:rsidRPr="00A35062">
              <w:rPr>
                <w:lang w:val="en-US"/>
              </w:rPr>
              <w:t>2.4.   Instalația, echipamentul, sistemele de protecție și toate dispozitivele de conectare asociate trebuie puse în funcțiune doar dacă documentul privind protecția împotriva exploziilor permite utilizarea lor în siguranță în mediu exploziv. Aceasta se aplică și echipamentului de lucru și dispozitivelor de conectare asociate care nu sunt considerate echipament sau sisteme de protecție în conformitate cu Directiva 94/9/CE, dacă încorporarea lor într-o instalație poate produce pericol de aprindere. Trebuie luate măsurile necesare pentru prevenirea confuziei între dispozitivele de conectare.</w:t>
            </w:r>
          </w:p>
          <w:p w:rsidR="005A0FE7" w:rsidRPr="00A35062" w:rsidRDefault="005A0FE7" w:rsidP="00A35062">
            <w:pPr>
              <w:rPr>
                <w:lang w:val="en-US"/>
              </w:rPr>
            </w:pPr>
            <w:r w:rsidRPr="00A35062">
              <w:rPr>
                <w:lang w:val="en-US"/>
              </w:rPr>
              <w:t xml:space="preserve">2.5.   Trebuie luate toate măsurile necesare ca locul de muncă, echipamentul de lucru și toate dispozitivele de conectare asociate puse la dispoziția lucrătorilor să fie proiectate, construite, asamblate, instalate, întreținute și utilizate astfel încât să reducă la minimum pericolul de explozii și, dacă se produce o explozie, să controleze sau să reducă la minimum extinderea ei în acel loc de muncă și/sau la echipamentul de </w:t>
            </w:r>
            <w:r w:rsidRPr="00A35062">
              <w:rPr>
                <w:lang w:val="en-US"/>
              </w:rPr>
              <w:lastRenderedPageBreak/>
              <w:t>lucru. Pentru astfel de locuri de muncă trebuie luate măsuri corespunzătoare pentru a reduce la minimum efectele fizice ale exploziei asupra lucrătorilor.</w:t>
            </w:r>
          </w:p>
          <w:p w:rsidR="005A0FE7" w:rsidRPr="00A35062" w:rsidRDefault="005A0FE7" w:rsidP="00A35062">
            <w:pPr>
              <w:rPr>
                <w:lang w:val="en-US"/>
              </w:rPr>
            </w:pPr>
            <w:r w:rsidRPr="00A35062">
              <w:rPr>
                <w:lang w:val="en-US"/>
              </w:rPr>
              <w:t>2.6.   Acolo unde este cazul, lucrătorii trebuie avertizați prin semnale optice sau acustice și retrași înainte să se atingă condițiile de explozie.</w:t>
            </w:r>
          </w:p>
          <w:p w:rsidR="005A0FE7" w:rsidRPr="00A35062" w:rsidRDefault="005A0FE7" w:rsidP="00A35062">
            <w:pPr>
              <w:rPr>
                <w:lang w:val="en-US"/>
              </w:rPr>
            </w:pPr>
            <w:r w:rsidRPr="00A35062">
              <w:rPr>
                <w:lang w:val="en-US"/>
              </w:rPr>
              <w:t>2.7.   Acolo unde este prevăzut în documentul privind protecția împotriva exploziilor, trebuie asigurate și întreținute ieșiri de siguranță pentru a face posibilă, în caz de pericol, părăsirea de către lucrători, rapid și în condiții de securitate, a locurilor aflate în pericol.</w:t>
            </w:r>
          </w:p>
          <w:p w:rsidR="005A0FE7" w:rsidRPr="00A35062" w:rsidRDefault="005A0FE7" w:rsidP="00A35062">
            <w:pPr>
              <w:rPr>
                <w:lang w:val="en-US"/>
              </w:rPr>
            </w:pPr>
            <w:r w:rsidRPr="00A35062">
              <w:rPr>
                <w:lang w:val="en-US"/>
              </w:rPr>
              <w:t>2.8.   Înainte ca un loc de muncă unde pot apărea medii explozive să fie folosit pentru prima oară, trebuie verificată siguranța sa globală față de explozii. Trebuie întreținute toate condițiile necesare pentru asigurarea protecției împotriva exploziilor.</w:t>
            </w:r>
          </w:p>
          <w:p w:rsidR="005A0FE7" w:rsidRPr="00A35062" w:rsidRDefault="005A0FE7" w:rsidP="00A35062">
            <w:pPr>
              <w:ind w:firstLine="144"/>
              <w:rPr>
                <w:lang w:val="en-US"/>
              </w:rPr>
            </w:pPr>
            <w:r w:rsidRPr="00A35062">
              <w:rPr>
                <w:lang w:val="en-US"/>
              </w:rPr>
              <w:t>Aceste verificări trebuie să fie efectuate de persoane competente în domeniul protecției împotriva exploziilor, care au experiență sau pregătire profesională.</w:t>
            </w:r>
          </w:p>
          <w:p w:rsidR="005A0FE7" w:rsidRPr="00A35062" w:rsidRDefault="005A0FE7" w:rsidP="00A35062">
            <w:pPr>
              <w:rPr>
                <w:lang w:val="en-US"/>
              </w:rPr>
            </w:pPr>
            <w:r w:rsidRPr="00A35062">
              <w:rPr>
                <w:lang w:val="en-US"/>
              </w:rPr>
              <w:t>2.9.   Dacă evaluarea riscurilor arată că este necesar: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90"/>
              <w:gridCol w:w="3582"/>
            </w:tblGrid>
            <w:tr w:rsidR="005A0FE7" w:rsidRPr="00ED456A" w:rsidTr="00A35062">
              <w:tc>
                <w:tcPr>
                  <w:tcW w:w="90" w:type="dxa"/>
                  <w:shd w:val="clear" w:color="auto" w:fill="FFFFFF"/>
                  <w:hideMark/>
                </w:tcPr>
                <w:p w:rsidR="005A0FE7" w:rsidRPr="00A35062" w:rsidRDefault="005A0FE7" w:rsidP="00A35062">
                  <w:r w:rsidRPr="00A35062">
                    <w:t>—</w:t>
                  </w:r>
                </w:p>
              </w:tc>
              <w:tc>
                <w:tcPr>
                  <w:tcW w:w="3582" w:type="dxa"/>
                  <w:shd w:val="clear" w:color="auto" w:fill="FFFFFF"/>
                  <w:hideMark/>
                </w:tcPr>
                <w:p w:rsidR="005A0FE7" w:rsidRPr="00E27A0F" w:rsidRDefault="005A0FE7" w:rsidP="00A35062">
                  <w:pPr>
                    <w:rPr>
                      <w:lang w:val="en-US"/>
                    </w:rPr>
                  </w:pPr>
                  <w:r w:rsidRPr="00E27A0F">
                    <w:rPr>
                      <w:lang w:val="en-US"/>
                    </w:rPr>
                    <w:t xml:space="preserve">acolo unde o pană de curent poate produce extinderea unor pericole suplimentare, trebuie să fie posibilă menținerea echipamentului și a sistemelor de protecție în stare sigură de funcționare, independent de restul </w:t>
                  </w:r>
                  <w:r w:rsidRPr="00E27A0F">
                    <w:rPr>
                      <w:lang w:val="en-US"/>
                    </w:rPr>
                    <w:lastRenderedPageBreak/>
                    <w:t>instalației;</w:t>
                  </w:r>
                </w:p>
              </w:tc>
            </w:tr>
          </w:tbl>
          <w:p w:rsidR="005A0FE7" w:rsidRPr="00E27A0F"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90"/>
              <w:gridCol w:w="3582"/>
            </w:tblGrid>
            <w:tr w:rsidR="005A0FE7" w:rsidRPr="00ED456A" w:rsidTr="00A35062">
              <w:tc>
                <w:tcPr>
                  <w:tcW w:w="90" w:type="dxa"/>
                  <w:shd w:val="clear" w:color="auto" w:fill="FFFFFF"/>
                  <w:hideMark/>
                </w:tcPr>
                <w:p w:rsidR="005A0FE7" w:rsidRPr="00A35062" w:rsidRDefault="005A0FE7" w:rsidP="00A35062">
                  <w:r w:rsidRPr="00A35062">
                    <w:t>—</w:t>
                  </w:r>
                </w:p>
              </w:tc>
              <w:tc>
                <w:tcPr>
                  <w:tcW w:w="3582" w:type="dxa"/>
                  <w:shd w:val="clear" w:color="auto" w:fill="FFFFFF"/>
                  <w:hideMark/>
                </w:tcPr>
                <w:p w:rsidR="005A0FE7" w:rsidRPr="00E27A0F" w:rsidRDefault="005A0FE7" w:rsidP="00A35062">
                  <w:pPr>
                    <w:rPr>
                      <w:lang w:val="en-US"/>
                    </w:rPr>
                  </w:pPr>
                  <w:r w:rsidRPr="00E27A0F">
                    <w:rPr>
                      <w:lang w:val="en-US"/>
                    </w:rPr>
                    <w:t>pentru a opri echipamentul și sistemele de protecție implicate în procese automate care deviază de la condițiile de lucru dorite, trebuie să fie posibilă oprirea manuală a instalației, cu condiția ca aceasta să nu compromită siguranța. Doar lucrătorii competenți pot face această acțiune;</w:t>
                  </w:r>
                </w:p>
              </w:tc>
            </w:tr>
          </w:tbl>
          <w:p w:rsidR="005A0FE7" w:rsidRPr="00E27A0F"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81"/>
              <w:gridCol w:w="3591"/>
            </w:tblGrid>
            <w:tr w:rsidR="005A0FE7" w:rsidRPr="00ED456A" w:rsidTr="00A35062">
              <w:tc>
                <w:tcPr>
                  <w:tcW w:w="90" w:type="dxa"/>
                  <w:shd w:val="clear" w:color="auto" w:fill="FFFFFF"/>
                  <w:hideMark/>
                </w:tcPr>
                <w:p w:rsidR="005A0FE7" w:rsidRPr="00A35062" w:rsidRDefault="005A0FE7" w:rsidP="00A35062">
                  <w:r w:rsidRPr="00A35062">
                    <w:t>—</w:t>
                  </w:r>
                </w:p>
              </w:tc>
              <w:tc>
                <w:tcPr>
                  <w:tcW w:w="4090" w:type="dxa"/>
                  <w:shd w:val="clear" w:color="auto" w:fill="FFFFFF"/>
                  <w:hideMark/>
                </w:tcPr>
                <w:p w:rsidR="005A0FE7" w:rsidRPr="00A35062" w:rsidRDefault="005A0FE7" w:rsidP="00A35062">
                  <w:r w:rsidRPr="00A35062">
                    <w:t>la oprirea în caz de urgență, energia acumulată trebuie disipată cât mai repede și mai sigur posibil sau izolată astfel încât să nu mai constituie un pericol.</w:t>
                  </w:r>
                </w:p>
                <w:p w:rsidR="005A0FE7" w:rsidRPr="00A35062" w:rsidRDefault="005A0FE7" w:rsidP="00A35062"/>
                <w:p w:rsidR="005A0FE7" w:rsidRPr="00E27A0F" w:rsidRDefault="005A0FE7" w:rsidP="00A35062">
                  <w:pPr>
                    <w:jc w:val="center"/>
                    <w:rPr>
                      <w:b/>
                      <w:lang w:val="en-US"/>
                    </w:rPr>
                  </w:pPr>
                  <w:r w:rsidRPr="00E27A0F">
                    <w:rPr>
                      <w:b/>
                      <w:lang w:val="en-US"/>
                    </w:rPr>
                    <w:t>B.   CRITERII PENTRU ALEGEREA ECHIPAMENTULUI ȘI A SISTEMELOR DE PROTECȚIE</w:t>
                  </w:r>
                </w:p>
                <w:p w:rsidR="005A0FE7" w:rsidRPr="00E27A0F" w:rsidRDefault="005A0FE7" w:rsidP="00A35062">
                  <w:pPr>
                    <w:ind w:firstLine="144"/>
                    <w:rPr>
                      <w:lang w:val="en-US"/>
                    </w:rPr>
                  </w:pPr>
                  <w:r w:rsidRPr="00E27A0F">
                    <w:rPr>
                      <w:lang w:val="en-US"/>
                    </w:rPr>
                    <w:t>Dacă documentul privind protecția împotriva exploziilor bazat pe o evaluare a riscurilor nu prevede altfel, echipamentul și sistemele de protecție pentru toate locurile în care pot apărea medii explozive trebuie alese în funcție de categoriile stabilite în Directiva 94/9/CE.</w:t>
                  </w:r>
                </w:p>
                <w:p w:rsidR="005A0FE7" w:rsidRPr="00E27A0F" w:rsidRDefault="005A0FE7" w:rsidP="00A35062">
                  <w:pPr>
                    <w:rPr>
                      <w:lang w:val="en-US"/>
                    </w:rPr>
                  </w:pPr>
                  <w:r w:rsidRPr="00E27A0F">
                    <w:rPr>
                      <w:lang w:val="en-US"/>
                    </w:rPr>
                    <w:t>În special, următoarele categorii de echipament trebuie folosite în zonele indicate, cu condiția ca ele să fie adecvate naturii gazelor, vaporilor sau ceței și/sau pulberilor după cum urmează:</w:t>
                  </w:r>
                </w:p>
                <w:tbl>
                  <w:tblPr>
                    <w:tblW w:w="5000" w:type="pct"/>
                    <w:shd w:val="clear" w:color="auto" w:fill="FFFFFF"/>
                    <w:tblLayout w:type="fixed"/>
                    <w:tblCellMar>
                      <w:left w:w="0" w:type="dxa"/>
                      <w:right w:w="0" w:type="dxa"/>
                    </w:tblCellMar>
                    <w:tblLook w:val="04A0" w:firstRow="1" w:lastRow="0" w:firstColumn="1" w:lastColumn="0" w:noHBand="0" w:noVBand="1"/>
                  </w:tblPr>
                  <w:tblGrid>
                    <w:gridCol w:w="99"/>
                    <w:gridCol w:w="3492"/>
                  </w:tblGrid>
                  <w:tr w:rsidR="005A0FE7" w:rsidRPr="00ED456A" w:rsidTr="00A35062">
                    <w:tc>
                      <w:tcPr>
                        <w:tcW w:w="99" w:type="dxa"/>
                        <w:shd w:val="clear" w:color="auto" w:fill="FFFFFF"/>
                        <w:hideMark/>
                      </w:tcPr>
                      <w:p w:rsidR="005A0FE7" w:rsidRPr="00A35062" w:rsidRDefault="005A0FE7" w:rsidP="00A35062">
                        <w:r w:rsidRPr="00A35062">
                          <w:t>—</w:t>
                        </w:r>
                      </w:p>
                    </w:tc>
                    <w:tc>
                      <w:tcPr>
                        <w:tcW w:w="3492" w:type="dxa"/>
                        <w:shd w:val="clear" w:color="auto" w:fill="FFFFFF"/>
                        <w:hideMark/>
                      </w:tcPr>
                      <w:p w:rsidR="005A0FE7" w:rsidRPr="00E27A0F" w:rsidRDefault="005A0FE7" w:rsidP="00A35062">
                        <w:pPr>
                          <w:rPr>
                            <w:lang w:val="en-US"/>
                          </w:rPr>
                        </w:pPr>
                        <w:r w:rsidRPr="00E27A0F">
                          <w:rPr>
                            <w:lang w:val="en-US"/>
                          </w:rPr>
                          <w:t xml:space="preserve">în zona 0 sau zona 20, echipament </w:t>
                        </w:r>
                        <w:r w:rsidRPr="00E27A0F">
                          <w:rPr>
                            <w:lang w:val="en-US"/>
                          </w:rPr>
                          <w:lastRenderedPageBreak/>
                          <w:t>de categoria 1;</w:t>
                        </w:r>
                      </w:p>
                    </w:tc>
                  </w:tr>
                </w:tbl>
                <w:p w:rsidR="005A0FE7" w:rsidRPr="00E27A0F" w:rsidRDefault="005A0FE7" w:rsidP="00A35062">
                  <w:pPr>
                    <w:rPr>
                      <w:lang w:val="en-US"/>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99"/>
                    <w:gridCol w:w="3492"/>
                  </w:tblGrid>
                  <w:tr w:rsidR="005A0FE7" w:rsidRPr="00ED456A" w:rsidTr="00A35062">
                    <w:tc>
                      <w:tcPr>
                        <w:tcW w:w="99" w:type="dxa"/>
                        <w:shd w:val="clear" w:color="auto" w:fill="FFFFFF"/>
                        <w:hideMark/>
                      </w:tcPr>
                      <w:p w:rsidR="005A0FE7" w:rsidRPr="00A35062" w:rsidRDefault="005A0FE7" w:rsidP="00A35062">
                        <w:r w:rsidRPr="00A35062">
                          <w:t>—</w:t>
                        </w:r>
                      </w:p>
                    </w:tc>
                    <w:tc>
                      <w:tcPr>
                        <w:tcW w:w="3492" w:type="dxa"/>
                        <w:shd w:val="clear" w:color="auto" w:fill="FFFFFF"/>
                        <w:hideMark/>
                      </w:tcPr>
                      <w:p w:rsidR="005A0FE7" w:rsidRPr="00E27A0F" w:rsidRDefault="005A0FE7" w:rsidP="00A35062">
                        <w:pPr>
                          <w:rPr>
                            <w:lang w:val="en-US"/>
                          </w:rPr>
                        </w:pPr>
                        <w:r w:rsidRPr="00E27A0F">
                          <w:rPr>
                            <w:lang w:val="en-US"/>
                          </w:rPr>
                          <w:t>în zona 1 sau zona 21, echipament de categoria 1 sau 2;</w:t>
                        </w:r>
                      </w:p>
                    </w:tc>
                  </w:tr>
                </w:tbl>
                <w:p w:rsidR="005A0FE7" w:rsidRPr="00A35062" w:rsidRDefault="005A0FE7" w:rsidP="00A35062">
                  <w:pPr>
                    <w:rPr>
                      <w:lang w:val="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99"/>
                    <w:gridCol w:w="3492"/>
                  </w:tblGrid>
                  <w:tr w:rsidR="005A0FE7" w:rsidRPr="00ED456A" w:rsidTr="00A35062">
                    <w:tc>
                      <w:tcPr>
                        <w:tcW w:w="99" w:type="dxa"/>
                        <w:shd w:val="clear" w:color="auto" w:fill="FFFFFF"/>
                        <w:hideMark/>
                      </w:tcPr>
                      <w:p w:rsidR="005A0FE7" w:rsidRPr="00A35062" w:rsidRDefault="005A0FE7" w:rsidP="00A35062">
                        <w:r w:rsidRPr="00A35062">
                          <w:t>—</w:t>
                        </w:r>
                      </w:p>
                    </w:tc>
                    <w:tc>
                      <w:tcPr>
                        <w:tcW w:w="3492" w:type="dxa"/>
                        <w:shd w:val="clear" w:color="auto" w:fill="FFFFFF"/>
                        <w:hideMark/>
                      </w:tcPr>
                      <w:p w:rsidR="005A0FE7" w:rsidRPr="00E27A0F" w:rsidRDefault="005A0FE7" w:rsidP="00A35062">
                        <w:pPr>
                          <w:rPr>
                            <w:lang w:val="en-US"/>
                          </w:rPr>
                        </w:pPr>
                        <w:proofErr w:type="gramStart"/>
                        <w:r w:rsidRPr="00E27A0F">
                          <w:rPr>
                            <w:lang w:val="en-US"/>
                          </w:rPr>
                          <w:t>în</w:t>
                        </w:r>
                        <w:proofErr w:type="gramEnd"/>
                        <w:r w:rsidRPr="00E27A0F">
                          <w:rPr>
                            <w:lang w:val="en-US"/>
                          </w:rPr>
                          <w:t xml:space="preserve"> zona 2 sau zona 22, echipament de categoria 1, 2 sau 3.</w:t>
                        </w:r>
                      </w:p>
                    </w:tc>
                  </w:tr>
                </w:tbl>
                <w:p w:rsidR="005A0FE7" w:rsidRPr="00E27A0F" w:rsidRDefault="005A0FE7" w:rsidP="00A35062">
                  <w:pPr>
                    <w:rPr>
                      <w:lang w:val="en-US"/>
                    </w:rPr>
                  </w:pPr>
                </w:p>
              </w:tc>
            </w:tr>
          </w:tbl>
          <w:p w:rsidR="005A0FE7" w:rsidRPr="00A35062" w:rsidRDefault="005A0FE7" w:rsidP="00A35062">
            <w:pPr>
              <w:ind w:firstLine="144"/>
              <w:jc w:val="center"/>
              <w:rPr>
                <w:lang w:val="ro-RO"/>
              </w:rPr>
            </w:pPr>
          </w:p>
        </w:tc>
        <w:tc>
          <w:tcPr>
            <w:tcW w:w="3780" w:type="dxa"/>
          </w:tcPr>
          <w:p w:rsidR="005A0FE7" w:rsidRPr="00E27A0F" w:rsidRDefault="005A0FE7" w:rsidP="00A35062">
            <w:pPr>
              <w:jc w:val="right"/>
              <w:rPr>
                <w:bCs/>
                <w:i/>
                <w:sz w:val="20"/>
                <w:szCs w:val="20"/>
                <w:shd w:val="clear" w:color="auto" w:fill="FFFFFF"/>
                <w:lang w:val="ro-RO"/>
              </w:rPr>
            </w:pPr>
            <w:r w:rsidRPr="00E27A0F">
              <w:rPr>
                <w:bCs/>
                <w:i/>
                <w:sz w:val="20"/>
                <w:szCs w:val="20"/>
                <w:shd w:val="clear" w:color="auto" w:fill="FFFFFF"/>
                <w:lang w:val="ro-RO"/>
              </w:rPr>
              <w:lastRenderedPageBreak/>
              <w:t xml:space="preserve">Anexa nr.2 </w:t>
            </w:r>
          </w:p>
          <w:p w:rsidR="005A0FE7" w:rsidRPr="00E27A0F" w:rsidRDefault="005A0FE7" w:rsidP="00A35062">
            <w:pPr>
              <w:jc w:val="right"/>
              <w:rPr>
                <w:bCs/>
                <w:i/>
                <w:sz w:val="20"/>
                <w:szCs w:val="20"/>
                <w:shd w:val="clear" w:color="auto" w:fill="FFFFFF"/>
                <w:lang w:val="ro-RO"/>
              </w:rPr>
            </w:pPr>
            <w:r w:rsidRPr="00E27A0F">
              <w:rPr>
                <w:bCs/>
                <w:i/>
                <w:sz w:val="20"/>
                <w:szCs w:val="20"/>
                <w:shd w:val="clear" w:color="auto" w:fill="FFFFFF"/>
                <w:lang w:val="ro-RO"/>
              </w:rPr>
              <w:t>la Cerințele minime</w:t>
            </w:r>
          </w:p>
          <w:p w:rsidR="005A0FE7" w:rsidRPr="00E27A0F" w:rsidRDefault="00CA641D" w:rsidP="00CA641D">
            <w:pPr>
              <w:jc w:val="right"/>
              <w:rPr>
                <w:bCs/>
                <w:i/>
                <w:sz w:val="20"/>
                <w:szCs w:val="20"/>
                <w:shd w:val="clear" w:color="auto" w:fill="FFFFFF"/>
                <w:lang w:val="ro-RO"/>
              </w:rPr>
            </w:pPr>
            <w:r w:rsidRPr="00E27A0F">
              <w:rPr>
                <w:bCs/>
                <w:i/>
                <w:sz w:val="20"/>
                <w:szCs w:val="20"/>
                <w:shd w:val="clear" w:color="auto" w:fill="FFFFFF"/>
                <w:lang w:val="ro-RO"/>
              </w:rPr>
              <w:t xml:space="preserve">pentru îmbunătățirea protecției </w:t>
            </w:r>
            <w:r w:rsidR="005A0FE7" w:rsidRPr="00E27A0F">
              <w:rPr>
                <w:bCs/>
                <w:i/>
                <w:sz w:val="20"/>
                <w:szCs w:val="20"/>
                <w:shd w:val="clear" w:color="auto" w:fill="FFFFFF"/>
                <w:lang w:val="ro-RO"/>
              </w:rPr>
              <w:t>sănătății și securității lucrătorilor expuși unui potențial risc în medii explozive</w:t>
            </w:r>
          </w:p>
          <w:p w:rsidR="005A0FE7" w:rsidRPr="00E27A0F" w:rsidRDefault="005A0FE7" w:rsidP="00A35062">
            <w:pPr>
              <w:jc w:val="center"/>
              <w:rPr>
                <w:b/>
                <w:lang w:val="ro-RO"/>
              </w:rPr>
            </w:pPr>
            <w:r w:rsidRPr="00E27A0F">
              <w:rPr>
                <w:b/>
                <w:lang w:val="ro-RO"/>
              </w:rPr>
              <w:t xml:space="preserve"> </w:t>
            </w:r>
          </w:p>
          <w:p w:rsidR="005A0FE7" w:rsidRPr="00E27A0F" w:rsidRDefault="005A0FE7" w:rsidP="00A35062">
            <w:pPr>
              <w:jc w:val="center"/>
              <w:rPr>
                <w:b/>
                <w:lang w:val="ro-RO"/>
              </w:rPr>
            </w:pPr>
            <w:r w:rsidRPr="00E27A0F">
              <w:rPr>
                <w:b/>
                <w:lang w:val="ro-RO"/>
              </w:rPr>
              <w:t>A. CERINȚE MINIME PENTRU ÎMBUNĂTĂȚIREA PROTECȚIEI SĂNĂTĂȚII ȘI SECURITĂȚII LUCRĂTORILOR EXPUȘI UNUI RISC POTENȚIAL ÎN MEDII EXPLOZIVE</w:t>
            </w:r>
          </w:p>
          <w:p w:rsidR="005A0FE7" w:rsidRPr="00A35062" w:rsidRDefault="005A0FE7" w:rsidP="00A35062">
            <w:pPr>
              <w:ind w:firstLine="144"/>
              <w:rPr>
                <w:b/>
                <w:lang w:val="ro-RO"/>
              </w:rPr>
            </w:pPr>
          </w:p>
          <w:p w:rsidR="005A0FE7" w:rsidRPr="00A35062" w:rsidRDefault="005A0FE7" w:rsidP="00A35062">
            <w:pPr>
              <w:ind w:firstLine="144"/>
              <w:rPr>
                <w:b/>
                <w:lang w:val="en-US"/>
              </w:rPr>
            </w:pPr>
            <w:r w:rsidRPr="00A35062">
              <w:rPr>
                <w:b/>
                <w:lang w:val="en-US"/>
              </w:rPr>
              <w:t>Notă introductivă:</w:t>
            </w:r>
          </w:p>
          <w:p w:rsidR="005A0FE7" w:rsidRPr="00A35062" w:rsidRDefault="005A0FE7" w:rsidP="00A35062">
            <w:pPr>
              <w:ind w:firstLine="144"/>
              <w:rPr>
                <w:lang w:val="en-US"/>
              </w:rPr>
            </w:pPr>
            <w:r w:rsidRPr="00A35062">
              <w:rPr>
                <w:lang w:val="en-US"/>
              </w:rPr>
              <w:t>Obligațiile prevăzute în prezenta anexă, se aplică:</w:t>
            </w:r>
          </w:p>
          <w:p w:rsidR="005A0FE7" w:rsidRPr="00A35062" w:rsidRDefault="005A0FE7" w:rsidP="00A35062">
            <w:pPr>
              <w:ind w:firstLine="144"/>
              <w:rPr>
                <w:lang w:val="en-US"/>
              </w:rPr>
            </w:pPr>
            <w:r w:rsidRPr="00A35062">
              <w:rPr>
                <w:lang w:val="en-US"/>
              </w:rPr>
              <w:t xml:space="preserve"> locurilor clasificate ca periculoase conform Anexei nr.1 ori de câte ori este impusă de caracteristicile locurilor de muncă, ale punctelor de lucru, de echipamentele sau substanțele folosite sau de pericolul cauzat de activitatea în medii explozive;</w:t>
            </w:r>
          </w:p>
          <w:p w:rsidR="005A0FE7" w:rsidRPr="00A35062" w:rsidRDefault="005A0FE7" w:rsidP="00A35062">
            <w:pPr>
              <w:ind w:firstLine="144"/>
              <w:rPr>
                <w:lang w:val="en-US"/>
              </w:rPr>
            </w:pPr>
            <w:r w:rsidRPr="00A35062">
              <w:rPr>
                <w:lang w:val="en-US"/>
              </w:rPr>
              <w:t xml:space="preserve"> </w:t>
            </w:r>
            <w:proofErr w:type="gramStart"/>
            <w:r w:rsidRPr="00A35062">
              <w:rPr>
                <w:lang w:val="en-US"/>
              </w:rPr>
              <w:t>echipamentului</w:t>
            </w:r>
            <w:proofErr w:type="gramEnd"/>
            <w:r w:rsidRPr="00A35062">
              <w:rPr>
                <w:lang w:val="en-US"/>
              </w:rPr>
              <w:t xml:space="preserve"> utilizat în locuri lipsite de pericol care ajută la folosirea în siguranță a echipamentului aflat în locuri periculoase.</w:t>
            </w:r>
          </w:p>
          <w:p w:rsidR="005A0FE7" w:rsidRPr="00A35062" w:rsidRDefault="005A0FE7" w:rsidP="00A35062">
            <w:pPr>
              <w:rPr>
                <w:b/>
                <w:lang w:val="en-US"/>
              </w:rPr>
            </w:pPr>
            <w:r w:rsidRPr="00A35062">
              <w:rPr>
                <w:b/>
                <w:lang w:val="ro-RO"/>
              </w:rPr>
              <w:t xml:space="preserve">1. </w:t>
            </w:r>
            <w:r w:rsidRPr="00A35062">
              <w:rPr>
                <w:b/>
                <w:lang w:val="en-US"/>
              </w:rPr>
              <w:t>Măsuri organizatorice</w:t>
            </w:r>
          </w:p>
          <w:p w:rsidR="005A0FE7" w:rsidRPr="00A35062" w:rsidRDefault="005A0FE7" w:rsidP="00A35062">
            <w:pPr>
              <w:rPr>
                <w:i/>
                <w:lang w:val="en-US"/>
              </w:rPr>
            </w:pPr>
            <w:r w:rsidRPr="00A35062">
              <w:rPr>
                <w:i/>
                <w:lang w:val="en-US"/>
              </w:rPr>
              <w:t>1.1. Formarea lucrătorilor</w:t>
            </w:r>
          </w:p>
          <w:p w:rsidR="005A0FE7" w:rsidRPr="00A35062" w:rsidRDefault="005A0FE7" w:rsidP="00A35062">
            <w:pPr>
              <w:ind w:firstLine="144"/>
              <w:rPr>
                <w:lang w:val="en-US"/>
              </w:rPr>
            </w:pPr>
            <w:r w:rsidRPr="00A35062">
              <w:rPr>
                <w:lang w:val="en-US"/>
              </w:rPr>
              <w:t xml:space="preserve">Angajatorul trebuie să le asigure celor care lucrează în locuri unde pot apărea medii explozive o formare corespunzătoare și suficientă cu privire la protecția împotriva </w:t>
            </w:r>
            <w:r w:rsidRPr="00A35062">
              <w:rPr>
                <w:lang w:val="en-US"/>
              </w:rPr>
              <w:lastRenderedPageBreak/>
              <w:t xml:space="preserve">exploziilor. </w:t>
            </w:r>
          </w:p>
          <w:p w:rsidR="005A0FE7" w:rsidRPr="00A35062" w:rsidRDefault="005A0FE7" w:rsidP="00A35062">
            <w:pPr>
              <w:rPr>
                <w:i/>
                <w:lang w:val="en-US"/>
              </w:rPr>
            </w:pPr>
            <w:r w:rsidRPr="00A35062">
              <w:rPr>
                <w:i/>
                <w:lang w:val="en-US"/>
              </w:rPr>
              <w:t>1.2. Indicații scrise și permise de lucru</w:t>
            </w:r>
          </w:p>
          <w:p w:rsidR="005A0FE7" w:rsidRPr="00A35062" w:rsidRDefault="005A0FE7" w:rsidP="00A35062">
            <w:pPr>
              <w:ind w:firstLine="144"/>
              <w:rPr>
                <w:lang w:val="en-US"/>
              </w:rPr>
            </w:pPr>
            <w:r w:rsidRPr="00A35062">
              <w:rPr>
                <w:lang w:val="en-US"/>
              </w:rPr>
              <w:t>Acolo unde este cerut de documentul privind protecția împotriva exploziilor:</w:t>
            </w:r>
          </w:p>
          <w:p w:rsidR="005A0FE7" w:rsidRPr="00A35062" w:rsidRDefault="005A0FE7" w:rsidP="00A35062">
            <w:pPr>
              <w:ind w:firstLine="144"/>
              <w:rPr>
                <w:lang w:val="en-US"/>
              </w:rPr>
            </w:pPr>
            <w:r w:rsidRPr="00A35062">
              <w:rPr>
                <w:lang w:val="en-US"/>
              </w:rPr>
              <w:t>munca în locuri periculoase trebuie efectuată respectând instrucțiunile aprobate de angajator;</w:t>
            </w:r>
          </w:p>
          <w:p w:rsidR="005A0FE7" w:rsidRPr="00A35062" w:rsidRDefault="005A0FE7" w:rsidP="00A35062">
            <w:pPr>
              <w:ind w:firstLine="144"/>
              <w:rPr>
                <w:lang w:val="en-US"/>
              </w:rPr>
            </w:pPr>
            <w:proofErr w:type="gramStart"/>
            <w:r w:rsidRPr="00A35062">
              <w:rPr>
                <w:lang w:val="en-US"/>
              </w:rPr>
              <w:t>trebuie</w:t>
            </w:r>
            <w:proofErr w:type="gramEnd"/>
            <w:r w:rsidRPr="00A35062">
              <w:rPr>
                <w:lang w:val="en-US"/>
              </w:rPr>
              <w:t xml:space="preserve"> aplicat un sistem de permise de lucru pentru a îndeplini și activitățile periculoase și pe cele care pot interacționa cu alt gen de activitate, producând pericole.</w:t>
            </w:r>
          </w:p>
          <w:p w:rsidR="005A0FE7" w:rsidRPr="00A35062" w:rsidRDefault="005A0FE7" w:rsidP="00A35062">
            <w:pPr>
              <w:ind w:firstLine="144"/>
              <w:rPr>
                <w:lang w:val="en-US"/>
              </w:rPr>
            </w:pPr>
            <w:r w:rsidRPr="00A35062">
              <w:rPr>
                <w:lang w:val="en-US"/>
              </w:rPr>
              <w:t>Permisele de lucru trebuie emise anterior începerii lucrului de către o persoană cu responsabilitate în acest domeniu.</w:t>
            </w:r>
          </w:p>
          <w:p w:rsidR="005A0FE7" w:rsidRPr="00A35062" w:rsidRDefault="005A0FE7" w:rsidP="00A35062">
            <w:pPr>
              <w:rPr>
                <w:b/>
                <w:lang w:val="en-US"/>
              </w:rPr>
            </w:pPr>
            <w:r w:rsidRPr="00A35062">
              <w:rPr>
                <w:b/>
                <w:lang w:val="ro-RO"/>
              </w:rPr>
              <w:t xml:space="preserve">2. </w:t>
            </w:r>
            <w:r w:rsidRPr="00A35062">
              <w:rPr>
                <w:b/>
                <w:lang w:val="en-US"/>
              </w:rPr>
              <w:t>Măsuri de protecție împotriva exploziilor</w:t>
            </w:r>
          </w:p>
          <w:p w:rsidR="005A0FE7" w:rsidRPr="00A35062" w:rsidRDefault="005A0FE7" w:rsidP="00A35062">
            <w:pPr>
              <w:rPr>
                <w:lang w:val="en-US"/>
              </w:rPr>
            </w:pPr>
            <w:r w:rsidRPr="00A35062">
              <w:rPr>
                <w:lang w:val="en-US"/>
              </w:rPr>
              <w:t>2.1. Orice scurgere sau pierdere, voită sau nu, de gaze inflamabile, vapori, ceață sau pulbere combustibilă care poate produce pericole de explozie trebuie deviată sau îndepărtată corespunzător spre un loc sigur sau, dacă nu este posibil, trebuie oprită în condiții de securitate sau trebuie remediată prin altă metodă adecvată.</w:t>
            </w:r>
          </w:p>
          <w:p w:rsidR="005A0FE7" w:rsidRPr="00A35062" w:rsidRDefault="005A0FE7" w:rsidP="00A35062">
            <w:pPr>
              <w:rPr>
                <w:lang w:val="en-US"/>
              </w:rPr>
            </w:pPr>
            <w:r w:rsidRPr="00A35062">
              <w:rPr>
                <w:lang w:val="en-US"/>
              </w:rPr>
              <w:t>2.2. Dacă un mediu exploziv conține mai multe tipuri de gaz, vapori, ceață sau pulberi inflamabile sau combustibile, măsurabile de protecție trebuie să fie adecvate celui mai mare pericol posibil.</w:t>
            </w:r>
          </w:p>
          <w:p w:rsidR="005A0FE7" w:rsidRPr="00A35062" w:rsidRDefault="005A0FE7" w:rsidP="00A35062">
            <w:pPr>
              <w:rPr>
                <w:lang w:val="en-US"/>
              </w:rPr>
            </w:pPr>
            <w:r w:rsidRPr="00A35062">
              <w:rPr>
                <w:lang w:val="en-US"/>
              </w:rPr>
              <w:t xml:space="preserve">2.3. Prevenirea pericolelor de </w:t>
            </w:r>
            <w:r w:rsidRPr="00A35062">
              <w:rPr>
                <w:lang w:val="en-US"/>
              </w:rPr>
              <w:lastRenderedPageBreak/>
              <w:t xml:space="preserve">aprindere conform pct. 4 din </w:t>
            </w:r>
            <w:r w:rsidRPr="00A35062">
              <w:rPr>
                <w:bCs/>
                <w:shd w:val="clear" w:color="auto" w:fill="FFFFFF"/>
                <w:lang w:val="en-US"/>
              </w:rPr>
              <w:t>Cerințele minime pentru îmbunătățirea protecției sănătății și securității lucrătorilor expuși unui potențial risc în medii explozive</w:t>
            </w:r>
            <w:r w:rsidRPr="00A35062">
              <w:rPr>
                <w:lang w:val="en-US"/>
              </w:rPr>
              <w:t xml:space="preserve"> trebuie, de asemenea, să ia în considerare descărcările electrostatice, acolo unde lucrătorii sau mediul de lucru acționează ca purtători sau producători de sarcină electrică. Lucrătorilor trebuie să li se asigure haine de protecție</w:t>
            </w:r>
            <w:r w:rsidRPr="00A35062">
              <w:rPr>
                <w:lang w:val="ro-RO"/>
              </w:rPr>
              <w:t xml:space="preserve"> </w:t>
            </w:r>
            <w:r w:rsidRPr="00A35062">
              <w:rPr>
                <w:lang w:val="en-US"/>
              </w:rPr>
              <w:t>corespunzătoare din material ce nu produc descărcări electrostatice care pot aprinde mediile explozive.</w:t>
            </w:r>
          </w:p>
          <w:p w:rsidR="005A0FE7" w:rsidRPr="00A35062" w:rsidRDefault="005A0FE7" w:rsidP="00A35062">
            <w:pPr>
              <w:rPr>
                <w:lang w:val="en-US"/>
              </w:rPr>
            </w:pPr>
            <w:r w:rsidRPr="00A35062">
              <w:rPr>
                <w:lang w:val="en-US"/>
              </w:rPr>
              <w:t>2.4. Instalația, echipamentul, sistemele de protecție și toate dispozitivele de conectare asociate trebuie puse în funcțiune doar dacă documentul privind protecția împotriva exploziilor permite utilizarea lor în siguranță în mediu exploziv. Aceasta se aplică și echipamentului de lucru și dispozitivelor de conectare asociate care nu sunt considerate echipament sau sisteme de protecție în conformitate cu Hotărârea Guvernului nr.1407/2016, dacă încorporarea lor într-o instalație poate produce pericol de aprindere. Trebuie luate măsurile necesare pentru prevenirea confuziei între dispozitivele de conectare.</w:t>
            </w:r>
          </w:p>
          <w:p w:rsidR="005A0FE7" w:rsidRPr="00A35062" w:rsidRDefault="005A0FE7" w:rsidP="00A35062">
            <w:pPr>
              <w:rPr>
                <w:lang w:val="en-US"/>
              </w:rPr>
            </w:pPr>
            <w:r w:rsidRPr="00A35062">
              <w:rPr>
                <w:lang w:val="en-US"/>
              </w:rPr>
              <w:t xml:space="preserve">2.5. Trebuie luate toate măsurile necesare ca locul de muncă, echipamentul de lucru și toate </w:t>
            </w:r>
            <w:r w:rsidRPr="00A35062">
              <w:rPr>
                <w:lang w:val="en-US"/>
              </w:rPr>
              <w:lastRenderedPageBreak/>
              <w:t>dispozitivele de conectare asociate puse la dispoziția lucrătorilor să fie proiectate, construite, asamblate, instalate, întreținute și utilizate astfel încât să reducă la minimum pericolul de explozii și dacă, se produce o explozie, să controleze sau să reducă la minimum extinderea ei în acel loc de muncă și/sau la echipamentul de lucru. Pentru astfel de locuri de muncă trebuie luate măsuri corespunzătoare pentru a reduce la minimum efectele fizice ale exploziei asupra lucrătorilor.</w:t>
            </w:r>
          </w:p>
          <w:p w:rsidR="005A0FE7" w:rsidRPr="00A35062" w:rsidRDefault="005A0FE7" w:rsidP="00A35062">
            <w:pPr>
              <w:rPr>
                <w:lang w:val="en-US"/>
              </w:rPr>
            </w:pPr>
            <w:r w:rsidRPr="00A35062">
              <w:rPr>
                <w:lang w:val="en-US"/>
              </w:rPr>
              <w:t>2.6. Acolo unde este cazul, lucrătorii trebuie avertizați prin semnale optice sau acustice și retrași înainte să se atingă condițiile de explozie.</w:t>
            </w:r>
          </w:p>
          <w:p w:rsidR="005A0FE7" w:rsidRPr="00A35062" w:rsidRDefault="005A0FE7" w:rsidP="00A35062">
            <w:pPr>
              <w:rPr>
                <w:lang w:val="en-US"/>
              </w:rPr>
            </w:pPr>
            <w:r w:rsidRPr="00A35062">
              <w:rPr>
                <w:lang w:val="en-US"/>
              </w:rPr>
              <w:t>2.7. Acolo unde este prevăzut un document privind protecția împotriva exploziilor, trebuie asigurate și întreținute ieșiri de siguranță pentru a face posibilă, în caz de pericol, părăsirea de către lucrători, rapid și în condiții de securitate, a locurilor aflate în pericol.</w:t>
            </w:r>
          </w:p>
          <w:p w:rsidR="005A0FE7" w:rsidRPr="00A35062" w:rsidRDefault="005A0FE7" w:rsidP="00A35062">
            <w:pPr>
              <w:rPr>
                <w:lang w:val="en-US"/>
              </w:rPr>
            </w:pPr>
            <w:r w:rsidRPr="00A35062">
              <w:rPr>
                <w:lang w:val="en-US"/>
              </w:rPr>
              <w:t>2.8. Înainte ca un loc de muncă unde pot apărea medii explozive să fie folosit pentru prima oară, trebuie verificată siguranța sa globală față de explozii. Trebuie întreținute toate condițiile necesare pentru asigurarea protecției împotriva exploziilor.</w:t>
            </w:r>
          </w:p>
          <w:p w:rsidR="005A0FE7" w:rsidRPr="00A35062" w:rsidRDefault="005A0FE7" w:rsidP="00A35062">
            <w:pPr>
              <w:ind w:firstLine="144"/>
              <w:rPr>
                <w:lang w:val="en-US"/>
              </w:rPr>
            </w:pPr>
            <w:r w:rsidRPr="00A35062">
              <w:rPr>
                <w:lang w:val="en-US"/>
              </w:rPr>
              <w:t xml:space="preserve">Aceste verificări trebuie să fie efectuate de persoane competente în </w:t>
            </w:r>
            <w:r w:rsidRPr="00A35062">
              <w:rPr>
                <w:lang w:val="en-US"/>
              </w:rPr>
              <w:lastRenderedPageBreak/>
              <w:t>domeniul protecției împotriva exploziilor, care au experiență sau pregătire profesională.</w:t>
            </w:r>
          </w:p>
          <w:p w:rsidR="005A0FE7" w:rsidRPr="00A35062" w:rsidRDefault="005A0FE7" w:rsidP="00A35062">
            <w:pPr>
              <w:rPr>
                <w:lang w:val="en-US"/>
              </w:rPr>
            </w:pPr>
            <w:r w:rsidRPr="00A35062">
              <w:rPr>
                <w:lang w:val="en-US"/>
              </w:rPr>
              <w:t>2.9. Dacă evaluarea riscurilor arată că este necesar:</w:t>
            </w:r>
          </w:p>
          <w:p w:rsidR="005A0FE7" w:rsidRPr="00A35062" w:rsidRDefault="005A0FE7" w:rsidP="00A35062">
            <w:pPr>
              <w:ind w:firstLine="144"/>
              <w:rPr>
                <w:lang w:val="en-US"/>
              </w:rPr>
            </w:pPr>
            <w:r w:rsidRPr="00A35062">
              <w:rPr>
                <w:lang w:val="en-US"/>
              </w:rPr>
              <w:t>acolo unde o pană de curent poate produce extinderea unor pericole suplimentare, trebuie să fie posibilă menținerea echipamentului și a sistemelor de protecție în stare sigură de funcționare, independent de restul instalației;</w:t>
            </w:r>
          </w:p>
          <w:p w:rsidR="005A0FE7" w:rsidRPr="00A35062" w:rsidRDefault="005A0FE7" w:rsidP="00A35062">
            <w:pPr>
              <w:ind w:firstLine="144"/>
              <w:rPr>
                <w:lang w:val="en-US"/>
              </w:rPr>
            </w:pPr>
            <w:r w:rsidRPr="00A35062">
              <w:rPr>
                <w:lang w:val="en-US"/>
              </w:rPr>
              <w:t>pentru a opri echipamentul și sistemele de protecție implicate în procese automate care deviază de la condițiile de lucru dorite, trebuie să fie posibilă oprirea manuală a instalației, cu condiția ca aceasta să nu compromită siguranța. Doar lucrătorii competenți pot face această acțiune;</w:t>
            </w:r>
          </w:p>
          <w:p w:rsidR="005A0FE7" w:rsidRPr="00A35062" w:rsidRDefault="005A0FE7" w:rsidP="00A35062">
            <w:pPr>
              <w:ind w:firstLine="144"/>
              <w:rPr>
                <w:lang w:val="en-US"/>
              </w:rPr>
            </w:pPr>
            <w:proofErr w:type="gramStart"/>
            <w:r w:rsidRPr="00A35062">
              <w:rPr>
                <w:lang w:val="en-US"/>
              </w:rPr>
              <w:t>la</w:t>
            </w:r>
            <w:proofErr w:type="gramEnd"/>
            <w:r w:rsidRPr="00A35062">
              <w:rPr>
                <w:lang w:val="en-US"/>
              </w:rPr>
              <w:t xml:space="preserve"> oprirea în caz de urgență, energia acumulată trebuie disipată cât mai repede și mai sigur posibil sau izolată astfel încât să nu mai constituie un pericol.</w:t>
            </w:r>
          </w:p>
          <w:p w:rsidR="005A0FE7" w:rsidRPr="00A35062" w:rsidRDefault="005A0FE7" w:rsidP="00A35062">
            <w:pPr>
              <w:ind w:firstLine="144"/>
              <w:rPr>
                <w:lang w:val="en-US"/>
              </w:rPr>
            </w:pPr>
          </w:p>
          <w:p w:rsidR="005A0FE7" w:rsidRPr="00A35062" w:rsidRDefault="005A0FE7" w:rsidP="00A35062">
            <w:pPr>
              <w:ind w:firstLine="144"/>
              <w:jc w:val="center"/>
              <w:rPr>
                <w:b/>
                <w:lang w:val="en-US"/>
              </w:rPr>
            </w:pPr>
            <w:r w:rsidRPr="00A35062">
              <w:rPr>
                <w:b/>
                <w:lang w:val="en-US"/>
              </w:rPr>
              <w:t>B. CRITERII PENTRU ALEGEREA ECHIPAMENTULUI ȘI A SISTEMELOR DE PROTECȚIE</w:t>
            </w:r>
          </w:p>
          <w:p w:rsidR="005A0FE7" w:rsidRPr="00A35062" w:rsidRDefault="005A0FE7" w:rsidP="00A35062">
            <w:pPr>
              <w:ind w:firstLine="144"/>
              <w:rPr>
                <w:lang w:val="en-US"/>
              </w:rPr>
            </w:pPr>
            <w:r w:rsidRPr="00A35062">
              <w:rPr>
                <w:lang w:val="en-US"/>
              </w:rPr>
              <w:t xml:space="preserve">Dacă documentul privind protecția împotriva exploziilor bazat pe o evaluare a riscurilor nu prevede altfel, echipamentul și sistemele de protecție pentru toate locurile în care pot apărea medii explozive trebuie </w:t>
            </w:r>
            <w:r w:rsidRPr="00A35062">
              <w:rPr>
                <w:lang w:val="en-US"/>
              </w:rPr>
              <w:lastRenderedPageBreak/>
              <w:t>alese în funcție de categoriile stabilite în Hotărârea Guvernului nr.1407/2016.</w:t>
            </w:r>
          </w:p>
          <w:p w:rsidR="005A0FE7" w:rsidRPr="00A35062" w:rsidRDefault="005A0FE7" w:rsidP="00A35062">
            <w:pPr>
              <w:ind w:firstLine="144"/>
              <w:rPr>
                <w:lang w:val="en-US"/>
              </w:rPr>
            </w:pPr>
            <w:r w:rsidRPr="00A35062">
              <w:rPr>
                <w:lang w:val="en-US"/>
              </w:rPr>
              <w:t>În special, următoarele categorii de echipament trebuie folosite în zonele indicate, cu condiția ca ele să fie adecvate naturii gazelor, vaporilor sau ceței și/sau pulberilor după cum urmează:</w:t>
            </w:r>
          </w:p>
          <w:p w:rsidR="005A0FE7" w:rsidRPr="00A35062" w:rsidRDefault="005A0FE7" w:rsidP="00A35062">
            <w:pPr>
              <w:ind w:firstLine="144"/>
              <w:rPr>
                <w:lang w:val="en-US"/>
              </w:rPr>
            </w:pPr>
            <w:r w:rsidRPr="00A35062">
              <w:rPr>
                <w:lang w:val="en-US"/>
              </w:rPr>
              <w:t>în zona 0 sau zona 20, echipament de categoria 1;</w:t>
            </w:r>
          </w:p>
          <w:p w:rsidR="005A0FE7" w:rsidRPr="00A35062" w:rsidRDefault="005A0FE7" w:rsidP="00A35062">
            <w:pPr>
              <w:ind w:firstLine="144"/>
              <w:rPr>
                <w:lang w:val="en-US"/>
              </w:rPr>
            </w:pPr>
            <w:r w:rsidRPr="00A35062">
              <w:rPr>
                <w:lang w:val="en-US"/>
              </w:rPr>
              <w:t>în zona 1 sau zona 21, echipament de categoria 1 sau 2;</w:t>
            </w:r>
          </w:p>
          <w:p w:rsidR="005A0FE7" w:rsidRPr="00A35062" w:rsidRDefault="005A0FE7" w:rsidP="00A35062">
            <w:pPr>
              <w:ind w:firstLine="144"/>
              <w:rPr>
                <w:lang w:val="en-US"/>
              </w:rPr>
            </w:pPr>
            <w:proofErr w:type="gramStart"/>
            <w:r w:rsidRPr="00A35062">
              <w:rPr>
                <w:lang w:val="en-US"/>
              </w:rPr>
              <w:t>în</w:t>
            </w:r>
            <w:proofErr w:type="gramEnd"/>
            <w:r w:rsidRPr="00A35062">
              <w:rPr>
                <w:lang w:val="en-US"/>
              </w:rPr>
              <w:t xml:space="preserve"> zona 2 sau zona 22, echipament de categoria 1, 2 sau 3. </w:t>
            </w:r>
          </w:p>
        </w:tc>
        <w:tc>
          <w:tcPr>
            <w:tcW w:w="1890" w:type="dxa"/>
          </w:tcPr>
          <w:p w:rsidR="005A0FE7" w:rsidRPr="00102C96" w:rsidRDefault="005A0FE7">
            <w:pPr>
              <w:rPr>
                <w:lang w:val="en-US"/>
              </w:rPr>
            </w:pPr>
            <w:r>
              <w:rPr>
                <w:lang w:val="en-US"/>
              </w:rPr>
              <w:lastRenderedPageBreak/>
              <w:t xml:space="preserve">Compatibil </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r w:rsidR="005A0FE7" w:rsidTr="00A35062">
        <w:tc>
          <w:tcPr>
            <w:tcW w:w="3888" w:type="dxa"/>
            <w:gridSpan w:val="2"/>
          </w:tcPr>
          <w:p w:rsidR="005A0FE7" w:rsidRPr="00A35062" w:rsidRDefault="005A0FE7" w:rsidP="00A35062">
            <w:pPr>
              <w:jc w:val="center"/>
              <w:rPr>
                <w:b/>
                <w:lang w:val="en-US"/>
              </w:rPr>
            </w:pPr>
            <w:r w:rsidRPr="00A35062">
              <w:rPr>
                <w:b/>
                <w:lang w:val="en-US"/>
              </w:rPr>
              <w:lastRenderedPageBreak/>
              <w:t>ANEXA III</w:t>
            </w:r>
          </w:p>
          <w:p w:rsidR="005A0FE7" w:rsidRPr="00A35062" w:rsidRDefault="005A0FE7" w:rsidP="00A35062">
            <w:pPr>
              <w:jc w:val="center"/>
              <w:rPr>
                <w:b/>
                <w:lang w:val="en-US"/>
              </w:rPr>
            </w:pPr>
            <w:r w:rsidRPr="00A35062">
              <w:rPr>
                <w:b/>
                <w:lang w:val="en-US"/>
              </w:rPr>
              <w:t>INDICATOARE DE AVERTIZARE PENTRU LOCURI UNDE POT APĂREA MEDII EXPLOZIVE, CONFORM ARTICOLULUI 7 ALINEATUL (3).</w:t>
            </w:r>
          </w:p>
          <w:p w:rsidR="005A0FE7" w:rsidRPr="00A35062" w:rsidRDefault="005A0FE7" w:rsidP="00A35062">
            <w:pPr>
              <w:tabs>
                <w:tab w:val="left" w:pos="1605"/>
              </w:tabs>
              <w:rPr>
                <w:lang w:val="en-US"/>
              </w:rPr>
            </w:pPr>
            <w:r w:rsidRPr="00A35062">
              <w:rPr>
                <w:lang w:val="en-US"/>
              </w:rPr>
              <w:tab/>
            </w:r>
            <w:r w:rsidRPr="00A35062">
              <w:rPr>
                <w:noProof/>
                <w:lang w:val="en-US" w:eastAsia="en-US"/>
              </w:rPr>
              <w:drawing>
                <wp:inline distT="0" distB="0" distL="0" distR="0" wp14:anchorId="3BB253D7" wp14:editId="4347313A">
                  <wp:extent cx="666750" cy="583300"/>
                  <wp:effectExtent l="0" t="0" r="0" b="7620"/>
                  <wp:docPr id="1" name="Picture 1" descr="D:\!SYSTEM!\Desktop\celex_31999L0092.RON.xhtml.L_2000023RO.01006402.ti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YSTEM!\Desktop\celex_31999L0092.RON.xhtml.L_2000023RO.01006402.tif.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7947" cy="584347"/>
                          </a:xfrm>
                          <a:prstGeom prst="rect">
                            <a:avLst/>
                          </a:prstGeom>
                          <a:noFill/>
                          <a:ln>
                            <a:noFill/>
                          </a:ln>
                        </pic:spPr>
                      </pic:pic>
                    </a:graphicData>
                  </a:graphic>
                </wp:inline>
              </w:drawing>
            </w:r>
            <w:r w:rsidRPr="00A35062">
              <w:rPr>
                <w:lang w:val="en-US"/>
              </w:rPr>
              <w:t xml:space="preserve"> </w:t>
            </w:r>
          </w:p>
          <w:p w:rsidR="005A0FE7" w:rsidRPr="00A35062" w:rsidRDefault="005A0FE7" w:rsidP="00A35062">
            <w:r w:rsidRPr="00A35062">
              <w:rPr>
                <w:lang w:val="en-US"/>
              </w:rPr>
              <w:t xml:space="preserve"> </w:t>
            </w:r>
            <w:r w:rsidRPr="00A35062">
              <w:t>Trăsături caracteristice: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406"/>
              <w:gridCol w:w="3266"/>
            </w:tblGrid>
            <w:tr w:rsidR="005A0FE7" w:rsidRPr="00A35062" w:rsidTr="00CA641D">
              <w:tc>
                <w:tcPr>
                  <w:tcW w:w="460" w:type="dxa"/>
                  <w:shd w:val="clear" w:color="auto" w:fill="FFFFFF"/>
                  <w:hideMark/>
                </w:tcPr>
                <w:p w:rsidR="005A0FE7" w:rsidRPr="00A35062" w:rsidRDefault="005A0FE7" w:rsidP="00A35062">
                  <w:r w:rsidRPr="00A35062">
                    <w:t>—</w:t>
                  </w:r>
                </w:p>
              </w:tc>
              <w:tc>
                <w:tcPr>
                  <w:tcW w:w="3720" w:type="dxa"/>
                  <w:shd w:val="clear" w:color="auto" w:fill="FFFFFF"/>
                  <w:hideMark/>
                </w:tcPr>
                <w:p w:rsidR="005A0FE7" w:rsidRPr="00A35062" w:rsidRDefault="005A0FE7" w:rsidP="00A35062">
                  <w:r w:rsidRPr="00A35062">
                    <w:t>formă triunghiulară;</w:t>
                  </w:r>
                </w:p>
              </w:tc>
            </w:tr>
          </w:tbl>
          <w:p w:rsidR="005A0FE7" w:rsidRPr="00A35062" w:rsidRDefault="005A0FE7" w:rsidP="00A35062"/>
          <w:tbl>
            <w:tblPr>
              <w:tblW w:w="5000" w:type="pct"/>
              <w:shd w:val="clear" w:color="auto" w:fill="FFFFFF"/>
              <w:tblLayout w:type="fixed"/>
              <w:tblCellMar>
                <w:left w:w="0" w:type="dxa"/>
                <w:right w:w="0" w:type="dxa"/>
              </w:tblCellMar>
              <w:tblLook w:val="04A0" w:firstRow="1" w:lastRow="0" w:firstColumn="1" w:lastColumn="0" w:noHBand="0" w:noVBand="1"/>
            </w:tblPr>
            <w:tblGrid>
              <w:gridCol w:w="213"/>
              <w:gridCol w:w="3459"/>
            </w:tblGrid>
            <w:tr w:rsidR="005A0FE7" w:rsidRPr="00ED456A" w:rsidTr="00CA641D">
              <w:tc>
                <w:tcPr>
                  <w:tcW w:w="240" w:type="dxa"/>
                  <w:shd w:val="clear" w:color="auto" w:fill="FFFFFF"/>
                  <w:hideMark/>
                </w:tcPr>
                <w:p w:rsidR="005A0FE7" w:rsidRPr="00A35062" w:rsidRDefault="005A0FE7" w:rsidP="00A35062">
                  <w:r w:rsidRPr="00A35062">
                    <w:t>—</w:t>
                  </w:r>
                </w:p>
              </w:tc>
              <w:tc>
                <w:tcPr>
                  <w:tcW w:w="3940" w:type="dxa"/>
                  <w:shd w:val="clear" w:color="auto" w:fill="FFFFFF"/>
                  <w:hideMark/>
                </w:tcPr>
                <w:p w:rsidR="005A0FE7" w:rsidRPr="00A35062" w:rsidRDefault="005A0FE7" w:rsidP="00A35062">
                  <w:pPr>
                    <w:rPr>
                      <w:lang w:val="en-US"/>
                    </w:rPr>
                  </w:pPr>
                  <w:proofErr w:type="gramStart"/>
                  <w:r w:rsidRPr="00A35062">
                    <w:rPr>
                      <w:lang w:val="en-US"/>
                    </w:rPr>
                    <w:t>litere</w:t>
                  </w:r>
                  <w:proofErr w:type="gramEnd"/>
                  <w:r w:rsidRPr="00A35062">
                    <w:rPr>
                      <w:lang w:val="en-US"/>
                    </w:rPr>
                    <w:t xml:space="preserve"> negre pe fond galben cu margine neagră (partea galbenă acoperă cel puțin 50 % din suprafața indicatorului).</w:t>
                  </w:r>
                </w:p>
              </w:tc>
            </w:tr>
          </w:tbl>
          <w:p w:rsidR="005A0FE7" w:rsidRPr="00A35062" w:rsidRDefault="005A0FE7" w:rsidP="00A35062">
            <w:pPr>
              <w:ind w:firstLine="144"/>
              <w:jc w:val="center"/>
              <w:rPr>
                <w:lang w:val="en-US"/>
              </w:rPr>
            </w:pPr>
            <w:r w:rsidRPr="00A35062">
              <w:rPr>
                <w:lang w:val="en-US"/>
              </w:rPr>
              <w:t xml:space="preserve">Dacă doresc, statele membre pot adăuga alte date explicative. </w:t>
            </w:r>
          </w:p>
        </w:tc>
        <w:tc>
          <w:tcPr>
            <w:tcW w:w="3780" w:type="dxa"/>
          </w:tcPr>
          <w:p w:rsidR="005A0FE7" w:rsidRPr="00CA641D" w:rsidRDefault="005A0FE7" w:rsidP="00A35062">
            <w:pPr>
              <w:jc w:val="right"/>
              <w:rPr>
                <w:bCs/>
                <w:i/>
                <w:sz w:val="20"/>
                <w:shd w:val="clear" w:color="auto" w:fill="FFFFFF"/>
                <w:lang w:val="en-US"/>
              </w:rPr>
            </w:pPr>
            <w:r w:rsidRPr="00CA641D">
              <w:rPr>
                <w:bCs/>
                <w:i/>
                <w:sz w:val="20"/>
                <w:shd w:val="clear" w:color="auto" w:fill="FFFFFF"/>
                <w:lang w:val="en-US"/>
              </w:rPr>
              <w:t>Anexa nr.3</w:t>
            </w:r>
          </w:p>
          <w:p w:rsidR="00CA641D" w:rsidRPr="007373F8" w:rsidRDefault="00CA641D" w:rsidP="00CA641D">
            <w:pPr>
              <w:jc w:val="right"/>
              <w:rPr>
                <w:bCs/>
                <w:i/>
                <w:sz w:val="20"/>
                <w:szCs w:val="20"/>
                <w:shd w:val="clear" w:color="auto" w:fill="FFFFFF"/>
                <w:lang w:val="en-US"/>
              </w:rPr>
            </w:pPr>
            <w:r>
              <w:rPr>
                <w:bCs/>
                <w:i/>
                <w:sz w:val="20"/>
                <w:szCs w:val="20"/>
                <w:shd w:val="clear" w:color="auto" w:fill="FFFFFF"/>
                <w:lang w:val="en-US"/>
              </w:rPr>
              <w:t>l</w:t>
            </w:r>
            <w:r w:rsidRPr="000E48A9">
              <w:rPr>
                <w:bCs/>
                <w:i/>
                <w:sz w:val="20"/>
                <w:szCs w:val="20"/>
                <w:shd w:val="clear" w:color="auto" w:fill="FFFFFF"/>
                <w:lang w:val="en-US"/>
              </w:rPr>
              <w:t xml:space="preserve">a </w:t>
            </w:r>
            <w:r w:rsidRPr="007373F8">
              <w:rPr>
                <w:bCs/>
                <w:i/>
                <w:sz w:val="20"/>
                <w:szCs w:val="20"/>
                <w:shd w:val="clear" w:color="auto" w:fill="FFFFFF"/>
                <w:lang w:val="en-US"/>
              </w:rPr>
              <w:t>Cerințele minime</w:t>
            </w:r>
          </w:p>
          <w:p w:rsidR="00CA641D" w:rsidRPr="007373F8" w:rsidRDefault="00CA641D" w:rsidP="00CA641D">
            <w:pPr>
              <w:jc w:val="right"/>
              <w:rPr>
                <w:bCs/>
                <w:i/>
                <w:sz w:val="20"/>
                <w:szCs w:val="20"/>
                <w:shd w:val="clear" w:color="auto" w:fill="FFFFFF"/>
                <w:lang w:val="en-US"/>
              </w:rPr>
            </w:pPr>
            <w:r w:rsidRPr="007373F8">
              <w:rPr>
                <w:bCs/>
                <w:i/>
                <w:sz w:val="20"/>
                <w:szCs w:val="20"/>
                <w:shd w:val="clear" w:color="auto" w:fill="FFFFFF"/>
                <w:lang w:val="en-US"/>
              </w:rPr>
              <w:t xml:space="preserve">pentru îmbunătățirea protecției sănătății </w:t>
            </w:r>
          </w:p>
          <w:p w:rsidR="00CA641D" w:rsidRPr="007373F8" w:rsidRDefault="00CA641D" w:rsidP="00CA641D">
            <w:pPr>
              <w:jc w:val="right"/>
              <w:rPr>
                <w:bCs/>
                <w:i/>
                <w:sz w:val="20"/>
                <w:szCs w:val="20"/>
                <w:shd w:val="clear" w:color="auto" w:fill="FFFFFF"/>
                <w:lang w:val="en-US"/>
              </w:rPr>
            </w:pPr>
            <w:r w:rsidRPr="007373F8">
              <w:rPr>
                <w:bCs/>
                <w:i/>
                <w:sz w:val="20"/>
                <w:szCs w:val="20"/>
                <w:shd w:val="clear" w:color="auto" w:fill="FFFFFF"/>
                <w:lang w:val="en-US"/>
              </w:rPr>
              <w:t xml:space="preserve">și securității lucrătorilor expuși </w:t>
            </w:r>
          </w:p>
          <w:p w:rsidR="00CA641D" w:rsidRPr="007373F8" w:rsidRDefault="00CA641D" w:rsidP="00CA641D">
            <w:pPr>
              <w:jc w:val="right"/>
              <w:rPr>
                <w:bCs/>
                <w:i/>
                <w:sz w:val="20"/>
                <w:szCs w:val="20"/>
                <w:shd w:val="clear" w:color="auto" w:fill="FFFFFF"/>
                <w:lang w:val="en-US"/>
              </w:rPr>
            </w:pPr>
            <w:r w:rsidRPr="007373F8">
              <w:rPr>
                <w:bCs/>
                <w:i/>
                <w:sz w:val="20"/>
                <w:szCs w:val="20"/>
                <w:shd w:val="clear" w:color="auto" w:fill="FFFFFF"/>
                <w:lang w:val="en-US"/>
              </w:rPr>
              <w:t>unui potențial risc în medii explozive</w:t>
            </w:r>
          </w:p>
          <w:p w:rsidR="00CA641D" w:rsidRDefault="00CA641D" w:rsidP="00A35062">
            <w:pPr>
              <w:jc w:val="center"/>
              <w:rPr>
                <w:b/>
                <w:lang w:val="en-US"/>
              </w:rPr>
            </w:pPr>
          </w:p>
          <w:p w:rsidR="005A0FE7" w:rsidRPr="00A35062" w:rsidRDefault="005A0FE7" w:rsidP="00A35062">
            <w:pPr>
              <w:jc w:val="center"/>
              <w:rPr>
                <w:b/>
                <w:lang w:val="en-US"/>
              </w:rPr>
            </w:pPr>
            <w:r w:rsidRPr="00A35062">
              <w:rPr>
                <w:b/>
                <w:lang w:val="en-US"/>
              </w:rPr>
              <w:t>Indicatoare de avertizare pentru locuri unde pot apărea medii explozive,</w:t>
            </w:r>
          </w:p>
          <w:p w:rsidR="005A0FE7" w:rsidRPr="00A35062" w:rsidRDefault="005A0FE7" w:rsidP="00A35062">
            <w:pPr>
              <w:jc w:val="center"/>
              <w:rPr>
                <w:bCs/>
                <w:i/>
                <w:shd w:val="clear" w:color="auto" w:fill="FFFFFF"/>
                <w:lang w:val="en-US"/>
              </w:rPr>
            </w:pPr>
            <w:r w:rsidRPr="00A35062">
              <w:rPr>
                <w:b/>
                <w:lang w:val="en-US"/>
              </w:rPr>
              <w:t xml:space="preserve">conform pct.11 din </w:t>
            </w:r>
            <w:r w:rsidRPr="00A35062">
              <w:rPr>
                <w:b/>
                <w:bCs/>
                <w:shd w:val="clear" w:color="auto" w:fill="FFFFFF"/>
                <w:lang w:val="en-US"/>
              </w:rPr>
              <w:t>Cerințele minime pentru îmbunătățirea protecției sănătății și securității lucrătorilor expuși unui potențial risc în medii explozive</w:t>
            </w:r>
          </w:p>
          <w:p w:rsidR="005A0FE7" w:rsidRPr="00A35062" w:rsidRDefault="005A0FE7" w:rsidP="00A35062">
            <w:pPr>
              <w:jc w:val="center"/>
              <w:rPr>
                <w:b/>
                <w:lang w:val="en-US"/>
              </w:rPr>
            </w:pPr>
          </w:p>
          <w:p w:rsidR="005A0FE7" w:rsidRPr="00A35062" w:rsidRDefault="005A0FE7" w:rsidP="00A35062">
            <w:pPr>
              <w:jc w:val="center"/>
              <w:rPr>
                <w:b/>
                <w:lang w:val="en-US"/>
              </w:rPr>
            </w:pPr>
            <w:r w:rsidRPr="00A35062">
              <w:rPr>
                <w:noProof/>
                <w:lang w:val="en-US" w:eastAsia="en-US"/>
              </w:rPr>
              <w:drawing>
                <wp:inline distT="0" distB="0" distL="0" distR="0" wp14:anchorId="1D385AE9" wp14:editId="16045225">
                  <wp:extent cx="685800" cy="599965"/>
                  <wp:effectExtent l="0" t="0" r="0" b="0"/>
                  <wp:docPr id="2" name="Picture 2" descr="D:\!SYSTEM!\Desktop\celex_31999L0092.RON.xhtml.L_2000023RO.01006402.ti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YSTEM!\Desktop\celex_31999L0092.RON.xhtml.L_2000023RO.01006402.tif.jp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7031" cy="601042"/>
                          </a:xfrm>
                          <a:prstGeom prst="rect">
                            <a:avLst/>
                          </a:prstGeom>
                          <a:noFill/>
                          <a:ln>
                            <a:noFill/>
                          </a:ln>
                        </pic:spPr>
                      </pic:pic>
                    </a:graphicData>
                  </a:graphic>
                </wp:inline>
              </w:drawing>
            </w:r>
          </w:p>
          <w:p w:rsidR="005A0FE7" w:rsidRPr="00A35062" w:rsidRDefault="005A0FE7" w:rsidP="00A35062">
            <w:pPr>
              <w:jc w:val="center"/>
              <w:rPr>
                <w:lang w:val="en-US"/>
              </w:rPr>
            </w:pPr>
            <w:r w:rsidRPr="00A35062">
              <w:rPr>
                <w:lang w:val="en-US"/>
              </w:rPr>
              <w:t>Loc unde pot apărea medii explozive</w:t>
            </w:r>
          </w:p>
          <w:p w:rsidR="005A0FE7" w:rsidRPr="00A35062" w:rsidRDefault="005A0FE7" w:rsidP="00A35062">
            <w:pPr>
              <w:jc w:val="center"/>
              <w:rPr>
                <w:b/>
                <w:lang w:val="en-US"/>
              </w:rPr>
            </w:pPr>
          </w:p>
          <w:p w:rsidR="005A0FE7" w:rsidRPr="00A35062" w:rsidRDefault="005A0FE7" w:rsidP="00A35062">
            <w:pPr>
              <w:ind w:firstLine="144"/>
              <w:rPr>
                <w:lang w:val="en-US"/>
              </w:rPr>
            </w:pPr>
            <w:r w:rsidRPr="00A35062">
              <w:rPr>
                <w:lang w:val="en-US"/>
              </w:rPr>
              <w:t>Trăsături caracteristice:</w:t>
            </w:r>
          </w:p>
          <w:p w:rsidR="005A0FE7" w:rsidRPr="00A35062" w:rsidRDefault="00CA641D" w:rsidP="00CA641D">
            <w:pPr>
              <w:rPr>
                <w:lang w:val="en-US"/>
              </w:rPr>
            </w:pPr>
            <w:r>
              <w:rPr>
                <w:lang w:val="en-US"/>
              </w:rPr>
              <w:t xml:space="preserve"> </w:t>
            </w:r>
            <w:r w:rsidR="005A0FE7" w:rsidRPr="00A35062">
              <w:rPr>
                <w:lang w:val="en-US"/>
              </w:rPr>
              <w:t>forma triunghiulară;</w:t>
            </w:r>
          </w:p>
          <w:p w:rsidR="005A0FE7" w:rsidRPr="00A35062" w:rsidRDefault="00CA641D" w:rsidP="00CA641D">
            <w:pPr>
              <w:rPr>
                <w:b/>
                <w:lang w:val="en-US"/>
              </w:rPr>
            </w:pPr>
            <w:r>
              <w:rPr>
                <w:lang w:val="en-US"/>
              </w:rPr>
              <w:t xml:space="preserve"> </w:t>
            </w:r>
            <w:proofErr w:type="gramStart"/>
            <w:r w:rsidR="005A0FE7" w:rsidRPr="00A35062">
              <w:rPr>
                <w:lang w:val="en-US"/>
              </w:rPr>
              <w:t>litere</w:t>
            </w:r>
            <w:proofErr w:type="gramEnd"/>
            <w:r w:rsidR="005A0FE7" w:rsidRPr="00A35062">
              <w:rPr>
                <w:lang w:val="en-US"/>
              </w:rPr>
              <w:t xml:space="preserve"> negre pe fond galben cu </w:t>
            </w:r>
            <w:r w:rsidR="005A0FE7" w:rsidRPr="00A35062">
              <w:rPr>
                <w:lang w:val="en-US"/>
              </w:rPr>
              <w:lastRenderedPageBreak/>
              <w:t xml:space="preserve">margine neagră (partea galbenă acoperă cel puțin 50% din suprafața indicatorului). </w:t>
            </w:r>
          </w:p>
        </w:tc>
        <w:tc>
          <w:tcPr>
            <w:tcW w:w="1890" w:type="dxa"/>
          </w:tcPr>
          <w:p w:rsidR="005A0FE7" w:rsidRPr="00102C96" w:rsidRDefault="005A0FE7">
            <w:pPr>
              <w:rPr>
                <w:lang w:val="en-US"/>
              </w:rPr>
            </w:pPr>
            <w:r>
              <w:rPr>
                <w:lang w:val="en-US"/>
              </w:rPr>
              <w:lastRenderedPageBreak/>
              <w:t xml:space="preserve">Compatibil </w:t>
            </w:r>
          </w:p>
        </w:tc>
        <w:tc>
          <w:tcPr>
            <w:tcW w:w="1620" w:type="dxa"/>
          </w:tcPr>
          <w:p w:rsidR="005A0FE7" w:rsidRDefault="005A0FE7">
            <w:pPr>
              <w:rPr>
                <w:lang w:val="ro-RO"/>
              </w:rPr>
            </w:pPr>
          </w:p>
        </w:tc>
        <w:tc>
          <w:tcPr>
            <w:tcW w:w="1980" w:type="dxa"/>
          </w:tcPr>
          <w:p w:rsidR="005A0FE7" w:rsidRDefault="005A0FE7">
            <w:pPr>
              <w:rPr>
                <w:lang w:val="ro-RO"/>
              </w:rPr>
            </w:pPr>
          </w:p>
        </w:tc>
        <w:tc>
          <w:tcPr>
            <w:tcW w:w="2160" w:type="dxa"/>
            <w:vMerge/>
            <w:shd w:val="clear" w:color="auto" w:fill="auto"/>
          </w:tcPr>
          <w:p w:rsidR="005A0FE7" w:rsidRDefault="005A0FE7">
            <w:pPr>
              <w:spacing w:after="200" w:line="276" w:lineRule="auto"/>
              <w:rPr>
                <w:lang w:val="ro-RO"/>
              </w:rPr>
            </w:pPr>
          </w:p>
        </w:tc>
      </w:tr>
    </w:tbl>
    <w:p w:rsidR="00764808" w:rsidRDefault="00764808">
      <w:pPr>
        <w:rPr>
          <w:lang w:val="ro-RO"/>
        </w:rPr>
      </w:pPr>
    </w:p>
    <w:p w:rsidR="00D8531C" w:rsidRDefault="00D8531C">
      <w:pPr>
        <w:rPr>
          <w:lang w:val="ro-RO"/>
        </w:rPr>
      </w:pPr>
    </w:p>
    <w:p w:rsidR="00D8531C" w:rsidRDefault="00D8531C" w:rsidP="00D8531C">
      <w:pPr>
        <w:jc w:val="center"/>
        <w:rPr>
          <w:b/>
          <w:sz w:val="28"/>
          <w:lang w:val="ro-RO"/>
        </w:rPr>
      </w:pPr>
    </w:p>
    <w:p w:rsidR="00D8531C" w:rsidRPr="00D8531C" w:rsidRDefault="00D8531C" w:rsidP="00D8531C">
      <w:pPr>
        <w:jc w:val="center"/>
        <w:rPr>
          <w:b/>
          <w:sz w:val="28"/>
          <w:lang w:val="ro-RO"/>
        </w:rPr>
      </w:pPr>
      <w:r w:rsidRPr="00D8531C">
        <w:rPr>
          <w:b/>
          <w:sz w:val="28"/>
          <w:lang w:val="ro-RO"/>
        </w:rPr>
        <w:t xml:space="preserve">Secretar de Stat                                                    </w:t>
      </w:r>
      <w:r w:rsidR="00ED456A">
        <w:rPr>
          <w:b/>
          <w:sz w:val="28"/>
          <w:lang w:val="ro-RO"/>
        </w:rPr>
        <w:t xml:space="preserve">                             </w:t>
      </w:r>
      <w:bookmarkStart w:id="0" w:name="_GoBack"/>
      <w:bookmarkEnd w:id="0"/>
      <w:r w:rsidRPr="00D8531C">
        <w:rPr>
          <w:b/>
          <w:sz w:val="28"/>
          <w:lang w:val="ro-RO"/>
        </w:rPr>
        <w:t xml:space="preserve">              </w:t>
      </w:r>
      <w:r w:rsidR="00E27A0F">
        <w:rPr>
          <w:b/>
          <w:sz w:val="28"/>
          <w:lang w:val="ro-RO"/>
        </w:rPr>
        <w:t>Igor CUROV</w:t>
      </w:r>
    </w:p>
    <w:sectPr w:rsidR="00D8531C" w:rsidRPr="00D8531C" w:rsidSect="00764808">
      <w:footerReference w:type="default" r:id="rId13"/>
      <w:pgSz w:w="15840" w:h="12240" w:orient="landscape"/>
      <w:pgMar w:top="576" w:right="720" w:bottom="288" w:left="43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862" w:rsidRDefault="002B0862" w:rsidP="005A0FE7">
      <w:r>
        <w:separator/>
      </w:r>
    </w:p>
  </w:endnote>
  <w:endnote w:type="continuationSeparator" w:id="0">
    <w:p w:rsidR="002B0862" w:rsidRDefault="002B0862" w:rsidP="005A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865189"/>
      <w:docPartObj>
        <w:docPartGallery w:val="Page Numbers (Bottom of Page)"/>
        <w:docPartUnique/>
      </w:docPartObj>
    </w:sdtPr>
    <w:sdtEndPr>
      <w:rPr>
        <w:noProof/>
      </w:rPr>
    </w:sdtEndPr>
    <w:sdtContent>
      <w:p w:rsidR="00CA641D" w:rsidRDefault="00CA641D">
        <w:pPr>
          <w:pStyle w:val="Footer"/>
          <w:jc w:val="center"/>
        </w:pPr>
        <w:r>
          <w:fldChar w:fldCharType="begin"/>
        </w:r>
        <w:r>
          <w:instrText xml:space="preserve"> PAGE   \* MERGEFORMAT </w:instrText>
        </w:r>
        <w:r>
          <w:fldChar w:fldCharType="separate"/>
        </w:r>
        <w:r w:rsidR="00ED456A">
          <w:rPr>
            <w:noProof/>
          </w:rPr>
          <w:t>20</w:t>
        </w:r>
        <w:r>
          <w:rPr>
            <w:noProof/>
          </w:rPr>
          <w:fldChar w:fldCharType="end"/>
        </w:r>
      </w:p>
    </w:sdtContent>
  </w:sdt>
  <w:p w:rsidR="00CA641D" w:rsidRDefault="00CA6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862" w:rsidRDefault="002B0862" w:rsidP="005A0FE7">
      <w:r>
        <w:separator/>
      </w:r>
    </w:p>
  </w:footnote>
  <w:footnote w:type="continuationSeparator" w:id="0">
    <w:p w:rsidR="002B0862" w:rsidRDefault="002B0862" w:rsidP="005A0F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163B7"/>
    <w:multiLevelType w:val="hybridMultilevel"/>
    <w:tmpl w:val="69508F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A61409"/>
    <w:multiLevelType w:val="hybridMultilevel"/>
    <w:tmpl w:val="23643612"/>
    <w:lvl w:ilvl="0" w:tplc="0409000F">
      <w:start w:val="1"/>
      <w:numFmt w:val="decimal"/>
      <w:lvlText w:val="%1."/>
      <w:lvlJc w:val="left"/>
      <w:pPr>
        <w:ind w:left="360" w:hanging="360"/>
      </w:pPr>
    </w:lvl>
    <w:lvl w:ilvl="1" w:tplc="A014CA78">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808"/>
    <w:rsid w:val="00051FDF"/>
    <w:rsid w:val="000A4C89"/>
    <w:rsid w:val="00102C96"/>
    <w:rsid w:val="001C63EA"/>
    <w:rsid w:val="002B0862"/>
    <w:rsid w:val="00473589"/>
    <w:rsid w:val="005A0FE7"/>
    <w:rsid w:val="00764808"/>
    <w:rsid w:val="00A11CE9"/>
    <w:rsid w:val="00A35062"/>
    <w:rsid w:val="00C64ED4"/>
    <w:rsid w:val="00CA641D"/>
    <w:rsid w:val="00D24104"/>
    <w:rsid w:val="00D8531C"/>
    <w:rsid w:val="00E27A0F"/>
    <w:rsid w:val="00ED4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80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11CE9"/>
    <w:rPr>
      <w:color w:val="0000FF"/>
      <w:u w:val="single"/>
    </w:rPr>
  </w:style>
  <w:style w:type="character" w:customStyle="1" w:styleId="a">
    <w:name w:val="Основной текст_"/>
    <w:basedOn w:val="DefaultParagraphFont"/>
    <w:link w:val="1"/>
    <w:rsid w:val="00A11CE9"/>
    <w:rPr>
      <w:rFonts w:eastAsia="Times New Roman"/>
      <w:sz w:val="16"/>
      <w:szCs w:val="16"/>
      <w:shd w:val="clear" w:color="auto" w:fill="FFFFFF"/>
    </w:rPr>
  </w:style>
  <w:style w:type="paragraph" w:customStyle="1" w:styleId="1">
    <w:name w:val="Основной текст1"/>
    <w:basedOn w:val="Normal"/>
    <w:link w:val="a"/>
    <w:rsid w:val="00A11CE9"/>
    <w:pPr>
      <w:widowControl w:val="0"/>
      <w:shd w:val="clear" w:color="auto" w:fill="FFFFFF"/>
      <w:spacing w:line="0" w:lineRule="atLeast"/>
      <w:ind w:hanging="680"/>
      <w:jc w:val="center"/>
    </w:pPr>
    <w:rPr>
      <w:rFonts w:asciiTheme="minorHAnsi" w:hAnsiTheme="minorHAnsi" w:cstheme="minorBidi"/>
      <w:sz w:val="16"/>
      <w:szCs w:val="16"/>
      <w:lang w:val="en-US" w:eastAsia="en-US"/>
    </w:rPr>
  </w:style>
  <w:style w:type="character" w:customStyle="1" w:styleId="4">
    <w:name w:val="Основной текст (4)_"/>
    <w:basedOn w:val="DefaultParagraphFont"/>
    <w:link w:val="40"/>
    <w:rsid w:val="00A11CE9"/>
    <w:rPr>
      <w:rFonts w:eastAsia="Times New Roman"/>
      <w:i/>
      <w:iCs/>
      <w:sz w:val="18"/>
      <w:szCs w:val="18"/>
      <w:shd w:val="clear" w:color="auto" w:fill="FFFFFF"/>
    </w:rPr>
  </w:style>
  <w:style w:type="paragraph" w:customStyle="1" w:styleId="40">
    <w:name w:val="Основной текст (4)"/>
    <w:basedOn w:val="Normal"/>
    <w:link w:val="4"/>
    <w:rsid w:val="00A11CE9"/>
    <w:pPr>
      <w:widowControl w:val="0"/>
      <w:shd w:val="clear" w:color="auto" w:fill="FFFFFF"/>
      <w:spacing w:line="350" w:lineRule="exact"/>
      <w:jc w:val="center"/>
    </w:pPr>
    <w:rPr>
      <w:rFonts w:asciiTheme="minorHAnsi" w:hAnsiTheme="minorHAnsi" w:cstheme="minorBidi"/>
      <w:i/>
      <w:iCs/>
      <w:sz w:val="18"/>
      <w:szCs w:val="18"/>
      <w:lang w:val="en-US" w:eastAsia="en-US"/>
    </w:rPr>
  </w:style>
  <w:style w:type="character" w:customStyle="1" w:styleId="41">
    <w:name w:val="Основной текст (4) + Полужирный;Не курсив"/>
    <w:basedOn w:val="4"/>
    <w:rsid w:val="00A11CE9"/>
    <w:rPr>
      <w:rFonts w:eastAsia="Times New Roman"/>
      <w:b/>
      <w:bCs/>
      <w:i/>
      <w:iCs/>
      <w:color w:val="000000"/>
      <w:spacing w:val="0"/>
      <w:w w:val="100"/>
      <w:position w:val="0"/>
      <w:sz w:val="18"/>
      <w:szCs w:val="18"/>
      <w:shd w:val="clear" w:color="auto" w:fill="FFFFFF"/>
      <w:lang w:val="ro-RO"/>
    </w:rPr>
  </w:style>
  <w:style w:type="paragraph" w:styleId="ListParagraph">
    <w:name w:val="List Paragraph"/>
    <w:basedOn w:val="Normal"/>
    <w:uiPriority w:val="34"/>
    <w:qFormat/>
    <w:rsid w:val="00A11CE9"/>
    <w:pPr>
      <w:ind w:left="720"/>
      <w:contextualSpacing/>
    </w:pPr>
  </w:style>
  <w:style w:type="character" w:customStyle="1" w:styleId="3">
    <w:name w:val="Основной текст (3)_"/>
    <w:basedOn w:val="DefaultParagraphFont"/>
    <w:link w:val="30"/>
    <w:rsid w:val="00102C96"/>
    <w:rPr>
      <w:rFonts w:eastAsia="Times New Roman"/>
      <w:sz w:val="18"/>
      <w:szCs w:val="18"/>
      <w:shd w:val="clear" w:color="auto" w:fill="FFFFFF"/>
    </w:rPr>
  </w:style>
  <w:style w:type="paragraph" w:customStyle="1" w:styleId="30">
    <w:name w:val="Основной текст (3)"/>
    <w:basedOn w:val="Normal"/>
    <w:link w:val="3"/>
    <w:rsid w:val="00102C96"/>
    <w:pPr>
      <w:widowControl w:val="0"/>
      <w:shd w:val="clear" w:color="auto" w:fill="FFFFFF"/>
      <w:spacing w:before="120" w:after="900" w:line="0" w:lineRule="atLeast"/>
      <w:ind w:hanging="320"/>
      <w:jc w:val="center"/>
    </w:pPr>
    <w:rPr>
      <w:rFonts w:asciiTheme="minorHAnsi" w:hAnsiTheme="minorHAnsi" w:cstheme="minorBidi"/>
      <w:sz w:val="18"/>
      <w:szCs w:val="18"/>
      <w:lang w:val="en-US" w:eastAsia="en-US"/>
    </w:rPr>
  </w:style>
  <w:style w:type="character" w:customStyle="1" w:styleId="2">
    <w:name w:val="Основной текст (2)_"/>
    <w:basedOn w:val="DefaultParagraphFont"/>
    <w:link w:val="20"/>
    <w:rsid w:val="00102C96"/>
    <w:rPr>
      <w:rFonts w:eastAsia="Times New Roman"/>
      <w:b/>
      <w:bCs/>
      <w:sz w:val="18"/>
      <w:szCs w:val="18"/>
      <w:shd w:val="clear" w:color="auto" w:fill="FFFFFF"/>
    </w:rPr>
  </w:style>
  <w:style w:type="paragraph" w:customStyle="1" w:styleId="20">
    <w:name w:val="Основной текст (2)"/>
    <w:basedOn w:val="Normal"/>
    <w:link w:val="2"/>
    <w:rsid w:val="00102C96"/>
    <w:pPr>
      <w:widowControl w:val="0"/>
      <w:shd w:val="clear" w:color="auto" w:fill="FFFFFF"/>
      <w:spacing w:before="900" w:after="120" w:line="0" w:lineRule="atLeast"/>
      <w:ind w:hanging="300"/>
      <w:jc w:val="both"/>
    </w:pPr>
    <w:rPr>
      <w:rFonts w:asciiTheme="minorHAnsi" w:hAnsiTheme="minorHAnsi" w:cstheme="minorBidi"/>
      <w:b/>
      <w:bCs/>
      <w:sz w:val="18"/>
      <w:szCs w:val="18"/>
      <w:lang w:val="en-US" w:eastAsia="en-US"/>
    </w:rPr>
  </w:style>
  <w:style w:type="character" w:customStyle="1" w:styleId="21">
    <w:name w:val="Основной текст (2) + Не полужирный;Курсив"/>
    <w:basedOn w:val="2"/>
    <w:rsid w:val="00102C96"/>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o-RO"/>
    </w:rPr>
  </w:style>
  <w:style w:type="paragraph" w:customStyle="1" w:styleId="title-annex-1">
    <w:name w:val="title-annex-1"/>
    <w:basedOn w:val="Normal"/>
    <w:rsid w:val="00102C96"/>
    <w:pPr>
      <w:spacing w:before="100" w:beforeAutospacing="1" w:after="100" w:afterAutospacing="1"/>
    </w:pPr>
    <w:rPr>
      <w:lang w:val="en-US" w:eastAsia="en-US"/>
    </w:rPr>
  </w:style>
  <w:style w:type="paragraph" w:customStyle="1" w:styleId="title-gr-seq-level-1">
    <w:name w:val="title-gr-seq-level-1"/>
    <w:basedOn w:val="Normal"/>
    <w:rsid w:val="00102C96"/>
    <w:pPr>
      <w:spacing w:before="100" w:beforeAutospacing="1" w:after="100" w:afterAutospacing="1"/>
    </w:pPr>
    <w:rPr>
      <w:lang w:val="en-US" w:eastAsia="en-US"/>
    </w:rPr>
  </w:style>
  <w:style w:type="character" w:customStyle="1" w:styleId="boldface">
    <w:name w:val="boldface"/>
    <w:basedOn w:val="DefaultParagraphFont"/>
    <w:rsid w:val="00102C96"/>
  </w:style>
  <w:style w:type="paragraph" w:styleId="BalloonText">
    <w:name w:val="Balloon Text"/>
    <w:basedOn w:val="Normal"/>
    <w:link w:val="BalloonTextChar"/>
    <w:uiPriority w:val="99"/>
    <w:semiHidden/>
    <w:unhideWhenUsed/>
    <w:rsid w:val="00A35062"/>
    <w:rPr>
      <w:rFonts w:ascii="Tahoma" w:hAnsi="Tahoma" w:cs="Tahoma"/>
      <w:sz w:val="16"/>
      <w:szCs w:val="16"/>
    </w:rPr>
  </w:style>
  <w:style w:type="character" w:customStyle="1" w:styleId="BalloonTextChar">
    <w:name w:val="Balloon Text Char"/>
    <w:basedOn w:val="DefaultParagraphFont"/>
    <w:link w:val="BalloonText"/>
    <w:uiPriority w:val="99"/>
    <w:semiHidden/>
    <w:rsid w:val="00A35062"/>
    <w:rPr>
      <w:rFonts w:ascii="Tahoma" w:eastAsia="Times New Roman" w:hAnsi="Tahoma" w:cs="Tahoma"/>
      <w:sz w:val="16"/>
      <w:szCs w:val="16"/>
      <w:lang w:val="ru-RU" w:eastAsia="ru-RU"/>
    </w:rPr>
  </w:style>
  <w:style w:type="paragraph" w:styleId="Header">
    <w:name w:val="header"/>
    <w:basedOn w:val="Normal"/>
    <w:link w:val="HeaderChar"/>
    <w:uiPriority w:val="99"/>
    <w:unhideWhenUsed/>
    <w:rsid w:val="005A0FE7"/>
    <w:pPr>
      <w:tabs>
        <w:tab w:val="center" w:pos="4844"/>
        <w:tab w:val="right" w:pos="9689"/>
      </w:tabs>
    </w:pPr>
  </w:style>
  <w:style w:type="character" w:customStyle="1" w:styleId="HeaderChar">
    <w:name w:val="Header Char"/>
    <w:basedOn w:val="DefaultParagraphFont"/>
    <w:link w:val="Header"/>
    <w:uiPriority w:val="99"/>
    <w:rsid w:val="005A0FE7"/>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5A0FE7"/>
    <w:pPr>
      <w:tabs>
        <w:tab w:val="center" w:pos="4844"/>
        <w:tab w:val="right" w:pos="9689"/>
      </w:tabs>
    </w:pPr>
  </w:style>
  <w:style w:type="character" w:customStyle="1" w:styleId="FooterChar">
    <w:name w:val="Footer Char"/>
    <w:basedOn w:val="DefaultParagraphFont"/>
    <w:link w:val="Footer"/>
    <w:uiPriority w:val="99"/>
    <w:rsid w:val="005A0FE7"/>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80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11CE9"/>
    <w:rPr>
      <w:color w:val="0000FF"/>
      <w:u w:val="single"/>
    </w:rPr>
  </w:style>
  <w:style w:type="character" w:customStyle="1" w:styleId="a">
    <w:name w:val="Основной текст_"/>
    <w:basedOn w:val="DefaultParagraphFont"/>
    <w:link w:val="1"/>
    <w:rsid w:val="00A11CE9"/>
    <w:rPr>
      <w:rFonts w:eastAsia="Times New Roman"/>
      <w:sz w:val="16"/>
      <w:szCs w:val="16"/>
      <w:shd w:val="clear" w:color="auto" w:fill="FFFFFF"/>
    </w:rPr>
  </w:style>
  <w:style w:type="paragraph" w:customStyle="1" w:styleId="1">
    <w:name w:val="Основной текст1"/>
    <w:basedOn w:val="Normal"/>
    <w:link w:val="a"/>
    <w:rsid w:val="00A11CE9"/>
    <w:pPr>
      <w:widowControl w:val="0"/>
      <w:shd w:val="clear" w:color="auto" w:fill="FFFFFF"/>
      <w:spacing w:line="0" w:lineRule="atLeast"/>
      <w:ind w:hanging="680"/>
      <w:jc w:val="center"/>
    </w:pPr>
    <w:rPr>
      <w:rFonts w:asciiTheme="minorHAnsi" w:hAnsiTheme="minorHAnsi" w:cstheme="minorBidi"/>
      <w:sz w:val="16"/>
      <w:szCs w:val="16"/>
      <w:lang w:val="en-US" w:eastAsia="en-US"/>
    </w:rPr>
  </w:style>
  <w:style w:type="character" w:customStyle="1" w:styleId="4">
    <w:name w:val="Основной текст (4)_"/>
    <w:basedOn w:val="DefaultParagraphFont"/>
    <w:link w:val="40"/>
    <w:rsid w:val="00A11CE9"/>
    <w:rPr>
      <w:rFonts w:eastAsia="Times New Roman"/>
      <w:i/>
      <w:iCs/>
      <w:sz w:val="18"/>
      <w:szCs w:val="18"/>
      <w:shd w:val="clear" w:color="auto" w:fill="FFFFFF"/>
    </w:rPr>
  </w:style>
  <w:style w:type="paragraph" w:customStyle="1" w:styleId="40">
    <w:name w:val="Основной текст (4)"/>
    <w:basedOn w:val="Normal"/>
    <w:link w:val="4"/>
    <w:rsid w:val="00A11CE9"/>
    <w:pPr>
      <w:widowControl w:val="0"/>
      <w:shd w:val="clear" w:color="auto" w:fill="FFFFFF"/>
      <w:spacing w:line="350" w:lineRule="exact"/>
      <w:jc w:val="center"/>
    </w:pPr>
    <w:rPr>
      <w:rFonts w:asciiTheme="minorHAnsi" w:hAnsiTheme="minorHAnsi" w:cstheme="minorBidi"/>
      <w:i/>
      <w:iCs/>
      <w:sz w:val="18"/>
      <w:szCs w:val="18"/>
      <w:lang w:val="en-US" w:eastAsia="en-US"/>
    </w:rPr>
  </w:style>
  <w:style w:type="character" w:customStyle="1" w:styleId="41">
    <w:name w:val="Основной текст (4) + Полужирный;Не курсив"/>
    <w:basedOn w:val="4"/>
    <w:rsid w:val="00A11CE9"/>
    <w:rPr>
      <w:rFonts w:eastAsia="Times New Roman"/>
      <w:b/>
      <w:bCs/>
      <w:i/>
      <w:iCs/>
      <w:color w:val="000000"/>
      <w:spacing w:val="0"/>
      <w:w w:val="100"/>
      <w:position w:val="0"/>
      <w:sz w:val="18"/>
      <w:szCs w:val="18"/>
      <w:shd w:val="clear" w:color="auto" w:fill="FFFFFF"/>
      <w:lang w:val="ro-RO"/>
    </w:rPr>
  </w:style>
  <w:style w:type="paragraph" w:styleId="ListParagraph">
    <w:name w:val="List Paragraph"/>
    <w:basedOn w:val="Normal"/>
    <w:uiPriority w:val="34"/>
    <w:qFormat/>
    <w:rsid w:val="00A11CE9"/>
    <w:pPr>
      <w:ind w:left="720"/>
      <w:contextualSpacing/>
    </w:pPr>
  </w:style>
  <w:style w:type="character" w:customStyle="1" w:styleId="3">
    <w:name w:val="Основной текст (3)_"/>
    <w:basedOn w:val="DefaultParagraphFont"/>
    <w:link w:val="30"/>
    <w:rsid w:val="00102C96"/>
    <w:rPr>
      <w:rFonts w:eastAsia="Times New Roman"/>
      <w:sz w:val="18"/>
      <w:szCs w:val="18"/>
      <w:shd w:val="clear" w:color="auto" w:fill="FFFFFF"/>
    </w:rPr>
  </w:style>
  <w:style w:type="paragraph" w:customStyle="1" w:styleId="30">
    <w:name w:val="Основной текст (3)"/>
    <w:basedOn w:val="Normal"/>
    <w:link w:val="3"/>
    <w:rsid w:val="00102C96"/>
    <w:pPr>
      <w:widowControl w:val="0"/>
      <w:shd w:val="clear" w:color="auto" w:fill="FFFFFF"/>
      <w:spacing w:before="120" w:after="900" w:line="0" w:lineRule="atLeast"/>
      <w:ind w:hanging="320"/>
      <w:jc w:val="center"/>
    </w:pPr>
    <w:rPr>
      <w:rFonts w:asciiTheme="minorHAnsi" w:hAnsiTheme="minorHAnsi" w:cstheme="minorBidi"/>
      <w:sz w:val="18"/>
      <w:szCs w:val="18"/>
      <w:lang w:val="en-US" w:eastAsia="en-US"/>
    </w:rPr>
  </w:style>
  <w:style w:type="character" w:customStyle="1" w:styleId="2">
    <w:name w:val="Основной текст (2)_"/>
    <w:basedOn w:val="DefaultParagraphFont"/>
    <w:link w:val="20"/>
    <w:rsid w:val="00102C96"/>
    <w:rPr>
      <w:rFonts w:eastAsia="Times New Roman"/>
      <w:b/>
      <w:bCs/>
      <w:sz w:val="18"/>
      <w:szCs w:val="18"/>
      <w:shd w:val="clear" w:color="auto" w:fill="FFFFFF"/>
    </w:rPr>
  </w:style>
  <w:style w:type="paragraph" w:customStyle="1" w:styleId="20">
    <w:name w:val="Основной текст (2)"/>
    <w:basedOn w:val="Normal"/>
    <w:link w:val="2"/>
    <w:rsid w:val="00102C96"/>
    <w:pPr>
      <w:widowControl w:val="0"/>
      <w:shd w:val="clear" w:color="auto" w:fill="FFFFFF"/>
      <w:spacing w:before="900" w:after="120" w:line="0" w:lineRule="atLeast"/>
      <w:ind w:hanging="300"/>
      <w:jc w:val="both"/>
    </w:pPr>
    <w:rPr>
      <w:rFonts w:asciiTheme="minorHAnsi" w:hAnsiTheme="minorHAnsi" w:cstheme="minorBidi"/>
      <w:b/>
      <w:bCs/>
      <w:sz w:val="18"/>
      <w:szCs w:val="18"/>
      <w:lang w:val="en-US" w:eastAsia="en-US"/>
    </w:rPr>
  </w:style>
  <w:style w:type="character" w:customStyle="1" w:styleId="21">
    <w:name w:val="Основной текст (2) + Не полужирный;Курсив"/>
    <w:basedOn w:val="2"/>
    <w:rsid w:val="00102C96"/>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o-RO"/>
    </w:rPr>
  </w:style>
  <w:style w:type="paragraph" w:customStyle="1" w:styleId="title-annex-1">
    <w:name w:val="title-annex-1"/>
    <w:basedOn w:val="Normal"/>
    <w:rsid w:val="00102C96"/>
    <w:pPr>
      <w:spacing w:before="100" w:beforeAutospacing="1" w:after="100" w:afterAutospacing="1"/>
    </w:pPr>
    <w:rPr>
      <w:lang w:val="en-US" w:eastAsia="en-US"/>
    </w:rPr>
  </w:style>
  <w:style w:type="paragraph" w:customStyle="1" w:styleId="title-gr-seq-level-1">
    <w:name w:val="title-gr-seq-level-1"/>
    <w:basedOn w:val="Normal"/>
    <w:rsid w:val="00102C96"/>
    <w:pPr>
      <w:spacing w:before="100" w:beforeAutospacing="1" w:after="100" w:afterAutospacing="1"/>
    </w:pPr>
    <w:rPr>
      <w:lang w:val="en-US" w:eastAsia="en-US"/>
    </w:rPr>
  </w:style>
  <w:style w:type="character" w:customStyle="1" w:styleId="boldface">
    <w:name w:val="boldface"/>
    <w:basedOn w:val="DefaultParagraphFont"/>
    <w:rsid w:val="00102C96"/>
  </w:style>
  <w:style w:type="paragraph" w:styleId="BalloonText">
    <w:name w:val="Balloon Text"/>
    <w:basedOn w:val="Normal"/>
    <w:link w:val="BalloonTextChar"/>
    <w:uiPriority w:val="99"/>
    <w:semiHidden/>
    <w:unhideWhenUsed/>
    <w:rsid w:val="00A35062"/>
    <w:rPr>
      <w:rFonts w:ascii="Tahoma" w:hAnsi="Tahoma" w:cs="Tahoma"/>
      <w:sz w:val="16"/>
      <w:szCs w:val="16"/>
    </w:rPr>
  </w:style>
  <w:style w:type="character" w:customStyle="1" w:styleId="BalloonTextChar">
    <w:name w:val="Balloon Text Char"/>
    <w:basedOn w:val="DefaultParagraphFont"/>
    <w:link w:val="BalloonText"/>
    <w:uiPriority w:val="99"/>
    <w:semiHidden/>
    <w:rsid w:val="00A35062"/>
    <w:rPr>
      <w:rFonts w:ascii="Tahoma" w:eastAsia="Times New Roman" w:hAnsi="Tahoma" w:cs="Tahoma"/>
      <w:sz w:val="16"/>
      <w:szCs w:val="16"/>
      <w:lang w:val="ru-RU" w:eastAsia="ru-RU"/>
    </w:rPr>
  </w:style>
  <w:style w:type="paragraph" w:styleId="Header">
    <w:name w:val="header"/>
    <w:basedOn w:val="Normal"/>
    <w:link w:val="HeaderChar"/>
    <w:uiPriority w:val="99"/>
    <w:unhideWhenUsed/>
    <w:rsid w:val="005A0FE7"/>
    <w:pPr>
      <w:tabs>
        <w:tab w:val="center" w:pos="4844"/>
        <w:tab w:val="right" w:pos="9689"/>
      </w:tabs>
    </w:pPr>
  </w:style>
  <w:style w:type="character" w:customStyle="1" w:styleId="HeaderChar">
    <w:name w:val="Header Char"/>
    <w:basedOn w:val="DefaultParagraphFont"/>
    <w:link w:val="Header"/>
    <w:uiPriority w:val="99"/>
    <w:rsid w:val="005A0FE7"/>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5A0FE7"/>
    <w:pPr>
      <w:tabs>
        <w:tab w:val="center" w:pos="4844"/>
        <w:tab w:val="right" w:pos="9689"/>
      </w:tabs>
    </w:pPr>
  </w:style>
  <w:style w:type="character" w:customStyle="1" w:styleId="FooterChar">
    <w:name w:val="Footer Char"/>
    <w:basedOn w:val="DefaultParagraphFont"/>
    <w:link w:val="Footer"/>
    <w:uiPriority w:val="99"/>
    <w:rsid w:val="005A0FE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RO/TXT/?uri=CELEX%3A31999L009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ur-lex.europa.eu/legal-content/RO/TXT/?uri=CELEX%3A31999L0092" TargetMode="External"/><Relationship Id="rId4" Type="http://schemas.microsoft.com/office/2007/relationships/stylesWithEffects" Target="stylesWithEffects.xml"/><Relationship Id="rId9" Type="http://schemas.openxmlformats.org/officeDocument/2006/relationships/hyperlink" Target="https://eur-lex.europa.eu/legal-content/RO/AUTO/?uri=celex:32019L183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94FBA-1D96-451C-9ED6-3490A213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5723</Words>
  <Characters>32623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luminita.onofrei</dc:creator>
  <cp:lastModifiedBy>luminita.onofrei</cp:lastModifiedBy>
  <cp:revision>5</cp:revision>
  <cp:lastPrinted>2021-05-19T12:45:00Z</cp:lastPrinted>
  <dcterms:created xsi:type="dcterms:W3CDTF">2021-04-08T04:52:00Z</dcterms:created>
  <dcterms:modified xsi:type="dcterms:W3CDTF">2021-05-19T12:57:00Z</dcterms:modified>
</cp:coreProperties>
</file>