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8CE" w:rsidRPr="00AB7F09" w:rsidRDefault="00CC4536" w:rsidP="00AB7F0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7F09">
        <w:rPr>
          <w:rFonts w:ascii="Times New Roman" w:hAnsi="Times New Roman" w:cs="Times New Roman"/>
          <w:b/>
          <w:sz w:val="28"/>
          <w:szCs w:val="28"/>
        </w:rPr>
        <w:t xml:space="preserve">Nota </w:t>
      </w:r>
      <w:proofErr w:type="spellStart"/>
      <w:r w:rsidRPr="00AB7F09">
        <w:rPr>
          <w:rFonts w:ascii="Times New Roman" w:hAnsi="Times New Roman" w:cs="Times New Roman"/>
          <w:b/>
          <w:sz w:val="28"/>
          <w:szCs w:val="28"/>
        </w:rPr>
        <w:t>informativă</w:t>
      </w:r>
      <w:proofErr w:type="spellEnd"/>
      <w:r w:rsidR="005760AF" w:rsidRPr="00AB7F0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A55D9" w:rsidRPr="00AB7F09" w:rsidRDefault="005760AF" w:rsidP="00AB7F0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B7F09">
        <w:rPr>
          <w:rFonts w:ascii="Times New Roman" w:hAnsi="Times New Roman" w:cs="Times New Roman"/>
          <w:b/>
          <w:sz w:val="28"/>
          <w:szCs w:val="28"/>
        </w:rPr>
        <w:t>la</w:t>
      </w:r>
      <w:proofErr w:type="gramEnd"/>
      <w:r w:rsidRPr="00AB7F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7F09">
        <w:rPr>
          <w:rFonts w:ascii="Times New Roman" w:hAnsi="Times New Roman" w:cs="Times New Roman"/>
          <w:b/>
          <w:sz w:val="28"/>
          <w:szCs w:val="28"/>
        </w:rPr>
        <w:t>proiectul</w:t>
      </w:r>
      <w:proofErr w:type="spellEnd"/>
      <w:r w:rsidRPr="00AB7F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7F09">
        <w:rPr>
          <w:rFonts w:ascii="Times New Roman" w:hAnsi="Times New Roman" w:cs="Times New Roman"/>
          <w:b/>
          <w:sz w:val="28"/>
          <w:szCs w:val="28"/>
        </w:rPr>
        <w:t>hotărârii</w:t>
      </w:r>
      <w:proofErr w:type="spellEnd"/>
      <w:r w:rsidRPr="00AB7F09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AB7F09">
        <w:rPr>
          <w:rFonts w:ascii="Times New Roman" w:hAnsi="Times New Roman" w:cs="Times New Roman"/>
          <w:b/>
          <w:sz w:val="28"/>
          <w:szCs w:val="28"/>
        </w:rPr>
        <w:t>Guvern</w:t>
      </w:r>
      <w:proofErr w:type="spellEnd"/>
      <w:r w:rsidRPr="00AB7F09">
        <w:rPr>
          <w:rFonts w:ascii="Times New Roman" w:hAnsi="Times New Roman" w:cs="Times New Roman"/>
          <w:b/>
          <w:sz w:val="28"/>
          <w:szCs w:val="28"/>
        </w:rPr>
        <w:t xml:space="preserve"> cu </w:t>
      </w:r>
      <w:proofErr w:type="spellStart"/>
      <w:r w:rsidRPr="00AB7F09">
        <w:rPr>
          <w:rFonts w:ascii="Times New Roman" w:hAnsi="Times New Roman" w:cs="Times New Roman"/>
          <w:b/>
          <w:sz w:val="28"/>
          <w:szCs w:val="28"/>
        </w:rPr>
        <w:t>privire</w:t>
      </w:r>
      <w:proofErr w:type="spellEnd"/>
      <w:r w:rsidR="004E20B9">
        <w:rPr>
          <w:rFonts w:ascii="Times New Roman" w:hAnsi="Times New Roman" w:cs="Times New Roman"/>
          <w:b/>
          <w:sz w:val="28"/>
          <w:szCs w:val="28"/>
        </w:rPr>
        <w:t xml:space="preserve"> la</w:t>
      </w:r>
      <w:bookmarkStart w:id="0" w:name="_GoBack"/>
      <w:bookmarkEnd w:id="0"/>
      <w:r w:rsidRPr="00AB7F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7F09">
        <w:rPr>
          <w:rFonts w:ascii="Times New Roman" w:hAnsi="Times New Roman" w:cs="Times New Roman"/>
          <w:b/>
          <w:sz w:val="28"/>
          <w:szCs w:val="28"/>
        </w:rPr>
        <w:t>aprobarea</w:t>
      </w:r>
      <w:proofErr w:type="spellEnd"/>
      <w:r w:rsidRPr="00AB7F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7F09">
        <w:rPr>
          <w:rFonts w:ascii="Times New Roman" w:hAnsi="Times New Roman" w:cs="Times New Roman"/>
          <w:b/>
          <w:sz w:val="28"/>
          <w:szCs w:val="28"/>
        </w:rPr>
        <w:t>Cerințelor</w:t>
      </w:r>
      <w:proofErr w:type="spellEnd"/>
      <w:r w:rsidRPr="00AB7F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7F09">
        <w:rPr>
          <w:rFonts w:ascii="Times New Roman" w:hAnsi="Times New Roman" w:cs="Times New Roman"/>
          <w:b/>
          <w:sz w:val="28"/>
          <w:szCs w:val="28"/>
        </w:rPr>
        <w:t>minime</w:t>
      </w:r>
      <w:proofErr w:type="spellEnd"/>
      <w:r w:rsidRPr="00AB7F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7F09">
        <w:rPr>
          <w:rFonts w:ascii="Times New Roman" w:hAnsi="Times New Roman" w:cs="Times New Roman"/>
          <w:b/>
          <w:sz w:val="28"/>
          <w:szCs w:val="28"/>
        </w:rPr>
        <w:t>pentru</w:t>
      </w:r>
      <w:proofErr w:type="spellEnd"/>
      <w:r w:rsidRPr="00AB7F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7F09">
        <w:rPr>
          <w:rFonts w:ascii="Times New Roman" w:hAnsi="Times New Roman" w:cs="Times New Roman"/>
          <w:b/>
          <w:sz w:val="28"/>
          <w:szCs w:val="28"/>
        </w:rPr>
        <w:t>îmbunătățirea</w:t>
      </w:r>
      <w:proofErr w:type="spellEnd"/>
      <w:r w:rsidRPr="00AB7F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7F09">
        <w:rPr>
          <w:rFonts w:ascii="Times New Roman" w:hAnsi="Times New Roman" w:cs="Times New Roman"/>
          <w:b/>
          <w:sz w:val="28"/>
          <w:szCs w:val="28"/>
        </w:rPr>
        <w:t>protecției</w:t>
      </w:r>
      <w:proofErr w:type="spellEnd"/>
      <w:r w:rsidRPr="00AB7F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7F09">
        <w:rPr>
          <w:rFonts w:ascii="Times New Roman" w:hAnsi="Times New Roman" w:cs="Times New Roman"/>
          <w:b/>
          <w:sz w:val="28"/>
          <w:szCs w:val="28"/>
        </w:rPr>
        <w:t>sănătății</w:t>
      </w:r>
      <w:proofErr w:type="spellEnd"/>
      <w:r w:rsidRPr="00AB7F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7F09">
        <w:rPr>
          <w:rFonts w:ascii="Times New Roman" w:hAnsi="Times New Roman" w:cs="Times New Roman"/>
          <w:b/>
          <w:sz w:val="28"/>
          <w:szCs w:val="28"/>
        </w:rPr>
        <w:t>și</w:t>
      </w:r>
      <w:proofErr w:type="spellEnd"/>
      <w:r w:rsidRPr="00AB7F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7F09">
        <w:rPr>
          <w:rFonts w:ascii="Times New Roman" w:hAnsi="Times New Roman" w:cs="Times New Roman"/>
          <w:b/>
          <w:sz w:val="28"/>
          <w:szCs w:val="28"/>
        </w:rPr>
        <w:t>securității</w:t>
      </w:r>
      <w:proofErr w:type="spellEnd"/>
      <w:r w:rsidRPr="00AB7F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7F09">
        <w:rPr>
          <w:rFonts w:ascii="Times New Roman" w:hAnsi="Times New Roman" w:cs="Times New Roman"/>
          <w:b/>
          <w:sz w:val="28"/>
          <w:szCs w:val="28"/>
        </w:rPr>
        <w:t>lucrătorilor</w:t>
      </w:r>
      <w:proofErr w:type="spellEnd"/>
      <w:r w:rsidRPr="00AB7F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7F09">
        <w:rPr>
          <w:rFonts w:ascii="Times New Roman" w:hAnsi="Times New Roman" w:cs="Times New Roman"/>
          <w:b/>
          <w:sz w:val="28"/>
          <w:szCs w:val="28"/>
        </w:rPr>
        <w:t>expuși</w:t>
      </w:r>
      <w:proofErr w:type="spellEnd"/>
      <w:r w:rsidRPr="00AB7F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7F09">
        <w:rPr>
          <w:rFonts w:ascii="Times New Roman" w:hAnsi="Times New Roman" w:cs="Times New Roman"/>
          <w:b/>
          <w:sz w:val="28"/>
          <w:szCs w:val="28"/>
        </w:rPr>
        <w:t>unui</w:t>
      </w:r>
      <w:proofErr w:type="spellEnd"/>
      <w:r w:rsidRPr="00AB7F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7F09">
        <w:rPr>
          <w:rFonts w:ascii="Times New Roman" w:hAnsi="Times New Roman" w:cs="Times New Roman"/>
          <w:b/>
          <w:sz w:val="28"/>
          <w:szCs w:val="28"/>
        </w:rPr>
        <w:t>potențial</w:t>
      </w:r>
      <w:proofErr w:type="spellEnd"/>
      <w:r w:rsidRPr="00AB7F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7F09">
        <w:rPr>
          <w:rFonts w:ascii="Times New Roman" w:hAnsi="Times New Roman" w:cs="Times New Roman"/>
          <w:b/>
          <w:sz w:val="28"/>
          <w:szCs w:val="28"/>
        </w:rPr>
        <w:t>risc</w:t>
      </w:r>
      <w:proofErr w:type="spellEnd"/>
      <w:r w:rsidRPr="00AB7F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7F09">
        <w:rPr>
          <w:rFonts w:ascii="Times New Roman" w:hAnsi="Times New Roman" w:cs="Times New Roman"/>
          <w:b/>
          <w:sz w:val="28"/>
          <w:szCs w:val="28"/>
        </w:rPr>
        <w:t>în</w:t>
      </w:r>
      <w:proofErr w:type="spellEnd"/>
      <w:r w:rsidRPr="00AB7F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7F09">
        <w:rPr>
          <w:rFonts w:ascii="Times New Roman" w:hAnsi="Times New Roman" w:cs="Times New Roman"/>
          <w:b/>
          <w:sz w:val="28"/>
          <w:szCs w:val="28"/>
        </w:rPr>
        <w:t>medii</w:t>
      </w:r>
      <w:proofErr w:type="spellEnd"/>
      <w:r w:rsidRPr="00AB7F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D0298" w:rsidRPr="00AB7F09">
        <w:rPr>
          <w:rFonts w:ascii="Times New Roman" w:hAnsi="Times New Roman" w:cs="Times New Roman"/>
          <w:b/>
          <w:sz w:val="28"/>
          <w:szCs w:val="28"/>
        </w:rPr>
        <w:t>exploz</w:t>
      </w:r>
      <w:r w:rsidRPr="00AB7F09">
        <w:rPr>
          <w:rFonts w:ascii="Times New Roman" w:hAnsi="Times New Roman" w:cs="Times New Roman"/>
          <w:b/>
          <w:sz w:val="28"/>
          <w:szCs w:val="28"/>
        </w:rPr>
        <w:t>ive</w:t>
      </w:r>
      <w:proofErr w:type="spellEnd"/>
    </w:p>
    <w:p w:rsidR="005760AF" w:rsidRPr="00AB7F09" w:rsidRDefault="005760AF" w:rsidP="00AB7F0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"/>
        <w:gridCol w:w="8828"/>
      </w:tblGrid>
      <w:tr w:rsidR="00AB7F09" w:rsidRPr="00AB7F09" w:rsidTr="001372E0">
        <w:tc>
          <w:tcPr>
            <w:tcW w:w="566" w:type="dxa"/>
            <w:vAlign w:val="center"/>
          </w:tcPr>
          <w:p w:rsidR="005760AF" w:rsidRPr="00AB7F09" w:rsidRDefault="005760AF" w:rsidP="00AB7F0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7F09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8828" w:type="dxa"/>
            <w:vAlign w:val="center"/>
          </w:tcPr>
          <w:p w:rsidR="005760AF" w:rsidRPr="00AB7F09" w:rsidRDefault="005760AF" w:rsidP="00AB7F09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7F09">
              <w:rPr>
                <w:rFonts w:ascii="Times New Roman" w:hAnsi="Times New Roman" w:cs="Times New Roman"/>
                <w:b/>
                <w:sz w:val="28"/>
                <w:szCs w:val="28"/>
              </w:rPr>
              <w:t>Denumirea autorului și, după caz a participanților la elaborarea proiectului</w:t>
            </w:r>
          </w:p>
        </w:tc>
      </w:tr>
      <w:tr w:rsidR="00AB7F09" w:rsidRPr="00AB7F09" w:rsidTr="00BB4088">
        <w:trPr>
          <w:trHeight w:val="782"/>
        </w:trPr>
        <w:tc>
          <w:tcPr>
            <w:tcW w:w="9394" w:type="dxa"/>
            <w:gridSpan w:val="2"/>
            <w:vAlign w:val="center"/>
          </w:tcPr>
          <w:p w:rsidR="001372E0" w:rsidRPr="00AB7F09" w:rsidRDefault="001372E0" w:rsidP="00AB7F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Ministerul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Sănătății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Muncii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și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Protecției Sociale</w:t>
            </w:r>
          </w:p>
          <w:p w:rsidR="001372E0" w:rsidRPr="00AB7F09" w:rsidRDefault="001372E0" w:rsidP="00AB7F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Direcția politici în domeniul raporturilor de muncă și parteneriatului social</w:t>
            </w:r>
          </w:p>
        </w:tc>
      </w:tr>
      <w:tr w:rsidR="00AB7F09" w:rsidRPr="00AB7F09" w:rsidTr="001372E0">
        <w:tc>
          <w:tcPr>
            <w:tcW w:w="566" w:type="dxa"/>
            <w:vAlign w:val="center"/>
          </w:tcPr>
          <w:p w:rsidR="005760AF" w:rsidRPr="00AB7F09" w:rsidRDefault="005760AF" w:rsidP="00AB7F0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7F09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8828" w:type="dxa"/>
            <w:vAlign w:val="center"/>
          </w:tcPr>
          <w:p w:rsidR="005760AF" w:rsidRPr="00AB7F09" w:rsidRDefault="005760AF" w:rsidP="00AB7F09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7F09">
              <w:rPr>
                <w:rFonts w:ascii="Times New Roman" w:hAnsi="Times New Roman" w:cs="Times New Roman"/>
                <w:b/>
                <w:sz w:val="28"/>
                <w:szCs w:val="28"/>
              </w:rPr>
              <w:t>Condițiile ce au impus elaborarea proiectului de act normativ și finalitățile urmărite</w:t>
            </w:r>
          </w:p>
        </w:tc>
      </w:tr>
      <w:tr w:rsidR="00AB7F09" w:rsidRPr="00AB7F09" w:rsidTr="0014783D">
        <w:trPr>
          <w:trHeight w:val="433"/>
        </w:trPr>
        <w:tc>
          <w:tcPr>
            <w:tcW w:w="9394" w:type="dxa"/>
            <w:gridSpan w:val="2"/>
            <w:vAlign w:val="center"/>
          </w:tcPr>
          <w:p w:rsidR="001372E0" w:rsidRPr="00AB7F09" w:rsidRDefault="001372E0" w:rsidP="00AB7F09">
            <w:pPr>
              <w:spacing w:line="276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Proiectul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hotărârii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Guvern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este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elaborat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în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temeiul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art. 6 din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Legea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securității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și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sănătății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în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muncă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nr.186/2008 (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Monitorul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Oficial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al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Republicii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Moldova, 2008, nr.143-144, art.587).</w:t>
            </w:r>
          </w:p>
          <w:p w:rsidR="001372E0" w:rsidRPr="00AB7F09" w:rsidRDefault="001372E0" w:rsidP="00AB7F09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Elaborarea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proiectului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hotărâre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, a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fost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inițiat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ca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urmare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a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îndeplinirii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obligațiilor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asumate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în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urma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încheierii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Acordului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Asociere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Republica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Moldova–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Uniunea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Europeană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Anexa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III la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capitolul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4 (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Ocuparea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forței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muncă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politica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socială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și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egalitatea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șanse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) din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titlul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IV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și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în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scopul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transpunerii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Directivei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1999/92/CE a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Parlamentului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European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și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a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Consiliului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din 16 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decembrie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1999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privind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cerințele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minime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pentru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îmbunătățirea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protecției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sănătății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și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securității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lucrătorilor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expuși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unui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potențial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risc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în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medii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explozive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[a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cincisprezecea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directivă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specială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în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sensul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art.16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alin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.(1) din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Directiva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89/391/CEE],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publicată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în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jurnalul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oficial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al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Uniunii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Europene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seria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L 023/57 din 28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ianuarie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2000,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astfel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cum a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fost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modificată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ultima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oară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prin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6">
              <w:proofErr w:type="spellStart"/>
              <w:r w:rsidRPr="00AB7F09">
                <w:rPr>
                  <w:rFonts w:ascii="Times New Roman" w:hAnsi="Times New Roman" w:cs="Times New Roman"/>
                  <w:sz w:val="28"/>
                  <w:szCs w:val="28"/>
                </w:rPr>
                <w:t>Directiva</w:t>
              </w:r>
              <w:proofErr w:type="spellEnd"/>
              <w:r w:rsidRPr="00AB7F09">
                <w:rPr>
                  <w:rFonts w:ascii="Times New Roman" w:hAnsi="Times New Roman" w:cs="Times New Roman"/>
                  <w:sz w:val="28"/>
                  <w:szCs w:val="28"/>
                </w:rPr>
                <w:t xml:space="preserve"> 2007/30 a </w:t>
              </w:r>
              <w:proofErr w:type="spellStart"/>
              <w:r w:rsidRPr="00AB7F09">
                <w:rPr>
                  <w:rFonts w:ascii="Times New Roman" w:hAnsi="Times New Roman" w:cs="Times New Roman"/>
                  <w:sz w:val="28"/>
                  <w:szCs w:val="28"/>
                </w:rPr>
                <w:t>Parlamentului</w:t>
              </w:r>
              <w:proofErr w:type="spellEnd"/>
              <w:r w:rsidRPr="00AB7F09">
                <w:rPr>
                  <w:rFonts w:ascii="Times New Roman" w:hAnsi="Times New Roman" w:cs="Times New Roman"/>
                  <w:sz w:val="28"/>
                  <w:szCs w:val="28"/>
                </w:rPr>
                <w:t xml:space="preserve"> European </w:t>
              </w:r>
              <w:proofErr w:type="spellStart"/>
              <w:r w:rsidRPr="00AB7F09">
                <w:rPr>
                  <w:rFonts w:ascii="Times New Roman" w:hAnsi="Times New Roman" w:cs="Times New Roman"/>
                  <w:sz w:val="28"/>
                  <w:szCs w:val="28"/>
                </w:rPr>
                <w:t>și</w:t>
              </w:r>
              <w:proofErr w:type="spellEnd"/>
              <w:r w:rsidRPr="00AB7F09">
                <w:rPr>
                  <w:rFonts w:ascii="Times New Roman" w:hAnsi="Times New Roman" w:cs="Times New Roman"/>
                  <w:sz w:val="28"/>
                  <w:szCs w:val="28"/>
                </w:rPr>
                <w:t xml:space="preserve"> a </w:t>
              </w:r>
              <w:proofErr w:type="spellStart"/>
              <w:r w:rsidRPr="00AB7F09">
                <w:rPr>
                  <w:rFonts w:ascii="Times New Roman" w:hAnsi="Times New Roman" w:cs="Times New Roman"/>
                  <w:sz w:val="28"/>
                  <w:szCs w:val="28"/>
                </w:rPr>
                <w:t>Consiliului</w:t>
              </w:r>
              <w:proofErr w:type="spellEnd"/>
              <w:r w:rsidRPr="00AB7F09">
                <w:rPr>
                  <w:rFonts w:ascii="Times New Roman" w:hAnsi="Times New Roman" w:cs="Times New Roman"/>
                  <w:sz w:val="28"/>
                  <w:szCs w:val="28"/>
                </w:rPr>
                <w:t> din 20</w:t>
              </w:r>
            </w:hyperlink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iunie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2007,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publicat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la 27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iunie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2007.</w:t>
            </w:r>
          </w:p>
          <w:p w:rsidR="00DE0715" w:rsidRPr="00AB7F09" w:rsidRDefault="00DE0715" w:rsidP="00AB7F09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De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asemenea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urmare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a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semnării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AA RM-UE, </w:t>
            </w:r>
            <w:proofErr w:type="spellStart"/>
            <w:r w:rsidR="00CF411F" w:rsidRPr="00AB7F09">
              <w:rPr>
                <w:rFonts w:ascii="Times New Roman" w:hAnsi="Times New Roman" w:cs="Times New Roman"/>
                <w:sz w:val="28"/>
                <w:szCs w:val="28"/>
              </w:rPr>
              <w:t>cea</w:t>
            </w:r>
            <w:proofErr w:type="spellEnd"/>
            <w:r w:rsidR="00CF411F"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411F" w:rsidRPr="00AB7F09">
              <w:rPr>
                <w:rFonts w:ascii="Times New Roman" w:hAnsi="Times New Roman" w:cs="Times New Roman"/>
                <w:sz w:val="28"/>
                <w:szCs w:val="28"/>
              </w:rPr>
              <w:t>dintâi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și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-a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asumat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responsabilitatea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de a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transpune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într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-un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termen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determinat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unele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directive din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diferite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domenii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inclusiv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câteva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din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domeniul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securității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și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sănătății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în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muncă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CF411F" w:rsidRPr="00AB7F09">
              <w:rPr>
                <w:rFonts w:ascii="Times New Roman" w:hAnsi="Times New Roman" w:cs="Times New Roman"/>
                <w:sz w:val="28"/>
                <w:szCs w:val="28"/>
              </w:rPr>
              <w:t>ce</w:t>
            </w:r>
            <w:proofErr w:type="spellEnd"/>
            <w:r w:rsidR="00CF411F"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au </w:t>
            </w:r>
            <w:proofErr w:type="spellStart"/>
            <w:r w:rsidR="00CF411F" w:rsidRPr="00AB7F09">
              <w:rPr>
                <w:rFonts w:ascii="Times New Roman" w:hAnsi="Times New Roman" w:cs="Times New Roman"/>
                <w:sz w:val="28"/>
                <w:szCs w:val="28"/>
              </w:rPr>
              <w:t>ca</w:t>
            </w:r>
            <w:proofErr w:type="spellEnd"/>
            <w:r w:rsidR="00CF411F"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411F" w:rsidRPr="00AB7F09">
              <w:rPr>
                <w:rFonts w:ascii="Times New Roman" w:hAnsi="Times New Roman" w:cs="Times New Roman"/>
                <w:sz w:val="28"/>
                <w:szCs w:val="28"/>
              </w:rPr>
              <w:t>scop</w:t>
            </w:r>
            <w:proofErr w:type="spellEnd"/>
            <w:r w:rsidR="00CF411F"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411F" w:rsidRPr="00AB7F09">
              <w:rPr>
                <w:rFonts w:ascii="Times New Roman" w:hAnsi="Times New Roman" w:cs="Times New Roman"/>
                <w:sz w:val="28"/>
                <w:szCs w:val="28"/>
              </w:rPr>
              <w:t>îmbunătățirea</w:t>
            </w:r>
            <w:proofErr w:type="spellEnd"/>
            <w:r w:rsidR="00CF411F"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411F" w:rsidRPr="00AB7F09">
              <w:rPr>
                <w:rFonts w:ascii="Times New Roman" w:hAnsi="Times New Roman" w:cs="Times New Roman"/>
                <w:sz w:val="28"/>
                <w:szCs w:val="28"/>
              </w:rPr>
              <w:t>condițiilor</w:t>
            </w:r>
            <w:proofErr w:type="spellEnd"/>
            <w:r w:rsidR="00CF411F"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 w:rsidR="00CF411F" w:rsidRPr="00AB7F09">
              <w:rPr>
                <w:rFonts w:ascii="Times New Roman" w:hAnsi="Times New Roman" w:cs="Times New Roman"/>
                <w:sz w:val="28"/>
                <w:szCs w:val="28"/>
              </w:rPr>
              <w:t>securitate</w:t>
            </w:r>
            <w:proofErr w:type="spellEnd"/>
            <w:r w:rsidR="00CF411F"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411F" w:rsidRPr="00AB7F09">
              <w:rPr>
                <w:rFonts w:ascii="Times New Roman" w:hAnsi="Times New Roman" w:cs="Times New Roman"/>
                <w:sz w:val="28"/>
                <w:szCs w:val="28"/>
              </w:rPr>
              <w:t>și</w:t>
            </w:r>
            <w:proofErr w:type="spellEnd"/>
            <w:r w:rsidR="00CF411F"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a </w:t>
            </w:r>
            <w:proofErr w:type="spellStart"/>
            <w:r w:rsidR="00CF411F" w:rsidRPr="00AB7F09">
              <w:rPr>
                <w:rFonts w:ascii="Times New Roman" w:hAnsi="Times New Roman" w:cs="Times New Roman"/>
                <w:sz w:val="28"/>
                <w:szCs w:val="28"/>
              </w:rPr>
              <w:t>condițiilor</w:t>
            </w:r>
            <w:proofErr w:type="spellEnd"/>
            <w:r w:rsidR="00CF411F"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 w:rsidR="00CF411F" w:rsidRPr="00AB7F09">
              <w:rPr>
                <w:rFonts w:ascii="Times New Roman" w:hAnsi="Times New Roman" w:cs="Times New Roman"/>
                <w:sz w:val="28"/>
                <w:szCs w:val="28"/>
              </w:rPr>
              <w:t>sănătate</w:t>
            </w:r>
            <w:proofErr w:type="spellEnd"/>
            <w:r w:rsidR="00CF411F"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la </w:t>
            </w:r>
            <w:proofErr w:type="spellStart"/>
            <w:r w:rsidR="00CF411F" w:rsidRPr="00AB7F09">
              <w:rPr>
                <w:rFonts w:ascii="Times New Roman" w:hAnsi="Times New Roman" w:cs="Times New Roman"/>
                <w:sz w:val="28"/>
                <w:szCs w:val="28"/>
              </w:rPr>
              <w:t>locul</w:t>
            </w:r>
            <w:proofErr w:type="spellEnd"/>
            <w:r w:rsidR="00CF411F"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 w:rsidR="00CF411F" w:rsidRPr="00AB7F09">
              <w:rPr>
                <w:rFonts w:ascii="Times New Roman" w:hAnsi="Times New Roman" w:cs="Times New Roman"/>
                <w:sz w:val="28"/>
                <w:szCs w:val="28"/>
              </w:rPr>
              <w:t>muncă</w:t>
            </w:r>
            <w:proofErr w:type="spellEnd"/>
            <w:r w:rsidR="00CF411F"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CF411F" w:rsidRPr="00AB7F09">
              <w:rPr>
                <w:rFonts w:ascii="Times New Roman" w:hAnsi="Times New Roman" w:cs="Times New Roman"/>
                <w:sz w:val="28"/>
                <w:szCs w:val="28"/>
              </w:rPr>
              <w:t>Printre</w:t>
            </w:r>
            <w:proofErr w:type="spellEnd"/>
            <w:r w:rsidR="00CF411F"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411F" w:rsidRPr="00AB7F09">
              <w:rPr>
                <w:rFonts w:ascii="Times New Roman" w:hAnsi="Times New Roman" w:cs="Times New Roman"/>
                <w:sz w:val="28"/>
                <w:szCs w:val="28"/>
              </w:rPr>
              <w:t>aceste</w:t>
            </w:r>
            <w:proofErr w:type="spellEnd"/>
            <w:r w:rsidR="00CF411F"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directive, se </w:t>
            </w:r>
            <w:proofErr w:type="spellStart"/>
            <w:r w:rsidR="00CF411F" w:rsidRPr="00AB7F09">
              <w:rPr>
                <w:rFonts w:ascii="Times New Roman" w:hAnsi="Times New Roman" w:cs="Times New Roman"/>
                <w:sz w:val="28"/>
                <w:szCs w:val="28"/>
              </w:rPr>
              <w:t>enumeră</w:t>
            </w:r>
            <w:proofErr w:type="spellEnd"/>
            <w:r w:rsidR="00CF411F"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411F" w:rsidRPr="00AB7F09">
              <w:rPr>
                <w:rFonts w:ascii="Times New Roman" w:hAnsi="Times New Roman" w:cs="Times New Roman"/>
                <w:sz w:val="28"/>
                <w:szCs w:val="28"/>
              </w:rPr>
              <w:t>și</w:t>
            </w:r>
            <w:proofErr w:type="spellEnd"/>
            <w:r w:rsidR="00CF411F"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411F" w:rsidRPr="00AB7F09">
              <w:rPr>
                <w:rFonts w:ascii="Times New Roman" w:hAnsi="Times New Roman" w:cs="Times New Roman"/>
                <w:sz w:val="28"/>
                <w:szCs w:val="28"/>
              </w:rPr>
              <w:t>Directiva</w:t>
            </w:r>
            <w:proofErr w:type="spellEnd"/>
            <w:r w:rsidR="00CF411F"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1999/92/CE a </w:t>
            </w:r>
            <w:proofErr w:type="spellStart"/>
            <w:r w:rsidR="00CF411F" w:rsidRPr="00AB7F09">
              <w:rPr>
                <w:rFonts w:ascii="Times New Roman" w:hAnsi="Times New Roman" w:cs="Times New Roman"/>
                <w:sz w:val="28"/>
                <w:szCs w:val="28"/>
              </w:rPr>
              <w:t>Parlamentului</w:t>
            </w:r>
            <w:proofErr w:type="spellEnd"/>
            <w:r w:rsidR="00CF411F"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European </w:t>
            </w:r>
            <w:proofErr w:type="spellStart"/>
            <w:r w:rsidR="00CF411F" w:rsidRPr="00AB7F09">
              <w:rPr>
                <w:rFonts w:ascii="Times New Roman" w:hAnsi="Times New Roman" w:cs="Times New Roman"/>
                <w:sz w:val="28"/>
                <w:szCs w:val="28"/>
              </w:rPr>
              <w:t>și</w:t>
            </w:r>
            <w:proofErr w:type="spellEnd"/>
            <w:r w:rsidR="00CF411F"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a </w:t>
            </w:r>
            <w:proofErr w:type="spellStart"/>
            <w:r w:rsidR="00CF411F" w:rsidRPr="00AB7F09">
              <w:rPr>
                <w:rFonts w:ascii="Times New Roman" w:hAnsi="Times New Roman" w:cs="Times New Roman"/>
                <w:sz w:val="28"/>
                <w:szCs w:val="28"/>
              </w:rPr>
              <w:t>Consiliului</w:t>
            </w:r>
            <w:proofErr w:type="spellEnd"/>
            <w:r w:rsidR="00CF411F"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din 16 </w:t>
            </w:r>
            <w:proofErr w:type="spellStart"/>
            <w:r w:rsidR="00CF411F" w:rsidRPr="00AB7F09">
              <w:rPr>
                <w:rFonts w:ascii="Times New Roman" w:hAnsi="Times New Roman" w:cs="Times New Roman"/>
                <w:sz w:val="28"/>
                <w:szCs w:val="28"/>
              </w:rPr>
              <w:t>decembrie</w:t>
            </w:r>
            <w:proofErr w:type="spellEnd"/>
            <w:r w:rsidR="00CF411F"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1999 </w:t>
            </w:r>
            <w:proofErr w:type="spellStart"/>
            <w:r w:rsidR="00CF411F" w:rsidRPr="00AB7F09">
              <w:rPr>
                <w:rFonts w:ascii="Times New Roman" w:hAnsi="Times New Roman" w:cs="Times New Roman"/>
                <w:sz w:val="28"/>
                <w:szCs w:val="28"/>
              </w:rPr>
              <w:t>privind</w:t>
            </w:r>
            <w:proofErr w:type="spellEnd"/>
            <w:r w:rsidR="00CF411F"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411F" w:rsidRPr="00AB7F09">
              <w:rPr>
                <w:rFonts w:ascii="Times New Roman" w:hAnsi="Times New Roman" w:cs="Times New Roman"/>
                <w:sz w:val="28"/>
                <w:szCs w:val="28"/>
              </w:rPr>
              <w:t>cerințele</w:t>
            </w:r>
            <w:proofErr w:type="spellEnd"/>
            <w:r w:rsidR="00CF411F"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411F" w:rsidRPr="00AB7F09">
              <w:rPr>
                <w:rFonts w:ascii="Times New Roman" w:hAnsi="Times New Roman" w:cs="Times New Roman"/>
                <w:sz w:val="28"/>
                <w:szCs w:val="28"/>
              </w:rPr>
              <w:t>minime</w:t>
            </w:r>
            <w:proofErr w:type="spellEnd"/>
            <w:r w:rsidR="00CF411F"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411F" w:rsidRPr="00AB7F09">
              <w:rPr>
                <w:rFonts w:ascii="Times New Roman" w:hAnsi="Times New Roman" w:cs="Times New Roman"/>
                <w:sz w:val="28"/>
                <w:szCs w:val="28"/>
              </w:rPr>
              <w:t>pentru</w:t>
            </w:r>
            <w:proofErr w:type="spellEnd"/>
            <w:r w:rsidR="00CF411F"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411F" w:rsidRPr="00AB7F09">
              <w:rPr>
                <w:rFonts w:ascii="Times New Roman" w:hAnsi="Times New Roman" w:cs="Times New Roman"/>
                <w:sz w:val="28"/>
                <w:szCs w:val="28"/>
              </w:rPr>
              <w:t>îmbunătățirea</w:t>
            </w:r>
            <w:proofErr w:type="spellEnd"/>
            <w:r w:rsidR="00CF411F"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411F" w:rsidRPr="00AB7F09">
              <w:rPr>
                <w:rFonts w:ascii="Times New Roman" w:hAnsi="Times New Roman" w:cs="Times New Roman"/>
                <w:sz w:val="28"/>
                <w:szCs w:val="28"/>
              </w:rPr>
              <w:t>protecției</w:t>
            </w:r>
            <w:proofErr w:type="spellEnd"/>
            <w:r w:rsidR="00CF411F"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411F" w:rsidRPr="00AB7F09">
              <w:rPr>
                <w:rFonts w:ascii="Times New Roman" w:hAnsi="Times New Roman" w:cs="Times New Roman"/>
                <w:sz w:val="28"/>
                <w:szCs w:val="28"/>
              </w:rPr>
              <w:t>sănătății</w:t>
            </w:r>
            <w:proofErr w:type="spellEnd"/>
            <w:r w:rsidR="00CF411F"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411F" w:rsidRPr="00AB7F09">
              <w:rPr>
                <w:rFonts w:ascii="Times New Roman" w:hAnsi="Times New Roman" w:cs="Times New Roman"/>
                <w:sz w:val="28"/>
                <w:szCs w:val="28"/>
              </w:rPr>
              <w:t>și</w:t>
            </w:r>
            <w:proofErr w:type="spellEnd"/>
            <w:r w:rsidR="00CF411F"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411F" w:rsidRPr="00AB7F09">
              <w:rPr>
                <w:rFonts w:ascii="Times New Roman" w:hAnsi="Times New Roman" w:cs="Times New Roman"/>
                <w:sz w:val="28"/>
                <w:szCs w:val="28"/>
              </w:rPr>
              <w:t>securității</w:t>
            </w:r>
            <w:proofErr w:type="spellEnd"/>
            <w:r w:rsidR="00CF411F"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411F" w:rsidRPr="00AB7F09">
              <w:rPr>
                <w:rFonts w:ascii="Times New Roman" w:hAnsi="Times New Roman" w:cs="Times New Roman"/>
                <w:sz w:val="28"/>
                <w:szCs w:val="28"/>
              </w:rPr>
              <w:t>lucrătorilor</w:t>
            </w:r>
            <w:proofErr w:type="spellEnd"/>
            <w:r w:rsidR="00CF411F"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411F" w:rsidRPr="00AB7F09">
              <w:rPr>
                <w:rFonts w:ascii="Times New Roman" w:hAnsi="Times New Roman" w:cs="Times New Roman"/>
                <w:sz w:val="28"/>
                <w:szCs w:val="28"/>
              </w:rPr>
              <w:t>expuși</w:t>
            </w:r>
            <w:proofErr w:type="spellEnd"/>
            <w:r w:rsidR="00CF411F"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411F" w:rsidRPr="00AB7F09">
              <w:rPr>
                <w:rFonts w:ascii="Times New Roman" w:hAnsi="Times New Roman" w:cs="Times New Roman"/>
                <w:sz w:val="28"/>
                <w:szCs w:val="28"/>
              </w:rPr>
              <w:t>unui</w:t>
            </w:r>
            <w:proofErr w:type="spellEnd"/>
            <w:r w:rsidR="00CF411F"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411F" w:rsidRPr="00AB7F09">
              <w:rPr>
                <w:rFonts w:ascii="Times New Roman" w:hAnsi="Times New Roman" w:cs="Times New Roman"/>
                <w:sz w:val="28"/>
                <w:szCs w:val="28"/>
              </w:rPr>
              <w:t>po</w:t>
            </w:r>
            <w:r w:rsidR="0010675B" w:rsidRPr="00AB7F09">
              <w:rPr>
                <w:rFonts w:ascii="Times New Roman" w:hAnsi="Times New Roman" w:cs="Times New Roman"/>
                <w:sz w:val="28"/>
                <w:szCs w:val="28"/>
              </w:rPr>
              <w:t>tențial</w:t>
            </w:r>
            <w:proofErr w:type="spellEnd"/>
            <w:r w:rsidR="0010675B"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0675B" w:rsidRPr="00AB7F09">
              <w:rPr>
                <w:rFonts w:ascii="Times New Roman" w:hAnsi="Times New Roman" w:cs="Times New Roman"/>
                <w:sz w:val="28"/>
                <w:szCs w:val="28"/>
              </w:rPr>
              <w:t>risc</w:t>
            </w:r>
            <w:proofErr w:type="spellEnd"/>
            <w:r w:rsidR="0010675B"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0675B" w:rsidRPr="00AB7F09">
              <w:rPr>
                <w:rFonts w:ascii="Times New Roman" w:hAnsi="Times New Roman" w:cs="Times New Roman"/>
                <w:sz w:val="28"/>
                <w:szCs w:val="28"/>
              </w:rPr>
              <w:t>în</w:t>
            </w:r>
            <w:proofErr w:type="spellEnd"/>
            <w:r w:rsidR="0010675B"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0675B" w:rsidRPr="00AB7F09">
              <w:rPr>
                <w:rFonts w:ascii="Times New Roman" w:hAnsi="Times New Roman" w:cs="Times New Roman"/>
                <w:sz w:val="28"/>
                <w:szCs w:val="28"/>
              </w:rPr>
              <w:t>medii</w:t>
            </w:r>
            <w:proofErr w:type="spellEnd"/>
            <w:r w:rsidR="0010675B"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0675B" w:rsidRPr="00AB7F09">
              <w:rPr>
                <w:rFonts w:ascii="Times New Roman" w:hAnsi="Times New Roman" w:cs="Times New Roman"/>
                <w:sz w:val="28"/>
                <w:szCs w:val="28"/>
              </w:rPr>
              <w:t>explozive</w:t>
            </w:r>
            <w:proofErr w:type="spellEnd"/>
            <w:r w:rsidR="0014783D" w:rsidRPr="00AB7F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4783D" w:rsidRPr="00AB7F09" w:rsidRDefault="0014783D" w:rsidP="00AB7F09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Suplimentar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relatăm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că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proiectul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în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cauză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06191" w:rsidRPr="00AB7F09">
              <w:rPr>
                <w:rFonts w:ascii="Times New Roman" w:hAnsi="Times New Roman" w:cs="Times New Roman"/>
                <w:sz w:val="28"/>
                <w:szCs w:val="28"/>
              </w:rPr>
              <w:t>este</w:t>
            </w:r>
            <w:proofErr w:type="spellEnd"/>
            <w:r w:rsidR="00A06191"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00241" w:rsidRPr="00AB7F09">
              <w:rPr>
                <w:rFonts w:ascii="Times New Roman" w:hAnsi="Times New Roman" w:cs="Times New Roman"/>
                <w:sz w:val="28"/>
                <w:szCs w:val="28"/>
              </w:rPr>
              <w:t>elaborat</w:t>
            </w:r>
            <w:proofErr w:type="spellEnd"/>
            <w:r w:rsidR="00A06191"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în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scopul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realizării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ap</w:t>
            </w:r>
            <w:r w:rsidR="00400241" w:rsidRPr="00AB7F09">
              <w:rPr>
                <w:rFonts w:ascii="Times New Roman" w:hAnsi="Times New Roman" w:cs="Times New Roman"/>
                <w:sz w:val="28"/>
                <w:szCs w:val="28"/>
              </w:rPr>
              <w:t>licabilității</w:t>
            </w:r>
            <w:proofErr w:type="spellEnd"/>
            <w:r w:rsidR="00400241"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00241" w:rsidRPr="00AB7F09">
              <w:rPr>
                <w:rFonts w:ascii="Times New Roman" w:hAnsi="Times New Roman" w:cs="Times New Roman"/>
                <w:sz w:val="28"/>
                <w:szCs w:val="28"/>
              </w:rPr>
              <w:t>complexe</w:t>
            </w:r>
            <w:proofErr w:type="spellEnd"/>
            <w:r w:rsidR="00400241"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a</w:t>
            </w:r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Legii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securității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și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sănătății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în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muncă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nr.186/2008</w:t>
            </w:r>
            <w:r w:rsidR="00400241"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400241" w:rsidRPr="00AB7F09">
              <w:rPr>
                <w:rFonts w:ascii="Times New Roman" w:hAnsi="Times New Roman" w:cs="Times New Roman"/>
                <w:sz w:val="28"/>
                <w:szCs w:val="28"/>
              </w:rPr>
              <w:t>este</w:t>
            </w:r>
            <w:proofErr w:type="spellEnd"/>
            <w:r w:rsidR="00400241"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un </w:t>
            </w:r>
            <w:proofErr w:type="spellStart"/>
            <w:r w:rsidR="00400241" w:rsidRPr="00AB7F09">
              <w:rPr>
                <w:rFonts w:ascii="Times New Roman" w:hAnsi="Times New Roman" w:cs="Times New Roman"/>
                <w:sz w:val="28"/>
                <w:szCs w:val="28"/>
              </w:rPr>
              <w:t>proiect</w:t>
            </w:r>
            <w:proofErr w:type="spellEnd"/>
            <w:r w:rsidR="00400241"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 w:rsidR="00400241" w:rsidRPr="00AB7F09">
              <w:rPr>
                <w:rFonts w:ascii="Times New Roman" w:hAnsi="Times New Roman" w:cs="Times New Roman"/>
                <w:sz w:val="28"/>
                <w:szCs w:val="28"/>
              </w:rPr>
              <w:t>ordin</w:t>
            </w:r>
            <w:proofErr w:type="spellEnd"/>
            <w:r w:rsidR="00400241"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00241" w:rsidRPr="00AB7F0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="0010675B" w:rsidRPr="00AB7F09">
              <w:rPr>
                <w:rFonts w:ascii="Times New Roman" w:hAnsi="Times New Roman" w:cs="Times New Roman"/>
                <w:sz w:val="28"/>
                <w:szCs w:val="28"/>
              </w:rPr>
              <w:t>e</w:t>
            </w:r>
            <w:r w:rsidR="00400241" w:rsidRPr="00AB7F09">
              <w:rPr>
                <w:rFonts w:ascii="Times New Roman" w:hAnsi="Times New Roman" w:cs="Times New Roman"/>
                <w:sz w:val="28"/>
                <w:szCs w:val="28"/>
              </w:rPr>
              <w:t>hnic</w:t>
            </w:r>
            <w:proofErr w:type="spellEnd"/>
            <w:r w:rsidR="00400241"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, nu </w:t>
            </w:r>
            <w:proofErr w:type="spellStart"/>
            <w:r w:rsidR="00400241" w:rsidRPr="00AB7F09">
              <w:rPr>
                <w:rFonts w:ascii="Times New Roman" w:hAnsi="Times New Roman" w:cs="Times New Roman"/>
                <w:sz w:val="28"/>
                <w:szCs w:val="28"/>
              </w:rPr>
              <w:t>prezintă</w:t>
            </w:r>
            <w:proofErr w:type="spellEnd"/>
            <w:r w:rsidR="00400241"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00241" w:rsidRPr="00AB7F09">
              <w:rPr>
                <w:rFonts w:ascii="Times New Roman" w:hAnsi="Times New Roman" w:cs="Times New Roman"/>
                <w:sz w:val="28"/>
                <w:szCs w:val="28"/>
              </w:rPr>
              <w:t>propuneri</w:t>
            </w:r>
            <w:proofErr w:type="spellEnd"/>
            <w:r w:rsidR="00400241"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 w:rsidR="00400241" w:rsidRPr="00AB7F09">
              <w:rPr>
                <w:rFonts w:ascii="Times New Roman" w:hAnsi="Times New Roman" w:cs="Times New Roman"/>
                <w:sz w:val="28"/>
                <w:szCs w:val="28"/>
              </w:rPr>
              <w:t>modificare</w:t>
            </w:r>
            <w:proofErr w:type="spellEnd"/>
            <w:r w:rsidR="00400241"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a </w:t>
            </w:r>
            <w:proofErr w:type="spellStart"/>
            <w:r w:rsidR="00400241" w:rsidRPr="00AB7F09">
              <w:rPr>
                <w:rFonts w:ascii="Times New Roman" w:hAnsi="Times New Roman" w:cs="Times New Roman"/>
                <w:sz w:val="28"/>
                <w:szCs w:val="28"/>
              </w:rPr>
              <w:t>legislației</w:t>
            </w:r>
            <w:proofErr w:type="spellEnd"/>
            <w:r w:rsidR="00400241"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00241" w:rsidRPr="00AB7F09">
              <w:rPr>
                <w:rFonts w:ascii="Times New Roman" w:hAnsi="Times New Roman" w:cs="Times New Roman"/>
                <w:sz w:val="28"/>
                <w:szCs w:val="28"/>
              </w:rPr>
              <w:t>în</w:t>
            </w:r>
            <w:proofErr w:type="spellEnd"/>
            <w:r w:rsidR="00400241"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00241" w:rsidRPr="00AB7F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vigoare</w:t>
            </w:r>
            <w:proofErr w:type="spellEnd"/>
            <w:r w:rsidR="00400241"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00241" w:rsidRPr="00AB7F09">
              <w:rPr>
                <w:rFonts w:ascii="Times New Roman" w:hAnsi="Times New Roman" w:cs="Times New Roman"/>
                <w:sz w:val="28"/>
                <w:szCs w:val="28"/>
              </w:rPr>
              <w:t>și</w:t>
            </w:r>
            <w:proofErr w:type="spellEnd"/>
            <w:r w:rsidR="00400241"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nu </w:t>
            </w:r>
            <w:proofErr w:type="spellStart"/>
            <w:r w:rsidR="00400241" w:rsidRPr="00AB7F09">
              <w:rPr>
                <w:rFonts w:ascii="Times New Roman" w:hAnsi="Times New Roman" w:cs="Times New Roman"/>
                <w:sz w:val="28"/>
                <w:szCs w:val="28"/>
              </w:rPr>
              <w:t>implică</w:t>
            </w:r>
            <w:proofErr w:type="spellEnd"/>
            <w:r w:rsidR="00400241"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00241" w:rsidRPr="00AB7F09">
              <w:rPr>
                <w:rFonts w:ascii="Times New Roman" w:hAnsi="Times New Roman" w:cs="Times New Roman"/>
                <w:sz w:val="28"/>
                <w:szCs w:val="28"/>
              </w:rPr>
              <w:t>angajamente</w:t>
            </w:r>
            <w:proofErr w:type="spellEnd"/>
            <w:r w:rsidR="00400241"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00241" w:rsidRPr="00AB7F09">
              <w:rPr>
                <w:rFonts w:ascii="Times New Roman" w:hAnsi="Times New Roman" w:cs="Times New Roman"/>
                <w:sz w:val="28"/>
                <w:szCs w:val="28"/>
              </w:rPr>
              <w:t>financiare</w:t>
            </w:r>
            <w:proofErr w:type="spellEnd"/>
            <w:r w:rsidR="00400241"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00241" w:rsidRPr="00AB7F09">
              <w:rPr>
                <w:rFonts w:ascii="Times New Roman" w:hAnsi="Times New Roman" w:cs="Times New Roman"/>
                <w:sz w:val="28"/>
                <w:szCs w:val="28"/>
              </w:rPr>
              <w:t>suplimentare</w:t>
            </w:r>
            <w:proofErr w:type="spellEnd"/>
            <w:r w:rsidR="00400241" w:rsidRPr="00AB7F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D4FAF" w:rsidRPr="00AB7F09" w:rsidRDefault="0008627D" w:rsidP="00AB7F09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  <w:lang w:val="ro-RO"/>
              </w:rPr>
            </w:pPr>
            <w:r w:rsidRPr="00AB7F09">
              <w:rPr>
                <w:rFonts w:ascii="Times New Roman" w:hAnsi="Times New Roman" w:cs="Times New Roman"/>
                <w:spacing w:val="-1"/>
                <w:sz w:val="28"/>
                <w:szCs w:val="28"/>
                <w:lang w:val="ro-RO"/>
              </w:rPr>
              <w:t xml:space="preserve">Menționăm, că </w:t>
            </w:r>
            <w:r w:rsidR="005A79E5" w:rsidRPr="00AB7F09">
              <w:rPr>
                <w:rFonts w:ascii="Times New Roman" w:hAnsi="Times New Roman" w:cs="Times New Roman"/>
                <w:spacing w:val="-1"/>
                <w:sz w:val="28"/>
                <w:szCs w:val="28"/>
                <w:lang w:val="ro-RO"/>
              </w:rPr>
              <w:t>după cum este prevăzut în Hotărârea Curții Constituționale nr. 7 din 4 martie 2021, în categoriile ce vizează administrarea treburilor publice de către un Gu</w:t>
            </w:r>
            <w:r w:rsidR="007D4FAF" w:rsidRPr="00AB7F09">
              <w:rPr>
                <w:rFonts w:ascii="Times New Roman" w:hAnsi="Times New Roman" w:cs="Times New Roman"/>
                <w:spacing w:val="-1"/>
                <w:sz w:val="28"/>
                <w:szCs w:val="28"/>
                <w:lang w:val="ro-RO"/>
              </w:rPr>
              <w:t>vern demisionar, sunt identificate trei situații:</w:t>
            </w:r>
          </w:p>
          <w:p w:rsidR="007D4FAF" w:rsidRPr="00AB7F09" w:rsidRDefault="007D4FAF" w:rsidP="00AB7F09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  <w:lang w:val="ro-RO"/>
              </w:rPr>
            </w:pPr>
            <w:r w:rsidRPr="00AB7F09">
              <w:rPr>
                <w:rFonts w:ascii="Times New Roman" w:hAnsi="Times New Roman" w:cs="Times New Roman"/>
                <w:spacing w:val="-1"/>
                <w:sz w:val="28"/>
                <w:szCs w:val="28"/>
                <w:lang w:val="ro-RO"/>
              </w:rPr>
              <w:t>1. treburile curente care îi permit statului să funcționeze;</w:t>
            </w:r>
          </w:p>
          <w:p w:rsidR="007D4FAF" w:rsidRPr="00AB7F09" w:rsidRDefault="007D4FAF" w:rsidP="00AB7F09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  <w:lang w:val="ro-RO"/>
              </w:rPr>
            </w:pPr>
            <w:r w:rsidRPr="00AB7F09">
              <w:rPr>
                <w:rFonts w:ascii="Times New Roman" w:hAnsi="Times New Roman" w:cs="Times New Roman"/>
                <w:spacing w:val="-1"/>
                <w:sz w:val="28"/>
                <w:szCs w:val="28"/>
                <w:lang w:val="ro-RO"/>
              </w:rPr>
              <w:t>2. treburile în curs, care au fost inițiate atunci când Guvernul avea competențe depline și care trebuie finalizate;</w:t>
            </w:r>
          </w:p>
          <w:p w:rsidR="007D4FAF" w:rsidRPr="00AB7F09" w:rsidRDefault="007D4FAF" w:rsidP="00AB7F09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  <w:lang w:val="ro-RO"/>
              </w:rPr>
            </w:pPr>
            <w:r w:rsidRPr="00AB7F09">
              <w:rPr>
                <w:rFonts w:ascii="Times New Roman" w:hAnsi="Times New Roman" w:cs="Times New Roman"/>
                <w:spacing w:val="-1"/>
                <w:sz w:val="28"/>
                <w:szCs w:val="28"/>
                <w:lang w:val="ro-RO"/>
              </w:rPr>
              <w:t>3. treburile urgente care, trebuie soluționate în mod imperativ pentru a se evita pericolele foarte grave pentru stat și cetățeni, pentru viața economică și socială.</w:t>
            </w:r>
          </w:p>
          <w:p w:rsidR="00485964" w:rsidRPr="00AB7F09" w:rsidRDefault="005A79E5" w:rsidP="00AB7F09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  <w:lang w:val="ro-RO"/>
              </w:rPr>
            </w:pPr>
            <w:r w:rsidRPr="00AB7F09">
              <w:rPr>
                <w:rFonts w:ascii="Times New Roman" w:hAnsi="Times New Roman" w:cs="Times New Roman"/>
                <w:spacing w:val="-1"/>
                <w:sz w:val="28"/>
                <w:szCs w:val="28"/>
                <w:lang w:val="ro-RO"/>
              </w:rPr>
              <w:t xml:space="preserve"> </w:t>
            </w:r>
            <w:r w:rsidR="007D4FAF" w:rsidRPr="00AB7F09">
              <w:rPr>
                <w:rFonts w:ascii="Times New Roman" w:hAnsi="Times New Roman" w:cs="Times New Roman"/>
                <w:spacing w:val="-1"/>
                <w:sz w:val="28"/>
                <w:szCs w:val="28"/>
                <w:lang w:val="ro-RO"/>
              </w:rPr>
              <w:t>Astfel</w:t>
            </w:r>
            <w:r w:rsidRPr="00AB7F09">
              <w:rPr>
                <w:rFonts w:ascii="Times New Roman" w:hAnsi="Times New Roman" w:cs="Times New Roman"/>
                <w:spacing w:val="-1"/>
                <w:sz w:val="28"/>
                <w:szCs w:val="28"/>
                <w:lang w:val="ro-RO"/>
              </w:rPr>
              <w:t xml:space="preserve">, </w:t>
            </w:r>
            <w:r w:rsidR="0008627D" w:rsidRPr="00AB7F09">
              <w:rPr>
                <w:rFonts w:ascii="Times New Roman" w:hAnsi="Times New Roman" w:cs="Times New Roman"/>
                <w:spacing w:val="-1"/>
                <w:sz w:val="28"/>
                <w:szCs w:val="28"/>
                <w:lang w:val="ro-RO"/>
              </w:rPr>
              <w:t>prin prisma testului instituit în contextul</w:t>
            </w:r>
            <w:r w:rsidRPr="00AB7F09">
              <w:rPr>
                <w:rFonts w:ascii="Times New Roman" w:hAnsi="Times New Roman" w:cs="Times New Roman"/>
                <w:spacing w:val="-1"/>
                <w:sz w:val="28"/>
                <w:szCs w:val="28"/>
                <w:lang w:val="ro-RO"/>
              </w:rPr>
              <w:t xml:space="preserve"> HCC menționate supra</w:t>
            </w:r>
            <w:r w:rsidR="0008627D" w:rsidRPr="00AB7F09">
              <w:rPr>
                <w:rFonts w:ascii="Times New Roman" w:hAnsi="Times New Roman" w:cs="Times New Roman"/>
                <w:spacing w:val="-1"/>
                <w:sz w:val="28"/>
                <w:szCs w:val="28"/>
                <w:lang w:val="ro-RO"/>
              </w:rPr>
              <w:t>, în vederea stabilirii unui echilibru corect între principiul legitimității politice a Guvernului al cărui mandat a încetat și principiul necesității</w:t>
            </w:r>
            <w:r w:rsidR="007D4FAF" w:rsidRPr="00AB7F09">
              <w:rPr>
                <w:rFonts w:ascii="Times New Roman" w:hAnsi="Times New Roman" w:cs="Times New Roman"/>
                <w:spacing w:val="-1"/>
                <w:sz w:val="28"/>
                <w:szCs w:val="28"/>
                <w:lang w:val="ro-RO"/>
              </w:rPr>
              <w:t xml:space="preserve"> administrării treburilor publice</w:t>
            </w:r>
            <w:r w:rsidR="0008627D" w:rsidRPr="00AB7F09">
              <w:rPr>
                <w:rFonts w:ascii="Times New Roman" w:hAnsi="Times New Roman" w:cs="Times New Roman"/>
                <w:spacing w:val="-1"/>
                <w:sz w:val="28"/>
                <w:szCs w:val="28"/>
                <w:lang w:val="ro-RO"/>
              </w:rPr>
              <w:t xml:space="preserve">, considerăm </w:t>
            </w:r>
            <w:r w:rsidR="007D4FAF" w:rsidRPr="00AB7F09">
              <w:rPr>
                <w:rFonts w:ascii="Times New Roman" w:hAnsi="Times New Roman" w:cs="Times New Roman"/>
                <w:spacing w:val="-1"/>
                <w:sz w:val="28"/>
                <w:szCs w:val="28"/>
                <w:lang w:val="ro-RO"/>
              </w:rPr>
              <w:t>că</w:t>
            </w:r>
            <w:r w:rsidR="0008627D" w:rsidRPr="00AB7F09">
              <w:rPr>
                <w:rFonts w:ascii="Times New Roman" w:hAnsi="Times New Roman" w:cs="Times New Roman"/>
                <w:spacing w:val="-1"/>
                <w:sz w:val="28"/>
                <w:szCs w:val="28"/>
                <w:lang w:val="ro-RO"/>
              </w:rPr>
              <w:t xml:space="preserve"> </w:t>
            </w:r>
            <w:r w:rsidR="007D4FAF" w:rsidRPr="00AB7F09">
              <w:rPr>
                <w:rFonts w:ascii="Times New Roman" w:hAnsi="Times New Roman" w:cs="Times New Roman"/>
                <w:spacing w:val="-1"/>
                <w:sz w:val="28"/>
                <w:szCs w:val="28"/>
                <w:lang w:val="ro-RO"/>
              </w:rPr>
              <w:t xml:space="preserve">proiectul prezentat se </w:t>
            </w:r>
            <w:r w:rsidR="0008627D" w:rsidRPr="00AB7F09">
              <w:rPr>
                <w:rFonts w:ascii="Times New Roman" w:hAnsi="Times New Roman" w:cs="Times New Roman"/>
                <w:spacing w:val="-1"/>
                <w:sz w:val="28"/>
                <w:szCs w:val="28"/>
                <w:lang w:val="ro-RO"/>
              </w:rPr>
              <w:t>atribui</w:t>
            </w:r>
            <w:r w:rsidR="007D4FAF" w:rsidRPr="00AB7F09">
              <w:rPr>
                <w:rFonts w:ascii="Times New Roman" w:hAnsi="Times New Roman" w:cs="Times New Roman"/>
                <w:spacing w:val="-1"/>
                <w:sz w:val="28"/>
                <w:szCs w:val="28"/>
                <w:lang w:val="ro-RO"/>
              </w:rPr>
              <w:t>e</w:t>
            </w:r>
            <w:r w:rsidR="0008627D" w:rsidRPr="00AB7F09">
              <w:rPr>
                <w:rFonts w:ascii="Times New Roman" w:hAnsi="Times New Roman" w:cs="Times New Roman"/>
                <w:spacing w:val="-1"/>
                <w:sz w:val="28"/>
                <w:szCs w:val="28"/>
                <w:lang w:val="ro-RO"/>
              </w:rPr>
              <w:t xml:space="preserve"> la categoria a doua</w:t>
            </w:r>
            <w:r w:rsidR="00AB7F09" w:rsidRPr="00AB7F09">
              <w:rPr>
                <w:rFonts w:ascii="Times New Roman" w:hAnsi="Times New Roman" w:cs="Times New Roman"/>
                <w:spacing w:val="-1"/>
                <w:sz w:val="28"/>
                <w:szCs w:val="28"/>
                <w:lang w:val="ro-RO"/>
              </w:rPr>
              <w:t xml:space="preserve"> care prevede că,</w:t>
            </w:r>
            <w:r w:rsidR="0008627D" w:rsidRPr="00AB7F09">
              <w:rPr>
                <w:rFonts w:ascii="Times New Roman" w:hAnsi="Times New Roman" w:cs="Times New Roman"/>
                <w:spacing w:val="-1"/>
                <w:sz w:val="28"/>
                <w:szCs w:val="28"/>
                <w:lang w:val="ro-RO"/>
              </w:rPr>
              <w:t xml:space="preserve"> treburile în curs, care au fost inițiate atunci când Guvernul avea competențe depline și care trebuie finalizate.</w:t>
            </w:r>
          </w:p>
        </w:tc>
      </w:tr>
      <w:tr w:rsidR="00AB7F09" w:rsidRPr="00AB7F09" w:rsidTr="001372E0">
        <w:tc>
          <w:tcPr>
            <w:tcW w:w="566" w:type="dxa"/>
            <w:vAlign w:val="center"/>
          </w:tcPr>
          <w:p w:rsidR="005760AF" w:rsidRPr="00AB7F09" w:rsidRDefault="005760AF" w:rsidP="00AB7F0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7F0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3.</w:t>
            </w:r>
          </w:p>
        </w:tc>
        <w:tc>
          <w:tcPr>
            <w:tcW w:w="8828" w:type="dxa"/>
            <w:vAlign w:val="center"/>
          </w:tcPr>
          <w:p w:rsidR="005760AF" w:rsidRPr="00AB7F09" w:rsidRDefault="005760AF" w:rsidP="00AB7F09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7F09">
              <w:rPr>
                <w:rFonts w:ascii="Times New Roman" w:hAnsi="Times New Roman" w:cs="Times New Roman"/>
                <w:b/>
                <w:sz w:val="28"/>
                <w:szCs w:val="28"/>
              </w:rPr>
              <w:t>Descrierea gradului de compatibilitate pentru proiectele care au ca scop armonizarea legislației naționale cu legislația Uniunii Europene</w:t>
            </w:r>
          </w:p>
        </w:tc>
      </w:tr>
      <w:tr w:rsidR="00AB7F09" w:rsidRPr="00AB7F09" w:rsidTr="00DE1E34">
        <w:trPr>
          <w:trHeight w:val="4013"/>
        </w:trPr>
        <w:tc>
          <w:tcPr>
            <w:tcW w:w="9394" w:type="dxa"/>
            <w:gridSpan w:val="2"/>
            <w:vAlign w:val="center"/>
          </w:tcPr>
          <w:p w:rsidR="005D0298" w:rsidRPr="00AB7F09" w:rsidRDefault="005D0298" w:rsidP="00AB7F09">
            <w:pPr>
              <w:spacing w:line="276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Proiectul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hotărârii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Guvern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cu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privire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la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aprobarea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Cerințelor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minime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pentru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îmbunătățirea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protecției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sănătății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și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securității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lucrătorilor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expuși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unui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potențial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risc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în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medii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explozive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transpune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parțial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Directiva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1999/92/CE a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Parlamentului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European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și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a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Consiliului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din 16 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decembrie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1999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privind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cerințele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minime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pentru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îmbunătățirea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protecției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sănătății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și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securității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lucrătorilor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expuși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unui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potențial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risc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în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medii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explozive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[a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cincisprezecea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directivă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specială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în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sensul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art.16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alin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.(1) din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Directiva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89/391/CEE],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publicată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în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jurnalul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oficial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al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Uniunii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Europene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seria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L 023/57 din 28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ianuarie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2000,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astfel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cum a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fost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modificată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ultima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oară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prin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7">
              <w:proofErr w:type="spellStart"/>
              <w:r w:rsidRPr="00AB7F09">
                <w:rPr>
                  <w:rFonts w:ascii="Times New Roman" w:hAnsi="Times New Roman" w:cs="Times New Roman"/>
                  <w:sz w:val="28"/>
                  <w:szCs w:val="28"/>
                </w:rPr>
                <w:t>Directiva</w:t>
              </w:r>
              <w:proofErr w:type="spellEnd"/>
              <w:r w:rsidRPr="00AB7F09">
                <w:rPr>
                  <w:rFonts w:ascii="Times New Roman" w:hAnsi="Times New Roman" w:cs="Times New Roman"/>
                  <w:sz w:val="28"/>
                  <w:szCs w:val="28"/>
                </w:rPr>
                <w:t xml:space="preserve"> 2007/30 a </w:t>
              </w:r>
              <w:proofErr w:type="spellStart"/>
              <w:r w:rsidRPr="00AB7F09">
                <w:rPr>
                  <w:rFonts w:ascii="Times New Roman" w:hAnsi="Times New Roman" w:cs="Times New Roman"/>
                  <w:sz w:val="28"/>
                  <w:szCs w:val="28"/>
                </w:rPr>
                <w:t>Parlamentului</w:t>
              </w:r>
              <w:proofErr w:type="spellEnd"/>
              <w:r w:rsidRPr="00AB7F09">
                <w:rPr>
                  <w:rFonts w:ascii="Times New Roman" w:hAnsi="Times New Roman" w:cs="Times New Roman"/>
                  <w:sz w:val="28"/>
                  <w:szCs w:val="28"/>
                </w:rPr>
                <w:t xml:space="preserve"> European </w:t>
              </w:r>
              <w:proofErr w:type="spellStart"/>
              <w:r w:rsidRPr="00AB7F09">
                <w:rPr>
                  <w:rFonts w:ascii="Times New Roman" w:hAnsi="Times New Roman" w:cs="Times New Roman"/>
                  <w:sz w:val="28"/>
                  <w:szCs w:val="28"/>
                </w:rPr>
                <w:t>și</w:t>
              </w:r>
              <w:proofErr w:type="spellEnd"/>
              <w:r w:rsidRPr="00AB7F09">
                <w:rPr>
                  <w:rFonts w:ascii="Times New Roman" w:hAnsi="Times New Roman" w:cs="Times New Roman"/>
                  <w:sz w:val="28"/>
                  <w:szCs w:val="28"/>
                </w:rPr>
                <w:t xml:space="preserve"> a </w:t>
              </w:r>
              <w:proofErr w:type="spellStart"/>
              <w:r w:rsidRPr="00AB7F09">
                <w:rPr>
                  <w:rFonts w:ascii="Times New Roman" w:hAnsi="Times New Roman" w:cs="Times New Roman"/>
                  <w:sz w:val="28"/>
                  <w:szCs w:val="28"/>
                </w:rPr>
                <w:t>Consiliului</w:t>
              </w:r>
              <w:proofErr w:type="spellEnd"/>
              <w:r w:rsidRPr="00AB7F09">
                <w:rPr>
                  <w:rFonts w:ascii="Times New Roman" w:hAnsi="Times New Roman" w:cs="Times New Roman"/>
                  <w:sz w:val="28"/>
                  <w:szCs w:val="28"/>
                </w:rPr>
                <w:t> din 20</w:t>
              </w:r>
            </w:hyperlink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iunie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2007,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publicat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la 27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iunie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2007.</w:t>
            </w:r>
          </w:p>
          <w:p w:rsidR="005D0298" w:rsidRPr="00AB7F09" w:rsidRDefault="00DE1E34" w:rsidP="00AB7F09">
            <w:pPr>
              <w:spacing w:line="276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Modalitatea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transpunere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a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normelor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din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Directivă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este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prevăzută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în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tabelul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concordanță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a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proiectului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B7F09" w:rsidRPr="00AB7F09" w:rsidTr="001372E0">
        <w:tc>
          <w:tcPr>
            <w:tcW w:w="566" w:type="dxa"/>
            <w:vAlign w:val="center"/>
          </w:tcPr>
          <w:p w:rsidR="005760AF" w:rsidRPr="00AB7F09" w:rsidRDefault="005760AF" w:rsidP="00AB7F0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7F09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8828" w:type="dxa"/>
            <w:vAlign w:val="center"/>
          </w:tcPr>
          <w:p w:rsidR="005760AF" w:rsidRPr="00AB7F09" w:rsidRDefault="005760AF" w:rsidP="00AB7F09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7F09">
              <w:rPr>
                <w:rFonts w:ascii="Times New Roman" w:hAnsi="Times New Roman" w:cs="Times New Roman"/>
                <w:b/>
                <w:sz w:val="28"/>
                <w:szCs w:val="28"/>
              </w:rPr>
              <w:t>Principalele prevederi ale proiectului și evidențierea elementelor noi</w:t>
            </w:r>
          </w:p>
        </w:tc>
      </w:tr>
      <w:tr w:rsidR="00AB7F09" w:rsidRPr="00AB7F09" w:rsidTr="000559EC">
        <w:tc>
          <w:tcPr>
            <w:tcW w:w="9394" w:type="dxa"/>
            <w:gridSpan w:val="2"/>
            <w:vAlign w:val="center"/>
          </w:tcPr>
          <w:p w:rsidR="008E7AAC" w:rsidRPr="00AB7F09" w:rsidRDefault="008E7AAC" w:rsidP="00AB7F09">
            <w:pPr>
              <w:spacing w:line="276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Obiectivul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proiectului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hotărârii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Guvern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cu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privire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la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aprobarea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Cerințelor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minime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pentru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îmbunătățirea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protecției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sănătății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și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securității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lucrătorilor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expuși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unui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potențial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risc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în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medii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explozive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este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de a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evidenția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necesitatea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deținerii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unui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Document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a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unui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set de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documente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7F0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cu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privire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la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respectarea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cerințelor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ce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țin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de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protecția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împotriva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exploziilor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ce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include:</w:t>
            </w:r>
          </w:p>
          <w:p w:rsidR="008E7AAC" w:rsidRPr="00AB7F09" w:rsidRDefault="008E7AAC" w:rsidP="00AB7F0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AB7F0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-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identificarea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pericolelor</w:t>
            </w:r>
            <w:proofErr w:type="spellEnd"/>
          </w:p>
          <w:p w:rsidR="008E7AAC" w:rsidRPr="00AB7F09" w:rsidRDefault="008E7AAC" w:rsidP="00AB7F0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AB7F0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lastRenderedPageBreak/>
              <w:t xml:space="preserve">-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evaluarea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riscurilor</w:t>
            </w:r>
            <w:proofErr w:type="spellEnd"/>
          </w:p>
          <w:p w:rsidR="008E7AAC" w:rsidRPr="00AB7F09" w:rsidRDefault="008E7AAC" w:rsidP="00AB7F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AB7F0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- </w:t>
            </w:r>
            <w:proofErr w:type="spellStart"/>
            <w:proofErr w:type="gramStart"/>
            <w:r w:rsidRPr="00AB7F0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definirea</w:t>
            </w:r>
            <w:proofErr w:type="spellEnd"/>
            <w:proofErr w:type="gramEnd"/>
            <w:r w:rsidRPr="00AB7F0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măsurilor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specifice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care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urmează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să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fie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luate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pentru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a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proteja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sănătatea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și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securitatea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lucrătorilor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expuși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riscului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în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atmosfere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explozive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.</w:t>
            </w:r>
          </w:p>
          <w:p w:rsidR="008E7AAC" w:rsidRPr="00AB7F09" w:rsidRDefault="008E7AAC" w:rsidP="00AB7F09">
            <w:pPr>
              <w:spacing w:line="276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Astfel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se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urmărește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de a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minimiza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/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micșora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cauzele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producerii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unei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explozii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la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locul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de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muncă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,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îmbunătățind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totodată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și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condițiile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de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muncă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prin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identificarea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pericolelor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și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evaluarea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riscurilor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într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-un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mediu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cu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potențial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risc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exploziv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.</w:t>
            </w:r>
          </w:p>
          <w:p w:rsidR="008E7AAC" w:rsidRPr="00AB7F09" w:rsidRDefault="008E7AAC" w:rsidP="00AB7F09">
            <w:pPr>
              <w:spacing w:line="276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Printre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condițiile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necesare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de a fi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luate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în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calcul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la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elaborarea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documentului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și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înlăturarea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riscurilor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,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sunt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propuse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câteva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tehnici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,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precum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:</w:t>
            </w:r>
          </w:p>
          <w:p w:rsidR="008E7AAC" w:rsidRPr="00AB7F09" w:rsidRDefault="008E7AAC" w:rsidP="00AB7F09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sz w:val="28"/>
                <w:szCs w:val="28"/>
                <w:highlight w:val="white"/>
              </w:rPr>
            </w:pPr>
            <w:proofErr w:type="spellStart"/>
            <w:r w:rsidRPr="00AB7F09">
              <w:rPr>
                <w:sz w:val="28"/>
                <w:szCs w:val="28"/>
                <w:highlight w:val="white"/>
              </w:rPr>
              <w:t>prevenirea</w:t>
            </w:r>
            <w:proofErr w:type="spellEnd"/>
            <w:r w:rsidRPr="00AB7F09">
              <w:rPr>
                <w:sz w:val="28"/>
                <w:szCs w:val="28"/>
                <w:highlight w:val="white"/>
              </w:rPr>
              <w:t xml:space="preserve"> de </w:t>
            </w:r>
            <w:proofErr w:type="spellStart"/>
            <w:r w:rsidRPr="00AB7F09">
              <w:rPr>
                <w:sz w:val="28"/>
                <w:szCs w:val="28"/>
                <w:highlight w:val="white"/>
              </w:rPr>
              <w:t>formare</w:t>
            </w:r>
            <w:proofErr w:type="spellEnd"/>
            <w:r w:rsidRPr="00AB7F09">
              <w:rPr>
                <w:sz w:val="28"/>
                <w:szCs w:val="28"/>
                <w:highlight w:val="white"/>
              </w:rPr>
              <w:t xml:space="preserve"> a </w:t>
            </w:r>
            <w:proofErr w:type="spellStart"/>
            <w:r w:rsidRPr="00AB7F09">
              <w:rPr>
                <w:sz w:val="28"/>
                <w:szCs w:val="28"/>
                <w:highlight w:val="white"/>
              </w:rPr>
              <w:t>mediilor</w:t>
            </w:r>
            <w:proofErr w:type="spellEnd"/>
            <w:r w:rsidRPr="00AB7F09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AB7F09">
              <w:rPr>
                <w:sz w:val="28"/>
                <w:szCs w:val="28"/>
                <w:highlight w:val="white"/>
              </w:rPr>
              <w:t>explozive</w:t>
            </w:r>
            <w:proofErr w:type="spellEnd"/>
            <w:r w:rsidRPr="00AB7F09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AB7F09">
              <w:rPr>
                <w:sz w:val="28"/>
                <w:szCs w:val="28"/>
                <w:highlight w:val="white"/>
              </w:rPr>
              <w:t>periculoase</w:t>
            </w:r>
            <w:proofErr w:type="spellEnd"/>
            <w:r w:rsidRPr="00AB7F09">
              <w:rPr>
                <w:sz w:val="28"/>
                <w:szCs w:val="28"/>
                <w:highlight w:val="white"/>
              </w:rPr>
              <w:t xml:space="preserve"> (</w:t>
            </w:r>
            <w:proofErr w:type="spellStart"/>
            <w:r w:rsidRPr="00AB7F09">
              <w:rPr>
                <w:sz w:val="28"/>
                <w:szCs w:val="28"/>
                <w:highlight w:val="white"/>
              </w:rPr>
              <w:t>înlocuirea</w:t>
            </w:r>
            <w:proofErr w:type="spellEnd"/>
            <w:r w:rsidRPr="00AB7F09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AB7F09">
              <w:rPr>
                <w:sz w:val="28"/>
                <w:szCs w:val="28"/>
                <w:highlight w:val="white"/>
              </w:rPr>
              <w:t>substanțelor</w:t>
            </w:r>
            <w:proofErr w:type="spellEnd"/>
            <w:r w:rsidRPr="00AB7F09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AB7F09">
              <w:rPr>
                <w:sz w:val="28"/>
                <w:szCs w:val="28"/>
                <w:highlight w:val="white"/>
              </w:rPr>
              <w:t>inflamabile</w:t>
            </w:r>
            <w:proofErr w:type="spellEnd"/>
            <w:r w:rsidRPr="00AB7F09">
              <w:rPr>
                <w:sz w:val="28"/>
                <w:szCs w:val="28"/>
                <w:highlight w:val="white"/>
              </w:rPr>
              <w:t xml:space="preserve">, </w:t>
            </w:r>
            <w:proofErr w:type="spellStart"/>
            <w:r w:rsidRPr="00AB7F09">
              <w:rPr>
                <w:sz w:val="28"/>
                <w:szCs w:val="28"/>
                <w:highlight w:val="white"/>
              </w:rPr>
              <w:t>limitarea</w:t>
            </w:r>
            <w:proofErr w:type="spellEnd"/>
            <w:r w:rsidRPr="00AB7F09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AB7F09">
              <w:rPr>
                <w:sz w:val="28"/>
                <w:szCs w:val="28"/>
                <w:highlight w:val="white"/>
              </w:rPr>
              <w:t>concentrației</w:t>
            </w:r>
            <w:proofErr w:type="spellEnd"/>
            <w:r w:rsidRPr="00AB7F09">
              <w:rPr>
                <w:sz w:val="28"/>
                <w:szCs w:val="28"/>
                <w:highlight w:val="white"/>
              </w:rPr>
              <w:t xml:space="preserve">, </w:t>
            </w:r>
            <w:proofErr w:type="spellStart"/>
            <w:r w:rsidRPr="00AB7F09">
              <w:rPr>
                <w:sz w:val="28"/>
                <w:szCs w:val="28"/>
                <w:highlight w:val="white"/>
              </w:rPr>
              <w:t>punerea</w:t>
            </w:r>
            <w:proofErr w:type="spellEnd"/>
            <w:r w:rsidRPr="00AB7F09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AB7F09">
              <w:rPr>
                <w:sz w:val="28"/>
                <w:szCs w:val="28"/>
                <w:highlight w:val="white"/>
              </w:rPr>
              <w:t>în</w:t>
            </w:r>
            <w:proofErr w:type="spellEnd"/>
            <w:r w:rsidRPr="00AB7F09">
              <w:rPr>
                <w:sz w:val="28"/>
                <w:szCs w:val="28"/>
                <w:highlight w:val="white"/>
              </w:rPr>
              <w:t xml:space="preserve"> stare </w:t>
            </w:r>
            <w:proofErr w:type="spellStart"/>
            <w:r w:rsidRPr="00AB7F09">
              <w:rPr>
                <w:sz w:val="28"/>
                <w:szCs w:val="28"/>
                <w:highlight w:val="white"/>
              </w:rPr>
              <w:t>inertă</w:t>
            </w:r>
            <w:proofErr w:type="spellEnd"/>
            <w:r w:rsidRPr="00AB7F09">
              <w:rPr>
                <w:sz w:val="28"/>
                <w:szCs w:val="28"/>
                <w:highlight w:val="white"/>
              </w:rPr>
              <w:t xml:space="preserve">, </w:t>
            </w:r>
            <w:proofErr w:type="spellStart"/>
            <w:r w:rsidRPr="00AB7F09">
              <w:rPr>
                <w:sz w:val="28"/>
                <w:szCs w:val="28"/>
                <w:highlight w:val="white"/>
              </w:rPr>
              <w:t>prevenirea</w:t>
            </w:r>
            <w:proofErr w:type="spellEnd"/>
            <w:r w:rsidRPr="00AB7F09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AB7F09">
              <w:rPr>
                <w:sz w:val="28"/>
                <w:szCs w:val="28"/>
                <w:highlight w:val="white"/>
              </w:rPr>
              <w:t>formării</w:t>
            </w:r>
            <w:proofErr w:type="spellEnd"/>
            <w:r w:rsidRPr="00AB7F09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AB7F09">
              <w:rPr>
                <w:sz w:val="28"/>
                <w:szCs w:val="28"/>
                <w:highlight w:val="white"/>
              </w:rPr>
              <w:t>mediilor</w:t>
            </w:r>
            <w:proofErr w:type="spellEnd"/>
            <w:r w:rsidRPr="00AB7F09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AB7F09">
              <w:rPr>
                <w:sz w:val="28"/>
                <w:szCs w:val="28"/>
                <w:highlight w:val="white"/>
              </w:rPr>
              <w:t>explozive</w:t>
            </w:r>
            <w:proofErr w:type="spellEnd"/>
            <w:r w:rsidRPr="00AB7F09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AB7F09">
              <w:rPr>
                <w:sz w:val="28"/>
                <w:szCs w:val="28"/>
                <w:highlight w:val="white"/>
              </w:rPr>
              <w:t>în</w:t>
            </w:r>
            <w:proofErr w:type="spellEnd"/>
            <w:r w:rsidRPr="00AB7F09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AB7F09">
              <w:rPr>
                <w:sz w:val="28"/>
                <w:szCs w:val="28"/>
                <w:highlight w:val="white"/>
              </w:rPr>
              <w:t>jurul</w:t>
            </w:r>
            <w:proofErr w:type="spellEnd"/>
            <w:r w:rsidRPr="00AB7F09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AB7F09">
              <w:rPr>
                <w:sz w:val="28"/>
                <w:szCs w:val="28"/>
                <w:highlight w:val="white"/>
              </w:rPr>
              <w:t>instalațiilor</w:t>
            </w:r>
            <w:proofErr w:type="spellEnd"/>
            <w:r w:rsidRPr="00AB7F09">
              <w:rPr>
                <w:sz w:val="28"/>
                <w:szCs w:val="28"/>
                <w:highlight w:val="white"/>
              </w:rPr>
              <w:t>);</w:t>
            </w:r>
          </w:p>
          <w:p w:rsidR="008E7AAC" w:rsidRPr="00AB7F09" w:rsidRDefault="008E7AAC" w:rsidP="00AB7F09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sz w:val="28"/>
                <w:szCs w:val="28"/>
                <w:highlight w:val="white"/>
              </w:rPr>
            </w:pPr>
            <w:proofErr w:type="spellStart"/>
            <w:r w:rsidRPr="00AB7F09">
              <w:rPr>
                <w:sz w:val="28"/>
                <w:szCs w:val="28"/>
                <w:highlight w:val="white"/>
              </w:rPr>
              <w:t>evitarea</w:t>
            </w:r>
            <w:proofErr w:type="spellEnd"/>
            <w:r w:rsidRPr="00AB7F09">
              <w:rPr>
                <w:sz w:val="28"/>
                <w:szCs w:val="28"/>
                <w:highlight w:val="white"/>
              </w:rPr>
              <w:t xml:space="preserve"> de </w:t>
            </w:r>
            <w:proofErr w:type="spellStart"/>
            <w:r w:rsidRPr="00AB7F09">
              <w:rPr>
                <w:sz w:val="28"/>
                <w:szCs w:val="28"/>
                <w:highlight w:val="white"/>
              </w:rPr>
              <w:t>prindere</w:t>
            </w:r>
            <w:proofErr w:type="spellEnd"/>
            <w:r w:rsidRPr="00AB7F09">
              <w:rPr>
                <w:sz w:val="28"/>
                <w:szCs w:val="28"/>
                <w:highlight w:val="white"/>
              </w:rPr>
              <w:t xml:space="preserve"> a </w:t>
            </w:r>
            <w:proofErr w:type="spellStart"/>
            <w:r w:rsidRPr="00AB7F09">
              <w:rPr>
                <w:sz w:val="28"/>
                <w:szCs w:val="28"/>
                <w:highlight w:val="white"/>
              </w:rPr>
              <w:t>mediilor</w:t>
            </w:r>
            <w:proofErr w:type="spellEnd"/>
            <w:r w:rsidRPr="00AB7F09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AB7F09">
              <w:rPr>
                <w:sz w:val="28"/>
                <w:szCs w:val="28"/>
                <w:highlight w:val="white"/>
              </w:rPr>
              <w:t>explozive</w:t>
            </w:r>
            <w:proofErr w:type="spellEnd"/>
            <w:r w:rsidRPr="00AB7F09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AB7F09">
              <w:rPr>
                <w:sz w:val="28"/>
                <w:szCs w:val="28"/>
                <w:highlight w:val="white"/>
              </w:rPr>
              <w:t>periculoase</w:t>
            </w:r>
            <w:proofErr w:type="spellEnd"/>
            <w:r w:rsidRPr="00AB7F09">
              <w:rPr>
                <w:sz w:val="28"/>
                <w:szCs w:val="28"/>
                <w:highlight w:val="white"/>
              </w:rPr>
              <w:t xml:space="preserve"> (</w:t>
            </w:r>
            <w:proofErr w:type="spellStart"/>
            <w:r w:rsidRPr="00AB7F09">
              <w:rPr>
                <w:sz w:val="28"/>
                <w:szCs w:val="28"/>
                <w:highlight w:val="white"/>
              </w:rPr>
              <w:t>divizarea</w:t>
            </w:r>
            <w:proofErr w:type="spellEnd"/>
            <w:r w:rsidRPr="00AB7F09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AB7F09">
              <w:rPr>
                <w:sz w:val="28"/>
                <w:szCs w:val="28"/>
                <w:highlight w:val="white"/>
              </w:rPr>
              <w:t>pe</w:t>
            </w:r>
            <w:proofErr w:type="spellEnd"/>
            <w:r w:rsidRPr="00AB7F09">
              <w:rPr>
                <w:sz w:val="28"/>
                <w:szCs w:val="28"/>
                <w:highlight w:val="white"/>
              </w:rPr>
              <w:t xml:space="preserve"> zone a </w:t>
            </w:r>
            <w:proofErr w:type="spellStart"/>
            <w:r w:rsidRPr="00AB7F09">
              <w:rPr>
                <w:sz w:val="28"/>
                <w:szCs w:val="28"/>
                <w:highlight w:val="white"/>
              </w:rPr>
              <w:t>locurilor</w:t>
            </w:r>
            <w:proofErr w:type="spellEnd"/>
            <w:r w:rsidRPr="00AB7F09">
              <w:rPr>
                <w:sz w:val="28"/>
                <w:szCs w:val="28"/>
                <w:highlight w:val="white"/>
              </w:rPr>
              <w:t xml:space="preserve"> cu </w:t>
            </w:r>
            <w:proofErr w:type="spellStart"/>
            <w:r w:rsidRPr="00AB7F09">
              <w:rPr>
                <w:sz w:val="28"/>
                <w:szCs w:val="28"/>
                <w:highlight w:val="white"/>
              </w:rPr>
              <w:t>potențial</w:t>
            </w:r>
            <w:proofErr w:type="spellEnd"/>
            <w:r w:rsidRPr="00AB7F09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AB7F09">
              <w:rPr>
                <w:sz w:val="28"/>
                <w:szCs w:val="28"/>
                <w:highlight w:val="white"/>
              </w:rPr>
              <w:t>risc</w:t>
            </w:r>
            <w:proofErr w:type="spellEnd"/>
            <w:r w:rsidRPr="00AB7F09">
              <w:rPr>
                <w:sz w:val="28"/>
                <w:szCs w:val="28"/>
                <w:highlight w:val="white"/>
              </w:rPr>
              <w:t xml:space="preserve"> de </w:t>
            </w:r>
            <w:proofErr w:type="spellStart"/>
            <w:r w:rsidRPr="00AB7F09">
              <w:rPr>
                <w:sz w:val="28"/>
                <w:szCs w:val="28"/>
                <w:highlight w:val="white"/>
              </w:rPr>
              <w:t>explozie</w:t>
            </w:r>
            <w:proofErr w:type="spellEnd"/>
            <w:r w:rsidRPr="00AB7F09">
              <w:rPr>
                <w:sz w:val="28"/>
                <w:szCs w:val="28"/>
                <w:highlight w:val="white"/>
              </w:rPr>
              <w:t xml:space="preserve"> conform </w:t>
            </w:r>
            <w:proofErr w:type="spellStart"/>
            <w:r w:rsidRPr="00AB7F09">
              <w:rPr>
                <w:sz w:val="28"/>
                <w:szCs w:val="28"/>
                <w:highlight w:val="white"/>
              </w:rPr>
              <w:t>prevederilor</w:t>
            </w:r>
            <w:proofErr w:type="spellEnd"/>
            <w:r w:rsidRPr="00AB7F09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AB7F09">
              <w:rPr>
                <w:sz w:val="28"/>
                <w:szCs w:val="28"/>
                <w:highlight w:val="white"/>
              </w:rPr>
              <w:t>Anexei</w:t>
            </w:r>
            <w:proofErr w:type="spellEnd"/>
            <w:r w:rsidRPr="00AB7F09">
              <w:rPr>
                <w:sz w:val="28"/>
                <w:szCs w:val="28"/>
                <w:highlight w:val="white"/>
              </w:rPr>
              <w:t xml:space="preserve"> nr.1 a </w:t>
            </w:r>
            <w:proofErr w:type="spellStart"/>
            <w:r w:rsidRPr="00AB7F09">
              <w:rPr>
                <w:sz w:val="28"/>
                <w:szCs w:val="28"/>
                <w:highlight w:val="white"/>
              </w:rPr>
              <w:t>proiectului</w:t>
            </w:r>
            <w:proofErr w:type="spellEnd"/>
            <w:r w:rsidRPr="00AB7F09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AB7F09">
              <w:rPr>
                <w:sz w:val="28"/>
                <w:szCs w:val="28"/>
                <w:highlight w:val="white"/>
              </w:rPr>
              <w:t>hotărârii</w:t>
            </w:r>
            <w:proofErr w:type="spellEnd"/>
            <w:r w:rsidRPr="00AB7F09">
              <w:rPr>
                <w:sz w:val="28"/>
                <w:szCs w:val="28"/>
                <w:highlight w:val="white"/>
              </w:rPr>
              <w:t xml:space="preserve"> de </w:t>
            </w:r>
            <w:proofErr w:type="spellStart"/>
            <w:r w:rsidRPr="00AB7F09">
              <w:rPr>
                <w:sz w:val="28"/>
                <w:szCs w:val="28"/>
                <w:highlight w:val="white"/>
              </w:rPr>
              <w:t>Guvern</w:t>
            </w:r>
            <w:proofErr w:type="spellEnd"/>
            <w:r w:rsidRPr="00AB7F09">
              <w:rPr>
                <w:sz w:val="28"/>
                <w:szCs w:val="28"/>
                <w:highlight w:val="white"/>
              </w:rPr>
              <w:t xml:space="preserve"> de </w:t>
            </w:r>
            <w:proofErr w:type="spellStart"/>
            <w:r w:rsidRPr="00AB7F09">
              <w:rPr>
                <w:sz w:val="28"/>
                <w:szCs w:val="28"/>
                <w:highlight w:val="white"/>
              </w:rPr>
              <w:t>transpunere</w:t>
            </w:r>
            <w:proofErr w:type="spellEnd"/>
            <w:r w:rsidRPr="00AB7F09">
              <w:rPr>
                <w:sz w:val="28"/>
                <w:szCs w:val="28"/>
                <w:highlight w:val="white"/>
              </w:rPr>
              <w:t xml:space="preserve"> a </w:t>
            </w:r>
            <w:proofErr w:type="spellStart"/>
            <w:r w:rsidRPr="00AB7F09">
              <w:rPr>
                <w:sz w:val="28"/>
                <w:szCs w:val="28"/>
                <w:highlight w:val="white"/>
              </w:rPr>
              <w:t>Directivei</w:t>
            </w:r>
            <w:proofErr w:type="spellEnd"/>
            <w:r w:rsidRPr="00AB7F09">
              <w:rPr>
                <w:sz w:val="28"/>
                <w:szCs w:val="28"/>
                <w:highlight w:val="white"/>
              </w:rPr>
              <w:t xml:space="preserve"> 1999/92/CE, </w:t>
            </w:r>
            <w:proofErr w:type="spellStart"/>
            <w:r w:rsidRPr="00AB7F09">
              <w:rPr>
                <w:sz w:val="28"/>
                <w:szCs w:val="28"/>
                <w:highlight w:val="white"/>
              </w:rPr>
              <w:t>identificarea</w:t>
            </w:r>
            <w:proofErr w:type="spellEnd"/>
            <w:r w:rsidRPr="00AB7F09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AB7F09">
              <w:rPr>
                <w:sz w:val="28"/>
                <w:szCs w:val="28"/>
                <w:highlight w:val="white"/>
              </w:rPr>
              <w:t>tipurilor</w:t>
            </w:r>
            <w:proofErr w:type="spellEnd"/>
            <w:r w:rsidRPr="00AB7F09">
              <w:rPr>
                <w:sz w:val="28"/>
                <w:szCs w:val="28"/>
                <w:highlight w:val="white"/>
              </w:rPr>
              <w:t xml:space="preserve"> de </w:t>
            </w:r>
            <w:proofErr w:type="spellStart"/>
            <w:r w:rsidRPr="00AB7F09">
              <w:rPr>
                <w:sz w:val="28"/>
                <w:szCs w:val="28"/>
                <w:highlight w:val="white"/>
              </w:rPr>
              <w:t>surse</w:t>
            </w:r>
            <w:proofErr w:type="spellEnd"/>
            <w:r w:rsidRPr="00AB7F09">
              <w:rPr>
                <w:sz w:val="28"/>
                <w:szCs w:val="28"/>
                <w:highlight w:val="white"/>
              </w:rPr>
              <w:t xml:space="preserve"> de </w:t>
            </w:r>
            <w:proofErr w:type="spellStart"/>
            <w:r w:rsidRPr="00AB7F09">
              <w:rPr>
                <w:sz w:val="28"/>
                <w:szCs w:val="28"/>
                <w:highlight w:val="white"/>
              </w:rPr>
              <w:t>aprindere</w:t>
            </w:r>
            <w:proofErr w:type="spellEnd"/>
            <w:r w:rsidRPr="00AB7F09">
              <w:rPr>
                <w:sz w:val="28"/>
                <w:szCs w:val="28"/>
                <w:highlight w:val="white"/>
              </w:rPr>
              <w:t xml:space="preserve"> conform </w:t>
            </w:r>
            <w:proofErr w:type="spellStart"/>
            <w:r w:rsidRPr="00AB7F09">
              <w:rPr>
                <w:sz w:val="28"/>
                <w:szCs w:val="28"/>
                <w:highlight w:val="white"/>
              </w:rPr>
              <w:t>Standardului</w:t>
            </w:r>
            <w:proofErr w:type="spellEnd"/>
            <w:r w:rsidRPr="00AB7F09">
              <w:rPr>
                <w:sz w:val="28"/>
                <w:szCs w:val="28"/>
                <w:highlight w:val="white"/>
              </w:rPr>
              <w:t xml:space="preserve"> EN 1127-1 - </w:t>
            </w:r>
            <w:proofErr w:type="spellStart"/>
            <w:r w:rsidRPr="00AB7F09">
              <w:rPr>
                <w:sz w:val="28"/>
                <w:szCs w:val="28"/>
                <w:highlight w:val="white"/>
              </w:rPr>
              <w:t>suprafață</w:t>
            </w:r>
            <w:proofErr w:type="spellEnd"/>
            <w:r w:rsidRPr="00AB7F09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AB7F09">
              <w:rPr>
                <w:sz w:val="28"/>
                <w:szCs w:val="28"/>
                <w:highlight w:val="white"/>
              </w:rPr>
              <w:t>caldă</w:t>
            </w:r>
            <w:proofErr w:type="spellEnd"/>
            <w:r w:rsidRPr="00AB7F09">
              <w:rPr>
                <w:sz w:val="28"/>
                <w:szCs w:val="28"/>
                <w:highlight w:val="white"/>
              </w:rPr>
              <w:t xml:space="preserve">, </w:t>
            </w:r>
            <w:proofErr w:type="spellStart"/>
            <w:r w:rsidRPr="00AB7F09">
              <w:rPr>
                <w:sz w:val="28"/>
                <w:szCs w:val="28"/>
                <w:highlight w:val="white"/>
              </w:rPr>
              <w:t>instalații</w:t>
            </w:r>
            <w:proofErr w:type="spellEnd"/>
            <w:r w:rsidRPr="00AB7F09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AB7F09">
              <w:rPr>
                <w:sz w:val="28"/>
                <w:szCs w:val="28"/>
                <w:highlight w:val="white"/>
              </w:rPr>
              <w:t>electrice</w:t>
            </w:r>
            <w:proofErr w:type="spellEnd"/>
            <w:r w:rsidRPr="00AB7F09">
              <w:rPr>
                <w:sz w:val="28"/>
                <w:szCs w:val="28"/>
                <w:highlight w:val="white"/>
              </w:rPr>
              <w:t xml:space="preserve">, </w:t>
            </w:r>
            <w:proofErr w:type="spellStart"/>
            <w:r w:rsidRPr="00AB7F09">
              <w:rPr>
                <w:sz w:val="28"/>
                <w:szCs w:val="28"/>
                <w:highlight w:val="white"/>
              </w:rPr>
              <w:t>fulgere</w:t>
            </w:r>
            <w:proofErr w:type="spellEnd"/>
            <w:r w:rsidRPr="00AB7F09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AB7F09">
              <w:rPr>
                <w:sz w:val="28"/>
                <w:szCs w:val="28"/>
                <w:highlight w:val="white"/>
              </w:rPr>
              <w:t>ș.a</w:t>
            </w:r>
            <w:proofErr w:type="spellEnd"/>
            <w:r w:rsidRPr="00AB7F09">
              <w:rPr>
                <w:sz w:val="28"/>
                <w:szCs w:val="28"/>
                <w:highlight w:val="white"/>
              </w:rPr>
              <w:t>.);</w:t>
            </w:r>
          </w:p>
          <w:p w:rsidR="008E7AAC" w:rsidRPr="00AB7F09" w:rsidRDefault="008E7AAC" w:rsidP="00AB7F09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sz w:val="28"/>
                <w:szCs w:val="28"/>
                <w:highlight w:val="white"/>
              </w:rPr>
            </w:pPr>
            <w:proofErr w:type="spellStart"/>
            <w:proofErr w:type="gramStart"/>
            <w:r w:rsidRPr="00AB7F09">
              <w:rPr>
                <w:sz w:val="28"/>
                <w:szCs w:val="28"/>
                <w:highlight w:val="white"/>
              </w:rPr>
              <w:t>atenuarea</w:t>
            </w:r>
            <w:proofErr w:type="spellEnd"/>
            <w:proofErr w:type="gramEnd"/>
            <w:r w:rsidRPr="00AB7F09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AB7F09">
              <w:rPr>
                <w:sz w:val="28"/>
                <w:szCs w:val="28"/>
                <w:highlight w:val="white"/>
              </w:rPr>
              <w:t>efectelor</w:t>
            </w:r>
            <w:proofErr w:type="spellEnd"/>
            <w:r w:rsidRPr="00AB7F09">
              <w:rPr>
                <w:sz w:val="28"/>
                <w:szCs w:val="28"/>
                <w:highlight w:val="white"/>
              </w:rPr>
              <w:t xml:space="preserve"> de </w:t>
            </w:r>
            <w:proofErr w:type="spellStart"/>
            <w:r w:rsidRPr="00AB7F09">
              <w:rPr>
                <w:sz w:val="28"/>
                <w:szCs w:val="28"/>
                <w:highlight w:val="white"/>
              </w:rPr>
              <w:t>explozii</w:t>
            </w:r>
            <w:proofErr w:type="spellEnd"/>
            <w:r w:rsidRPr="00AB7F09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AB7F09">
              <w:rPr>
                <w:sz w:val="28"/>
                <w:szCs w:val="28"/>
                <w:highlight w:val="white"/>
              </w:rPr>
              <w:t>pentru</w:t>
            </w:r>
            <w:proofErr w:type="spellEnd"/>
            <w:r w:rsidRPr="00AB7F09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AB7F09">
              <w:rPr>
                <w:sz w:val="28"/>
                <w:szCs w:val="28"/>
                <w:highlight w:val="white"/>
              </w:rPr>
              <w:t>protejarea</w:t>
            </w:r>
            <w:proofErr w:type="spellEnd"/>
            <w:r w:rsidRPr="00AB7F09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AB7F09">
              <w:rPr>
                <w:sz w:val="28"/>
                <w:szCs w:val="28"/>
                <w:highlight w:val="white"/>
              </w:rPr>
              <w:t>sănătăţii</w:t>
            </w:r>
            <w:proofErr w:type="spellEnd"/>
            <w:r w:rsidRPr="00AB7F09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AB7F09">
              <w:rPr>
                <w:sz w:val="28"/>
                <w:szCs w:val="28"/>
                <w:highlight w:val="white"/>
              </w:rPr>
              <w:t>şi</w:t>
            </w:r>
            <w:proofErr w:type="spellEnd"/>
            <w:r w:rsidRPr="00AB7F09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AB7F09">
              <w:rPr>
                <w:sz w:val="28"/>
                <w:szCs w:val="28"/>
                <w:highlight w:val="white"/>
              </w:rPr>
              <w:t>securităţii</w:t>
            </w:r>
            <w:proofErr w:type="spellEnd"/>
            <w:r w:rsidRPr="00AB7F09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AB7F09">
              <w:rPr>
                <w:sz w:val="28"/>
                <w:szCs w:val="28"/>
                <w:highlight w:val="white"/>
              </w:rPr>
              <w:t>lucrătorilor</w:t>
            </w:r>
            <w:proofErr w:type="spellEnd"/>
            <w:r w:rsidRPr="00AB7F09">
              <w:rPr>
                <w:sz w:val="28"/>
                <w:szCs w:val="28"/>
                <w:highlight w:val="white"/>
              </w:rPr>
              <w:t xml:space="preserve"> (mod de </w:t>
            </w:r>
            <w:proofErr w:type="spellStart"/>
            <w:r w:rsidRPr="00AB7F09">
              <w:rPr>
                <w:sz w:val="28"/>
                <w:szCs w:val="28"/>
                <w:highlight w:val="white"/>
              </w:rPr>
              <w:t>construcție</w:t>
            </w:r>
            <w:proofErr w:type="spellEnd"/>
            <w:r w:rsidRPr="00AB7F09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AB7F09">
              <w:rPr>
                <w:sz w:val="28"/>
                <w:szCs w:val="28"/>
                <w:highlight w:val="white"/>
              </w:rPr>
              <w:t>rezistent</w:t>
            </w:r>
            <w:proofErr w:type="spellEnd"/>
            <w:r w:rsidRPr="00AB7F09">
              <w:rPr>
                <w:sz w:val="28"/>
                <w:szCs w:val="28"/>
                <w:highlight w:val="white"/>
              </w:rPr>
              <w:t xml:space="preserve"> la </w:t>
            </w:r>
            <w:proofErr w:type="spellStart"/>
            <w:r w:rsidRPr="00AB7F09">
              <w:rPr>
                <w:sz w:val="28"/>
                <w:szCs w:val="28"/>
                <w:highlight w:val="white"/>
              </w:rPr>
              <w:t>explozie</w:t>
            </w:r>
            <w:proofErr w:type="spellEnd"/>
            <w:r w:rsidRPr="00AB7F09">
              <w:rPr>
                <w:sz w:val="28"/>
                <w:szCs w:val="28"/>
                <w:highlight w:val="white"/>
              </w:rPr>
              <w:t xml:space="preserve">, </w:t>
            </w:r>
            <w:proofErr w:type="spellStart"/>
            <w:r w:rsidRPr="00AB7F09">
              <w:rPr>
                <w:sz w:val="28"/>
                <w:szCs w:val="28"/>
                <w:highlight w:val="white"/>
              </w:rPr>
              <w:t>descărcarea</w:t>
            </w:r>
            <w:proofErr w:type="spellEnd"/>
            <w:r w:rsidRPr="00AB7F09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AB7F09">
              <w:rPr>
                <w:sz w:val="28"/>
                <w:szCs w:val="28"/>
                <w:highlight w:val="white"/>
              </w:rPr>
              <w:t>presiunii</w:t>
            </w:r>
            <w:proofErr w:type="spellEnd"/>
            <w:r w:rsidRPr="00AB7F09">
              <w:rPr>
                <w:sz w:val="28"/>
                <w:szCs w:val="28"/>
                <w:highlight w:val="white"/>
              </w:rPr>
              <w:t xml:space="preserve"> de </w:t>
            </w:r>
            <w:proofErr w:type="spellStart"/>
            <w:r w:rsidRPr="00AB7F09">
              <w:rPr>
                <w:sz w:val="28"/>
                <w:szCs w:val="28"/>
                <w:highlight w:val="white"/>
              </w:rPr>
              <w:t>explozie</w:t>
            </w:r>
            <w:proofErr w:type="spellEnd"/>
            <w:r w:rsidRPr="00AB7F09">
              <w:rPr>
                <w:sz w:val="28"/>
                <w:szCs w:val="28"/>
                <w:highlight w:val="white"/>
              </w:rPr>
              <w:t xml:space="preserve">, </w:t>
            </w:r>
            <w:proofErr w:type="spellStart"/>
            <w:r w:rsidRPr="00AB7F09">
              <w:rPr>
                <w:sz w:val="28"/>
                <w:szCs w:val="28"/>
                <w:highlight w:val="white"/>
              </w:rPr>
              <w:t>suprimarea</w:t>
            </w:r>
            <w:proofErr w:type="spellEnd"/>
            <w:r w:rsidRPr="00AB7F09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AB7F09">
              <w:rPr>
                <w:sz w:val="28"/>
                <w:szCs w:val="28"/>
                <w:highlight w:val="white"/>
              </w:rPr>
              <w:t>exploziei</w:t>
            </w:r>
            <w:proofErr w:type="spellEnd"/>
            <w:r w:rsidRPr="00AB7F09">
              <w:rPr>
                <w:sz w:val="28"/>
                <w:szCs w:val="28"/>
                <w:highlight w:val="white"/>
              </w:rPr>
              <w:t xml:space="preserve">, </w:t>
            </w:r>
            <w:proofErr w:type="spellStart"/>
            <w:r w:rsidRPr="00AB7F09">
              <w:rPr>
                <w:sz w:val="28"/>
                <w:szCs w:val="28"/>
                <w:highlight w:val="white"/>
              </w:rPr>
              <w:t>prevenirea</w:t>
            </w:r>
            <w:proofErr w:type="spellEnd"/>
            <w:r w:rsidRPr="00AB7F09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AB7F09">
              <w:rPr>
                <w:sz w:val="28"/>
                <w:szCs w:val="28"/>
                <w:highlight w:val="white"/>
              </w:rPr>
              <w:t>propagării</w:t>
            </w:r>
            <w:proofErr w:type="spellEnd"/>
            <w:r w:rsidRPr="00AB7F09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AB7F09">
              <w:rPr>
                <w:sz w:val="28"/>
                <w:szCs w:val="28"/>
                <w:highlight w:val="white"/>
              </w:rPr>
              <w:t>flăcărilor</w:t>
            </w:r>
            <w:proofErr w:type="spellEnd"/>
            <w:r w:rsidRPr="00AB7F09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AB7F09">
              <w:rPr>
                <w:sz w:val="28"/>
                <w:szCs w:val="28"/>
                <w:highlight w:val="white"/>
              </w:rPr>
              <w:t>și</w:t>
            </w:r>
            <w:proofErr w:type="spellEnd"/>
            <w:r w:rsidRPr="00AB7F09">
              <w:rPr>
                <w:sz w:val="28"/>
                <w:szCs w:val="28"/>
                <w:highlight w:val="white"/>
              </w:rPr>
              <w:t xml:space="preserve"> a </w:t>
            </w:r>
            <w:proofErr w:type="spellStart"/>
            <w:r w:rsidRPr="00AB7F09">
              <w:rPr>
                <w:sz w:val="28"/>
                <w:szCs w:val="28"/>
                <w:highlight w:val="white"/>
              </w:rPr>
              <w:t>exploziei</w:t>
            </w:r>
            <w:proofErr w:type="spellEnd"/>
            <w:r w:rsidRPr="00AB7F09">
              <w:rPr>
                <w:sz w:val="28"/>
                <w:szCs w:val="28"/>
                <w:highlight w:val="white"/>
              </w:rPr>
              <w:t>).</w:t>
            </w:r>
          </w:p>
          <w:p w:rsidR="002C7E0A" w:rsidRPr="00AB7F09" w:rsidRDefault="008E7AAC" w:rsidP="00AB7F09">
            <w:pPr>
              <w:spacing w:line="276" w:lineRule="auto"/>
              <w:ind w:firstLine="7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De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asemenea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prin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implementarea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proiectului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propus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, se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urmărește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disciplinarea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angajatorului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prin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asigurarea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cu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locuri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muncă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ce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corespund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standardelor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și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cerințelor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internaționale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dar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și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a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salariatului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prin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neexpunerea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personală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în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locuri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cu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potențial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risc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explozie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fără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informare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și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evaluare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a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zonelor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respective.</w:t>
            </w:r>
          </w:p>
        </w:tc>
      </w:tr>
      <w:tr w:rsidR="00AB7F09" w:rsidRPr="00AB7F09" w:rsidTr="001372E0">
        <w:tc>
          <w:tcPr>
            <w:tcW w:w="566" w:type="dxa"/>
            <w:vAlign w:val="center"/>
          </w:tcPr>
          <w:p w:rsidR="005760AF" w:rsidRPr="00AB7F09" w:rsidRDefault="005760AF" w:rsidP="00AB7F0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7F0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5.</w:t>
            </w:r>
          </w:p>
        </w:tc>
        <w:tc>
          <w:tcPr>
            <w:tcW w:w="8828" w:type="dxa"/>
            <w:vAlign w:val="center"/>
          </w:tcPr>
          <w:p w:rsidR="005760AF" w:rsidRPr="00AB7F09" w:rsidRDefault="005760AF" w:rsidP="00AB7F09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7F09">
              <w:rPr>
                <w:rFonts w:ascii="Times New Roman" w:hAnsi="Times New Roman" w:cs="Times New Roman"/>
                <w:b/>
                <w:sz w:val="28"/>
                <w:szCs w:val="28"/>
              </w:rPr>
              <w:t>Fundamentarea economico-financiară</w:t>
            </w:r>
          </w:p>
        </w:tc>
      </w:tr>
      <w:tr w:rsidR="00AB7F09" w:rsidRPr="00AB7F09" w:rsidTr="007D3A8B">
        <w:tc>
          <w:tcPr>
            <w:tcW w:w="9394" w:type="dxa"/>
            <w:gridSpan w:val="2"/>
            <w:vAlign w:val="center"/>
          </w:tcPr>
          <w:p w:rsidR="001372E0" w:rsidRPr="00AB7F09" w:rsidRDefault="00095B98" w:rsidP="00AB7F09">
            <w:pPr>
              <w:spacing w:line="276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Elaborarea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și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implementarea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A48CE" w:rsidRPr="00AB7F09">
              <w:rPr>
                <w:rFonts w:ascii="Times New Roman" w:hAnsi="Times New Roman" w:cs="Times New Roman"/>
                <w:sz w:val="28"/>
                <w:szCs w:val="28"/>
              </w:rPr>
              <w:t>prevederilor</w:t>
            </w:r>
            <w:proofErr w:type="spellEnd"/>
            <w:r w:rsidR="002A48CE"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proiectului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A48CE" w:rsidRPr="00AB7F09">
              <w:rPr>
                <w:rFonts w:ascii="Times New Roman" w:hAnsi="Times New Roman" w:cs="Times New Roman"/>
                <w:sz w:val="28"/>
                <w:szCs w:val="28"/>
              </w:rPr>
              <w:t>hotărârii</w:t>
            </w:r>
            <w:proofErr w:type="spellEnd"/>
            <w:r w:rsidR="002A48CE"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 w:rsidR="002A48CE" w:rsidRPr="00AB7F09">
              <w:rPr>
                <w:rFonts w:ascii="Times New Roman" w:hAnsi="Times New Roman" w:cs="Times New Roman"/>
                <w:sz w:val="28"/>
                <w:szCs w:val="28"/>
              </w:rPr>
              <w:t>Guvern</w:t>
            </w:r>
            <w:proofErr w:type="spellEnd"/>
            <w:r w:rsidR="002A48CE"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cu </w:t>
            </w:r>
            <w:proofErr w:type="spellStart"/>
            <w:r w:rsidR="002A48CE" w:rsidRPr="00AB7F09">
              <w:rPr>
                <w:rFonts w:ascii="Times New Roman" w:hAnsi="Times New Roman" w:cs="Times New Roman"/>
                <w:sz w:val="28"/>
                <w:szCs w:val="28"/>
              </w:rPr>
              <w:t>privire</w:t>
            </w:r>
            <w:proofErr w:type="spellEnd"/>
            <w:r w:rsidR="002A48CE"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A48CE" w:rsidRPr="00AB7F09">
              <w:rPr>
                <w:rFonts w:ascii="Times New Roman" w:hAnsi="Times New Roman" w:cs="Times New Roman"/>
                <w:sz w:val="28"/>
                <w:szCs w:val="28"/>
              </w:rPr>
              <w:t>aprobarea</w:t>
            </w:r>
            <w:proofErr w:type="spellEnd"/>
            <w:r w:rsidR="002A48CE"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A48CE" w:rsidRPr="00AB7F09">
              <w:rPr>
                <w:rFonts w:ascii="Times New Roman" w:hAnsi="Times New Roman" w:cs="Times New Roman"/>
                <w:sz w:val="28"/>
                <w:szCs w:val="28"/>
              </w:rPr>
              <w:t>Cerințelor</w:t>
            </w:r>
            <w:proofErr w:type="spellEnd"/>
            <w:r w:rsidR="002A48CE"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A48CE" w:rsidRPr="00AB7F09">
              <w:rPr>
                <w:rFonts w:ascii="Times New Roman" w:hAnsi="Times New Roman" w:cs="Times New Roman"/>
                <w:sz w:val="28"/>
                <w:szCs w:val="28"/>
              </w:rPr>
              <w:t>minime</w:t>
            </w:r>
            <w:proofErr w:type="spellEnd"/>
            <w:r w:rsidR="002A48CE"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A48CE" w:rsidRPr="00AB7F09">
              <w:rPr>
                <w:rFonts w:ascii="Times New Roman" w:hAnsi="Times New Roman" w:cs="Times New Roman"/>
                <w:sz w:val="28"/>
                <w:szCs w:val="28"/>
              </w:rPr>
              <w:t>pentru</w:t>
            </w:r>
            <w:proofErr w:type="spellEnd"/>
            <w:r w:rsidR="002A48CE"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A48CE" w:rsidRPr="00AB7F09">
              <w:rPr>
                <w:rFonts w:ascii="Times New Roman" w:hAnsi="Times New Roman" w:cs="Times New Roman"/>
                <w:sz w:val="28"/>
                <w:szCs w:val="28"/>
              </w:rPr>
              <w:t>îmbunătățirea</w:t>
            </w:r>
            <w:proofErr w:type="spellEnd"/>
            <w:r w:rsidR="002A48CE"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A48CE" w:rsidRPr="00AB7F09">
              <w:rPr>
                <w:rFonts w:ascii="Times New Roman" w:hAnsi="Times New Roman" w:cs="Times New Roman"/>
                <w:sz w:val="28"/>
                <w:szCs w:val="28"/>
              </w:rPr>
              <w:t>protecției</w:t>
            </w:r>
            <w:proofErr w:type="spellEnd"/>
            <w:r w:rsidR="002A48CE"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A48CE" w:rsidRPr="00AB7F09">
              <w:rPr>
                <w:rFonts w:ascii="Times New Roman" w:hAnsi="Times New Roman" w:cs="Times New Roman"/>
                <w:sz w:val="28"/>
                <w:szCs w:val="28"/>
              </w:rPr>
              <w:t>sănătății</w:t>
            </w:r>
            <w:proofErr w:type="spellEnd"/>
            <w:r w:rsidR="002A48CE"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A48CE" w:rsidRPr="00AB7F09">
              <w:rPr>
                <w:rFonts w:ascii="Times New Roman" w:hAnsi="Times New Roman" w:cs="Times New Roman"/>
                <w:sz w:val="28"/>
                <w:szCs w:val="28"/>
              </w:rPr>
              <w:t>și</w:t>
            </w:r>
            <w:proofErr w:type="spellEnd"/>
            <w:r w:rsidR="002A48CE"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A48CE" w:rsidRPr="00AB7F09">
              <w:rPr>
                <w:rFonts w:ascii="Times New Roman" w:hAnsi="Times New Roman" w:cs="Times New Roman"/>
                <w:sz w:val="28"/>
                <w:szCs w:val="28"/>
              </w:rPr>
              <w:t>securității</w:t>
            </w:r>
            <w:proofErr w:type="spellEnd"/>
            <w:r w:rsidR="002A48CE"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A48CE" w:rsidRPr="00AB7F09">
              <w:rPr>
                <w:rFonts w:ascii="Times New Roman" w:hAnsi="Times New Roman" w:cs="Times New Roman"/>
                <w:sz w:val="28"/>
                <w:szCs w:val="28"/>
              </w:rPr>
              <w:t>lucrătorilor</w:t>
            </w:r>
            <w:proofErr w:type="spellEnd"/>
            <w:r w:rsidR="002A48CE"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A48CE" w:rsidRPr="00AB7F09">
              <w:rPr>
                <w:rFonts w:ascii="Times New Roman" w:hAnsi="Times New Roman" w:cs="Times New Roman"/>
                <w:sz w:val="28"/>
                <w:szCs w:val="28"/>
              </w:rPr>
              <w:t>expuși</w:t>
            </w:r>
            <w:proofErr w:type="spellEnd"/>
            <w:r w:rsidR="002A48CE"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A48CE" w:rsidRPr="00AB7F09">
              <w:rPr>
                <w:rFonts w:ascii="Times New Roman" w:hAnsi="Times New Roman" w:cs="Times New Roman"/>
                <w:sz w:val="28"/>
                <w:szCs w:val="28"/>
              </w:rPr>
              <w:t>unui</w:t>
            </w:r>
            <w:proofErr w:type="spellEnd"/>
            <w:r w:rsidR="002A48CE"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A48CE" w:rsidRPr="00AB7F09">
              <w:rPr>
                <w:rFonts w:ascii="Times New Roman" w:hAnsi="Times New Roman" w:cs="Times New Roman"/>
                <w:sz w:val="28"/>
                <w:szCs w:val="28"/>
              </w:rPr>
              <w:t>potențial</w:t>
            </w:r>
            <w:proofErr w:type="spellEnd"/>
            <w:r w:rsidR="002A48CE"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A48CE" w:rsidRPr="00AB7F09">
              <w:rPr>
                <w:rFonts w:ascii="Times New Roman" w:hAnsi="Times New Roman" w:cs="Times New Roman"/>
                <w:sz w:val="28"/>
                <w:szCs w:val="28"/>
              </w:rPr>
              <w:t>risc</w:t>
            </w:r>
            <w:proofErr w:type="spellEnd"/>
            <w:r w:rsidR="002A48CE"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A48CE" w:rsidRPr="00AB7F09">
              <w:rPr>
                <w:rFonts w:ascii="Times New Roman" w:hAnsi="Times New Roman" w:cs="Times New Roman"/>
                <w:sz w:val="28"/>
                <w:szCs w:val="28"/>
              </w:rPr>
              <w:t>în</w:t>
            </w:r>
            <w:proofErr w:type="spellEnd"/>
            <w:r w:rsidR="002A48CE"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A48CE" w:rsidRPr="00AB7F09">
              <w:rPr>
                <w:rFonts w:ascii="Times New Roman" w:hAnsi="Times New Roman" w:cs="Times New Roman"/>
                <w:sz w:val="28"/>
                <w:szCs w:val="28"/>
              </w:rPr>
              <w:t>medii</w:t>
            </w:r>
            <w:proofErr w:type="spellEnd"/>
            <w:r w:rsidR="002A48CE"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A48CE" w:rsidRPr="00AB7F09">
              <w:rPr>
                <w:rFonts w:ascii="Times New Roman" w:hAnsi="Times New Roman" w:cs="Times New Roman"/>
                <w:sz w:val="28"/>
                <w:szCs w:val="28"/>
              </w:rPr>
              <w:t>explozive</w:t>
            </w:r>
            <w:proofErr w:type="spellEnd"/>
            <w:r w:rsidR="002A48CE"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, nu </w:t>
            </w:r>
            <w:proofErr w:type="spellStart"/>
            <w:r w:rsidR="002A48CE" w:rsidRPr="00AB7F09">
              <w:rPr>
                <w:rFonts w:ascii="Times New Roman" w:hAnsi="Times New Roman" w:cs="Times New Roman"/>
                <w:sz w:val="28"/>
                <w:szCs w:val="28"/>
              </w:rPr>
              <w:t>necesită</w:t>
            </w:r>
            <w:proofErr w:type="spellEnd"/>
            <w:r w:rsidR="002A48CE"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A48CE" w:rsidRPr="00AB7F09">
              <w:rPr>
                <w:rFonts w:ascii="Times New Roman" w:hAnsi="Times New Roman" w:cs="Times New Roman"/>
                <w:sz w:val="28"/>
                <w:szCs w:val="28"/>
              </w:rPr>
              <w:t>careva</w:t>
            </w:r>
            <w:proofErr w:type="spellEnd"/>
            <w:r w:rsidR="002A48CE"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A48CE" w:rsidRPr="00AB7F09">
              <w:rPr>
                <w:rFonts w:ascii="Times New Roman" w:hAnsi="Times New Roman" w:cs="Times New Roman"/>
                <w:sz w:val="28"/>
                <w:szCs w:val="28"/>
              </w:rPr>
              <w:t>cheltuili</w:t>
            </w:r>
            <w:proofErr w:type="spellEnd"/>
            <w:r w:rsidR="002A48CE"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A48CE" w:rsidRPr="00AB7F09">
              <w:rPr>
                <w:rFonts w:ascii="Times New Roman" w:hAnsi="Times New Roman" w:cs="Times New Roman"/>
                <w:sz w:val="28"/>
                <w:szCs w:val="28"/>
              </w:rPr>
              <w:t>financiare</w:t>
            </w:r>
            <w:proofErr w:type="spellEnd"/>
            <w:r w:rsidR="002A48CE"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din </w:t>
            </w:r>
            <w:proofErr w:type="spellStart"/>
            <w:r w:rsidR="002A48CE" w:rsidRPr="00AB7F09">
              <w:rPr>
                <w:rFonts w:ascii="Times New Roman" w:hAnsi="Times New Roman" w:cs="Times New Roman"/>
                <w:sz w:val="28"/>
                <w:szCs w:val="28"/>
              </w:rPr>
              <w:t>partea</w:t>
            </w:r>
            <w:proofErr w:type="spellEnd"/>
            <w:r w:rsidR="002A48CE"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A48CE" w:rsidRPr="00AB7F09">
              <w:rPr>
                <w:rFonts w:ascii="Times New Roman" w:hAnsi="Times New Roman" w:cs="Times New Roman"/>
                <w:sz w:val="28"/>
                <w:szCs w:val="28"/>
              </w:rPr>
              <w:t>bugetului</w:t>
            </w:r>
            <w:proofErr w:type="spellEnd"/>
            <w:r w:rsidR="002A48CE"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de stat</w:t>
            </w:r>
            <w:r w:rsidR="00A14FB0" w:rsidRPr="00AB7F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B7F09" w:rsidRPr="00AB7F09" w:rsidTr="001372E0">
        <w:tc>
          <w:tcPr>
            <w:tcW w:w="566" w:type="dxa"/>
            <w:vAlign w:val="center"/>
          </w:tcPr>
          <w:p w:rsidR="005760AF" w:rsidRPr="00AB7F09" w:rsidRDefault="005760AF" w:rsidP="00AB7F0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7F09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8828" w:type="dxa"/>
            <w:vAlign w:val="center"/>
          </w:tcPr>
          <w:p w:rsidR="005760AF" w:rsidRPr="00AB7F09" w:rsidRDefault="005760AF" w:rsidP="00AB7F09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7F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Modul de încorporare a actului în cadrul normativ în vigoare </w:t>
            </w:r>
          </w:p>
        </w:tc>
      </w:tr>
      <w:tr w:rsidR="00AB7F09" w:rsidRPr="00AB7F09" w:rsidTr="003053D6">
        <w:tc>
          <w:tcPr>
            <w:tcW w:w="9394" w:type="dxa"/>
            <w:gridSpan w:val="2"/>
            <w:vAlign w:val="center"/>
          </w:tcPr>
          <w:p w:rsidR="001372E0" w:rsidRPr="00AB7F09" w:rsidRDefault="00A9687B" w:rsidP="00AB7F09">
            <w:pPr>
              <w:spacing w:line="276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Prin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aprobarea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proiectului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de transpunere a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Cerințelor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minime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pentru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îmbunătățirea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protecției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sănătății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și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securității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lucrătorilor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expuși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unui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potențial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risc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în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medii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explozive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careva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acte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normative nu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vor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fi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modificate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B7F09" w:rsidRPr="00AB7F09" w:rsidTr="001372E0">
        <w:tc>
          <w:tcPr>
            <w:tcW w:w="566" w:type="dxa"/>
            <w:vAlign w:val="center"/>
          </w:tcPr>
          <w:p w:rsidR="005760AF" w:rsidRPr="00AB7F09" w:rsidRDefault="005720D9" w:rsidP="00AB7F0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7F09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8828" w:type="dxa"/>
            <w:vAlign w:val="center"/>
          </w:tcPr>
          <w:p w:rsidR="005760AF" w:rsidRPr="00AB7F09" w:rsidRDefault="005720D9" w:rsidP="00AB7F09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7F09">
              <w:rPr>
                <w:rFonts w:ascii="Times New Roman" w:hAnsi="Times New Roman" w:cs="Times New Roman"/>
                <w:b/>
                <w:sz w:val="28"/>
                <w:szCs w:val="28"/>
              </w:rPr>
              <w:t>Avizarea și consultarea publică a proiectului</w:t>
            </w:r>
          </w:p>
        </w:tc>
      </w:tr>
      <w:tr w:rsidR="00AB7F09" w:rsidRPr="00AB7F09" w:rsidTr="000D49F0">
        <w:trPr>
          <w:trHeight w:val="1700"/>
        </w:trPr>
        <w:tc>
          <w:tcPr>
            <w:tcW w:w="9394" w:type="dxa"/>
            <w:gridSpan w:val="2"/>
            <w:vAlign w:val="center"/>
          </w:tcPr>
          <w:p w:rsidR="001372E0" w:rsidRPr="00AB7F09" w:rsidRDefault="000D49F0" w:rsidP="00AB7F09">
            <w:pPr>
              <w:spacing w:line="276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F09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Î</w:t>
            </w:r>
            <w:r w:rsidRPr="00AB7F09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 xml:space="preserve">ntru respectarea prevederilor Legii nr.239/2008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privind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transparenţa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în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procesul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decizional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dar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și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pentru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a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stimula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participarea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activă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a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cetăţenilor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a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asociaţiilor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constituite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în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corespundere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cu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legea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a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altor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părţi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interesate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la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procesul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decizional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și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de a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asigura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transparenţa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activităţii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autorităţilor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publice</w:t>
            </w:r>
            <w:proofErr w:type="spellEnd"/>
            <w:r w:rsidRPr="00AB7F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AB7F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p</w:t>
            </w:r>
            <w:r w:rsidR="008E7AAC" w:rsidRPr="00AB7F09">
              <w:rPr>
                <w:rFonts w:ascii="Times New Roman" w:hAnsi="Times New Roman" w:cs="Times New Roman"/>
                <w:sz w:val="28"/>
                <w:szCs w:val="28"/>
              </w:rPr>
              <w:t>roiectul</w:t>
            </w:r>
            <w:proofErr w:type="spellEnd"/>
            <w:r w:rsidR="008E7AAC"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E7AAC" w:rsidRPr="00AB7F09">
              <w:rPr>
                <w:rFonts w:ascii="Times New Roman" w:hAnsi="Times New Roman" w:cs="Times New Roman"/>
                <w:sz w:val="28"/>
                <w:szCs w:val="28"/>
              </w:rPr>
              <w:t>urmează</w:t>
            </w:r>
            <w:proofErr w:type="spellEnd"/>
            <w:r w:rsidR="008E7AAC"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a fi </w:t>
            </w:r>
            <w:proofErr w:type="spellStart"/>
            <w:r w:rsidR="008E7AAC" w:rsidRPr="00AB7F09">
              <w:rPr>
                <w:rFonts w:ascii="Times New Roman" w:hAnsi="Times New Roman" w:cs="Times New Roman"/>
                <w:sz w:val="28"/>
                <w:szCs w:val="28"/>
              </w:rPr>
              <w:t>publicat</w:t>
            </w:r>
            <w:proofErr w:type="spellEnd"/>
            <w:r w:rsidR="008E7AAC"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E7AAC" w:rsidRPr="00AB7F09">
              <w:rPr>
                <w:rFonts w:ascii="Times New Roman" w:hAnsi="Times New Roman" w:cs="Times New Roman"/>
                <w:sz w:val="28"/>
                <w:szCs w:val="28"/>
              </w:rPr>
              <w:t>pe</w:t>
            </w:r>
            <w:proofErr w:type="spellEnd"/>
            <w:r w:rsidR="008E7AAC"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E7AAC" w:rsidRPr="00AB7F09">
              <w:rPr>
                <w:rFonts w:ascii="Times New Roman" w:hAnsi="Times New Roman" w:cs="Times New Roman"/>
                <w:sz w:val="28"/>
                <w:szCs w:val="28"/>
              </w:rPr>
              <w:t>pagina</w:t>
            </w:r>
            <w:proofErr w:type="spellEnd"/>
            <w:r w:rsidR="008E7AAC" w:rsidRPr="00AB7F09">
              <w:rPr>
                <w:rFonts w:ascii="Times New Roman" w:hAnsi="Times New Roman" w:cs="Times New Roman"/>
                <w:sz w:val="28"/>
                <w:szCs w:val="28"/>
              </w:rPr>
              <w:t xml:space="preserve"> web </w:t>
            </w:r>
            <w:hyperlink r:id="rId8" w:history="1">
              <w:r w:rsidR="008E7AAC" w:rsidRPr="00AB7F09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</w:rPr>
                <w:t>www.particip.md</w:t>
              </w:r>
            </w:hyperlink>
            <w:r w:rsidRPr="00AB7F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B7F09" w:rsidRPr="00AB7F09" w:rsidTr="001372E0">
        <w:tc>
          <w:tcPr>
            <w:tcW w:w="566" w:type="dxa"/>
            <w:vAlign w:val="center"/>
          </w:tcPr>
          <w:p w:rsidR="005760AF" w:rsidRPr="00AB7F09" w:rsidRDefault="005720D9" w:rsidP="00AB7F0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7F09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8828" w:type="dxa"/>
            <w:vAlign w:val="center"/>
          </w:tcPr>
          <w:p w:rsidR="005760AF" w:rsidRPr="00AB7F09" w:rsidRDefault="005720D9" w:rsidP="00AB7F09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7F09">
              <w:rPr>
                <w:rFonts w:ascii="Times New Roman" w:hAnsi="Times New Roman" w:cs="Times New Roman"/>
                <w:b/>
                <w:sz w:val="28"/>
                <w:szCs w:val="28"/>
              </w:rPr>
              <w:t>Constatările expertizei anticorupție</w:t>
            </w:r>
          </w:p>
        </w:tc>
      </w:tr>
      <w:tr w:rsidR="00AB7F09" w:rsidRPr="00AB7F09" w:rsidTr="00EA1EF8">
        <w:tc>
          <w:tcPr>
            <w:tcW w:w="9394" w:type="dxa"/>
            <w:gridSpan w:val="2"/>
            <w:vAlign w:val="center"/>
          </w:tcPr>
          <w:p w:rsidR="001372E0" w:rsidRPr="00AB7F09" w:rsidRDefault="001372E0" w:rsidP="00AB7F09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7F09" w:rsidRPr="00AB7F09" w:rsidTr="001372E0">
        <w:tc>
          <w:tcPr>
            <w:tcW w:w="566" w:type="dxa"/>
            <w:vAlign w:val="center"/>
          </w:tcPr>
          <w:p w:rsidR="005720D9" w:rsidRPr="00AB7F09" w:rsidRDefault="005720D9" w:rsidP="00AB7F0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7F09"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8828" w:type="dxa"/>
            <w:vAlign w:val="center"/>
          </w:tcPr>
          <w:p w:rsidR="001372E0" w:rsidRPr="00AB7F09" w:rsidRDefault="005720D9" w:rsidP="00AB7F09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7F09">
              <w:rPr>
                <w:rFonts w:ascii="Times New Roman" w:hAnsi="Times New Roman" w:cs="Times New Roman"/>
                <w:b/>
                <w:sz w:val="28"/>
                <w:szCs w:val="28"/>
              </w:rPr>
              <w:t>Constatările expertizei de compatibilitate</w:t>
            </w:r>
          </w:p>
        </w:tc>
      </w:tr>
      <w:tr w:rsidR="00AB7F09" w:rsidRPr="00AB7F09" w:rsidTr="00BD0F4B">
        <w:tc>
          <w:tcPr>
            <w:tcW w:w="9394" w:type="dxa"/>
            <w:gridSpan w:val="2"/>
            <w:vAlign w:val="center"/>
          </w:tcPr>
          <w:p w:rsidR="001372E0" w:rsidRPr="00AB7F09" w:rsidRDefault="001372E0" w:rsidP="00AB7F09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7F09" w:rsidRPr="00AB7F09" w:rsidTr="001372E0">
        <w:tc>
          <w:tcPr>
            <w:tcW w:w="566" w:type="dxa"/>
            <w:vAlign w:val="center"/>
          </w:tcPr>
          <w:p w:rsidR="005720D9" w:rsidRPr="00AB7F09" w:rsidRDefault="005720D9" w:rsidP="00AB7F0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7F09"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8828" w:type="dxa"/>
            <w:vAlign w:val="center"/>
          </w:tcPr>
          <w:p w:rsidR="005720D9" w:rsidRPr="00AB7F09" w:rsidRDefault="005720D9" w:rsidP="00AB7F09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7F09">
              <w:rPr>
                <w:rFonts w:ascii="Times New Roman" w:hAnsi="Times New Roman" w:cs="Times New Roman"/>
                <w:b/>
                <w:sz w:val="28"/>
                <w:szCs w:val="28"/>
              </w:rPr>
              <w:t>Constatările expertizei juridice</w:t>
            </w:r>
          </w:p>
        </w:tc>
      </w:tr>
      <w:tr w:rsidR="00AB7F09" w:rsidRPr="00AB7F09" w:rsidTr="00EE42A0">
        <w:tc>
          <w:tcPr>
            <w:tcW w:w="9394" w:type="dxa"/>
            <w:gridSpan w:val="2"/>
            <w:vAlign w:val="center"/>
          </w:tcPr>
          <w:p w:rsidR="001372E0" w:rsidRPr="00AB7F09" w:rsidRDefault="001372E0" w:rsidP="00AB7F09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7F09" w:rsidRPr="00AB7F09" w:rsidTr="001372E0">
        <w:tc>
          <w:tcPr>
            <w:tcW w:w="566" w:type="dxa"/>
            <w:vAlign w:val="center"/>
          </w:tcPr>
          <w:p w:rsidR="005720D9" w:rsidRPr="00AB7F09" w:rsidRDefault="005720D9" w:rsidP="00AB7F0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7F09"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8828" w:type="dxa"/>
            <w:vAlign w:val="center"/>
          </w:tcPr>
          <w:p w:rsidR="005720D9" w:rsidRPr="00AB7F09" w:rsidRDefault="005720D9" w:rsidP="00AB7F09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7F09">
              <w:rPr>
                <w:rFonts w:ascii="Times New Roman" w:hAnsi="Times New Roman" w:cs="Times New Roman"/>
                <w:b/>
                <w:sz w:val="28"/>
                <w:szCs w:val="28"/>
              </w:rPr>
              <w:t>Constatările altor expertize</w:t>
            </w:r>
          </w:p>
        </w:tc>
      </w:tr>
      <w:tr w:rsidR="001372E0" w:rsidRPr="00AB7F09" w:rsidTr="006D13AF">
        <w:tc>
          <w:tcPr>
            <w:tcW w:w="9394" w:type="dxa"/>
            <w:gridSpan w:val="2"/>
            <w:vAlign w:val="center"/>
          </w:tcPr>
          <w:p w:rsidR="001372E0" w:rsidRPr="00AB7F09" w:rsidRDefault="001372E0" w:rsidP="00AB7F09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C4536" w:rsidRPr="00AB7F09" w:rsidRDefault="00CC4536" w:rsidP="00AB7F09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7B8A" w:rsidRPr="00AB7F09" w:rsidRDefault="00BB7B8A" w:rsidP="00AB7F09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47D3" w:rsidRPr="00AB7F09" w:rsidRDefault="001372E0" w:rsidP="00AB7F09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B7F09">
        <w:rPr>
          <w:rFonts w:ascii="Times New Roman" w:hAnsi="Times New Roman" w:cs="Times New Roman"/>
          <w:b/>
          <w:sz w:val="28"/>
          <w:szCs w:val="28"/>
        </w:rPr>
        <w:t>Secretar</w:t>
      </w:r>
      <w:proofErr w:type="spellEnd"/>
      <w:r w:rsidRPr="00AB7F09">
        <w:rPr>
          <w:rFonts w:ascii="Times New Roman" w:hAnsi="Times New Roman" w:cs="Times New Roman"/>
          <w:b/>
          <w:sz w:val="28"/>
          <w:szCs w:val="28"/>
        </w:rPr>
        <w:t xml:space="preserve"> de Stat                    </w:t>
      </w:r>
      <w:r w:rsidR="00BB7B8A" w:rsidRPr="00AB7F09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AB7F09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BB7B8A" w:rsidRPr="00AB7F09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AB7F09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BB7B8A" w:rsidRPr="00AB7F09">
        <w:rPr>
          <w:rFonts w:ascii="Times New Roman" w:hAnsi="Times New Roman" w:cs="Times New Roman"/>
          <w:b/>
          <w:sz w:val="28"/>
          <w:szCs w:val="28"/>
          <w:lang w:val="ro-RO"/>
        </w:rPr>
        <w:t>Igor CUROV</w:t>
      </w:r>
    </w:p>
    <w:p w:rsidR="00D747D3" w:rsidRPr="00AB7F09" w:rsidRDefault="00D747D3" w:rsidP="00AB7F0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D747D3" w:rsidRPr="00AB7F09" w:rsidSect="001372E0">
      <w:pgSz w:w="12240" w:h="15840"/>
      <w:pgMar w:top="907" w:right="1191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6528"/>
    <w:multiLevelType w:val="multilevel"/>
    <w:tmpl w:val="1D58308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71F93296"/>
    <w:multiLevelType w:val="hybridMultilevel"/>
    <w:tmpl w:val="191CC138"/>
    <w:lvl w:ilvl="0" w:tplc="12884B16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536"/>
    <w:rsid w:val="0008627D"/>
    <w:rsid w:val="00095B98"/>
    <w:rsid w:val="000A55D9"/>
    <w:rsid w:val="000D49F0"/>
    <w:rsid w:val="0010675B"/>
    <w:rsid w:val="001372E0"/>
    <w:rsid w:val="0014783D"/>
    <w:rsid w:val="00154B2A"/>
    <w:rsid w:val="00180676"/>
    <w:rsid w:val="002A48CE"/>
    <w:rsid w:val="002C7E0A"/>
    <w:rsid w:val="00400241"/>
    <w:rsid w:val="00485964"/>
    <w:rsid w:val="004E20B9"/>
    <w:rsid w:val="005720D9"/>
    <w:rsid w:val="005760AF"/>
    <w:rsid w:val="005A79E5"/>
    <w:rsid w:val="005D0298"/>
    <w:rsid w:val="0078325D"/>
    <w:rsid w:val="007D4FAF"/>
    <w:rsid w:val="008E7AAC"/>
    <w:rsid w:val="00A06191"/>
    <w:rsid w:val="00A14FB0"/>
    <w:rsid w:val="00A9687B"/>
    <w:rsid w:val="00AB7F09"/>
    <w:rsid w:val="00BB7B8A"/>
    <w:rsid w:val="00CC4536"/>
    <w:rsid w:val="00CF411F"/>
    <w:rsid w:val="00D747D3"/>
    <w:rsid w:val="00DE0715"/>
    <w:rsid w:val="00DE1E34"/>
    <w:rsid w:val="00DF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60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E7AA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E7AAC"/>
    <w:pPr>
      <w:spacing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4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F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60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E7AA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E7AAC"/>
    <w:pPr>
      <w:spacing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4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F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ticip.md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ur-lex.europa.eu/legal-content/RO/AUTO/?uri=celex:32019L183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ur-lex.europa.eu/legal-content/RO/AUTO/?uri=celex:32019L1832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4</Pages>
  <Words>1220</Words>
  <Characters>6956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luminita.onofrei</cp:lastModifiedBy>
  <cp:revision>9</cp:revision>
  <cp:lastPrinted>2021-06-14T10:12:00Z</cp:lastPrinted>
  <dcterms:created xsi:type="dcterms:W3CDTF">2021-06-10T12:49:00Z</dcterms:created>
  <dcterms:modified xsi:type="dcterms:W3CDTF">2021-06-15T05:12:00Z</dcterms:modified>
</cp:coreProperties>
</file>