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BB" w:rsidRPr="00051214" w:rsidRDefault="006E27BB" w:rsidP="006E27BB">
      <w:pPr>
        <w:pStyle w:val="Default"/>
        <w:spacing w:line="276" w:lineRule="auto"/>
        <w:jc w:val="center"/>
        <w:rPr>
          <w:b/>
          <w:lang w:val="ro-RO"/>
        </w:rPr>
      </w:pPr>
      <w:r w:rsidRPr="00051214">
        <w:rPr>
          <w:b/>
          <w:bCs/>
          <w:lang w:val="ro-RO"/>
        </w:rPr>
        <w:t>NOTĂ INFORMATIVĂ</w:t>
      </w:r>
    </w:p>
    <w:p w:rsidR="001A7DBC" w:rsidRDefault="006E27BB" w:rsidP="005A2129">
      <w:pPr>
        <w:pStyle w:val="Default"/>
        <w:spacing w:line="276" w:lineRule="auto"/>
        <w:jc w:val="center"/>
        <w:rPr>
          <w:b/>
          <w:lang w:val="ro-RO"/>
        </w:rPr>
      </w:pPr>
      <w:r w:rsidRPr="00051214">
        <w:rPr>
          <w:b/>
          <w:lang w:val="ro-RO"/>
        </w:rPr>
        <w:t xml:space="preserve">la proiectul Ordinului Ministerului Educației, Culturii și Cercetării de modificare </w:t>
      </w:r>
    </w:p>
    <w:p w:rsidR="006E27BB" w:rsidRPr="00051214" w:rsidRDefault="006E27BB" w:rsidP="005A2129">
      <w:pPr>
        <w:pStyle w:val="Default"/>
        <w:spacing w:line="276" w:lineRule="auto"/>
        <w:jc w:val="center"/>
        <w:rPr>
          <w:rFonts w:eastAsia="Times New Roman"/>
          <w:b/>
          <w:bCs/>
          <w:lang w:val="ro-RO"/>
        </w:rPr>
      </w:pPr>
      <w:r w:rsidRPr="00051214">
        <w:rPr>
          <w:b/>
          <w:lang w:val="ro-RO"/>
        </w:rPr>
        <w:t xml:space="preserve">a Regulamentului </w:t>
      </w:r>
      <w:r w:rsidRPr="00051214">
        <w:rPr>
          <w:rFonts w:eastAsia="Times New Roman"/>
          <w:b/>
          <w:bCs/>
          <w:lang w:val="ro-RO"/>
        </w:rPr>
        <w:t>de organizare și funcționare a Consiliului de Etică și Management, aprobat prin Ordinul ministrului educației nr. 1048 din 29.10.2015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6E27BB" w:rsidRPr="00051214" w:rsidTr="003A2F1F">
        <w:trPr>
          <w:trHeight w:val="109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 xml:space="preserve">Denumirea autorului şi, după caz, a participanţilor la elaborarea proiectului </w:t>
            </w:r>
          </w:p>
        </w:tc>
      </w:tr>
      <w:tr w:rsidR="006E27BB" w:rsidRPr="00051214" w:rsidTr="003A2F1F">
        <w:trPr>
          <w:trHeight w:val="368"/>
        </w:trPr>
        <w:tc>
          <w:tcPr>
            <w:tcW w:w="9648" w:type="dxa"/>
          </w:tcPr>
          <w:p w:rsidR="006E27BB" w:rsidRPr="00051214" w:rsidRDefault="006E27BB" w:rsidP="003A2F1F">
            <w:pPr>
              <w:pStyle w:val="Default"/>
              <w:spacing w:after="120"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bCs/>
                <w:lang w:val="ro-RO"/>
              </w:rPr>
              <w:t xml:space="preserve">Ministerul Educației, Culturii și Cercetării și </w:t>
            </w:r>
            <w:r w:rsidRPr="00051214">
              <w:rPr>
                <w:lang w:val="ro-RO"/>
              </w:rPr>
              <w:t xml:space="preserve">Consiliul de </w:t>
            </w:r>
            <w:r w:rsidR="008305F8" w:rsidRPr="00051214">
              <w:rPr>
                <w:lang w:val="ro-RO"/>
              </w:rPr>
              <w:t xml:space="preserve">etică </w:t>
            </w:r>
            <w:r w:rsidRPr="00051214">
              <w:rPr>
                <w:lang w:val="ro-RO"/>
              </w:rPr>
              <w:t xml:space="preserve">și </w:t>
            </w:r>
            <w:r w:rsidR="008305F8" w:rsidRPr="00051214">
              <w:rPr>
                <w:lang w:val="ro-RO"/>
              </w:rPr>
              <w:t xml:space="preserve">management </w:t>
            </w:r>
            <w:r w:rsidRPr="00051214">
              <w:rPr>
                <w:lang w:val="ro-RO"/>
              </w:rPr>
              <w:t>(</w:t>
            </w:r>
            <w:r w:rsidR="008305F8">
              <w:rPr>
                <w:lang w:val="ro-RO"/>
              </w:rPr>
              <w:t xml:space="preserve">consiliu sau </w:t>
            </w:r>
            <w:r w:rsidRPr="00051214">
              <w:rPr>
                <w:lang w:val="ro-RO"/>
              </w:rPr>
              <w:t>CEM)</w:t>
            </w:r>
          </w:p>
        </w:tc>
      </w:tr>
      <w:tr w:rsidR="006E27BB" w:rsidRPr="00051214" w:rsidTr="003A2F1F">
        <w:trPr>
          <w:trHeight w:val="109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 xml:space="preserve">Condiţiile ce au impus elaborarea proiectului de act normativ şi finalităţile urmărite </w:t>
            </w:r>
          </w:p>
        </w:tc>
      </w:tr>
      <w:tr w:rsidR="006E27BB" w:rsidRPr="00051214" w:rsidTr="003A2F1F">
        <w:trPr>
          <w:trHeight w:val="2294"/>
        </w:trPr>
        <w:tc>
          <w:tcPr>
            <w:tcW w:w="9648" w:type="dxa"/>
          </w:tcPr>
          <w:p w:rsidR="006E27BB" w:rsidRPr="00051214" w:rsidRDefault="006E27BB" w:rsidP="003A2F1F">
            <w:pPr>
              <w:pStyle w:val="Default"/>
              <w:spacing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 xml:space="preserve">Proiectul ordinului în cauză are drept scop armonizarea actului normativ existent în </w:t>
            </w:r>
            <w:proofErr w:type="spellStart"/>
            <w:r w:rsidRPr="00051214">
              <w:rPr>
                <w:lang w:val="ro-RO"/>
              </w:rPr>
              <w:t>coraborare</w:t>
            </w:r>
            <w:proofErr w:type="spellEnd"/>
            <w:r w:rsidRPr="00051214">
              <w:rPr>
                <w:lang w:val="ro-RO"/>
              </w:rPr>
              <w:t xml:space="preserve"> cu </w:t>
            </w:r>
            <w:r w:rsidRPr="00051214">
              <w:rPr>
                <w:i/>
                <w:lang w:val="ro-RO"/>
              </w:rPr>
              <w:t xml:space="preserve">Regulamentul-cadru privind modul de alegere a rectorului instituţiei de </w:t>
            </w:r>
            <w:proofErr w:type="spellStart"/>
            <w:r w:rsidRPr="00051214">
              <w:rPr>
                <w:i/>
                <w:lang w:val="ro-RO"/>
              </w:rPr>
              <w:t>învăţămînt</w:t>
            </w:r>
            <w:proofErr w:type="spellEnd"/>
            <w:r w:rsidRPr="00051214">
              <w:rPr>
                <w:i/>
                <w:lang w:val="ro-RO"/>
              </w:rPr>
              <w:t xml:space="preserve"> superior din Republica Moldova</w:t>
            </w:r>
            <w:r w:rsidRPr="00051214">
              <w:rPr>
                <w:lang w:val="ro-RO"/>
              </w:rPr>
              <w:t>, aprobat prin Ordinul Ministrului Educației nr. 09/2015.</w:t>
            </w:r>
          </w:p>
          <w:p w:rsidR="006E27BB" w:rsidRPr="00051214" w:rsidRDefault="006E27BB" w:rsidP="003A2F1F">
            <w:pPr>
              <w:pStyle w:val="Default"/>
              <w:spacing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>De asemenea, proiectul dat propune stabilirea unor reglementări suplimentare în vederea eficientizării activității Consiliului de etică și management.</w:t>
            </w:r>
          </w:p>
          <w:p w:rsidR="006E27BB" w:rsidRPr="00051214" w:rsidRDefault="006E27BB" w:rsidP="003F6558">
            <w:pPr>
              <w:pStyle w:val="Default"/>
              <w:spacing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>Propunerile de modificare sunt elaborate în baza recomandărilor membrilor Consiliului de etică și management acumulate pe parcursul activității acestuia.</w:t>
            </w:r>
          </w:p>
        </w:tc>
      </w:tr>
      <w:tr w:rsidR="006E27BB" w:rsidRPr="00051214" w:rsidTr="003A2F1F">
        <w:trPr>
          <w:trHeight w:val="248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6E27BB" w:rsidRPr="00051214" w:rsidTr="003A2F1F">
        <w:trPr>
          <w:trHeight w:val="109"/>
        </w:trPr>
        <w:tc>
          <w:tcPr>
            <w:tcW w:w="9648" w:type="dxa"/>
          </w:tcPr>
          <w:p w:rsidR="006E27BB" w:rsidRPr="00051214" w:rsidRDefault="006E27BB" w:rsidP="003A2F1F">
            <w:pPr>
              <w:pStyle w:val="Default"/>
              <w:spacing w:after="120"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>Prezentul proiect de Hotărâre nu contravine legislației Uniunii Europene.</w:t>
            </w:r>
          </w:p>
        </w:tc>
      </w:tr>
      <w:tr w:rsidR="006E27BB" w:rsidRPr="00051214" w:rsidTr="003A2F1F">
        <w:trPr>
          <w:trHeight w:val="109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 xml:space="preserve">Principalele prevederi ale proiectului şi evidenţierea elementelor noi </w:t>
            </w:r>
          </w:p>
        </w:tc>
      </w:tr>
      <w:tr w:rsidR="006E27BB" w:rsidRPr="00051214" w:rsidTr="003A2F1F">
        <w:trPr>
          <w:trHeight w:val="428"/>
        </w:trPr>
        <w:tc>
          <w:tcPr>
            <w:tcW w:w="9648" w:type="dxa"/>
          </w:tcPr>
          <w:p w:rsidR="006E27BB" w:rsidRPr="00051214" w:rsidRDefault="006E27BB" w:rsidP="003A2F1F">
            <w:pPr>
              <w:pStyle w:val="Default"/>
              <w:spacing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>Proiectul prevede:</w:t>
            </w:r>
          </w:p>
          <w:p w:rsidR="006E27BB" w:rsidRPr="00051214" w:rsidRDefault="006E27BB" w:rsidP="006E27B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 xml:space="preserve">examinarea de către Consiliul de Etică și Management doar a petițiilor </w:t>
            </w:r>
            <w:r w:rsidRPr="00051214">
              <w:rPr>
                <w:rFonts w:eastAsia="Times New Roman"/>
                <w:lang w:val="ro-RO"/>
              </w:rPr>
              <w:t>însoțite de demersul MECC;</w:t>
            </w:r>
          </w:p>
          <w:p w:rsidR="006E27BB" w:rsidRPr="00051214" w:rsidRDefault="006E27BB" w:rsidP="006E27B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>concretizarea obiect</w:t>
            </w:r>
            <w:r w:rsidRPr="00051214">
              <w:rPr>
                <w:rFonts w:eastAsia="Times New Roman"/>
                <w:lang w:val="ro-RO"/>
              </w:rPr>
              <w:t>ului sesizărilor cu respectarea legislației în vigoare în materie de responsabilitate publică a instituțiilor de învățământ;</w:t>
            </w:r>
          </w:p>
          <w:p w:rsidR="006E27BB" w:rsidRPr="00051214" w:rsidRDefault="006E27BB" w:rsidP="006E27B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 w:rsidRPr="00051214">
              <w:rPr>
                <w:rFonts w:eastAsia="Times New Roman"/>
                <w:lang w:val="ro-RO"/>
              </w:rPr>
              <w:t>concretizarea atribuțiilor pentru președinte și vicepreședinte;</w:t>
            </w:r>
          </w:p>
          <w:p w:rsidR="006E27BB" w:rsidRPr="00051214" w:rsidRDefault="006E27BB" w:rsidP="006E27B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 xml:space="preserve">includerea excepției privind examinarea petițiilor/contestațiilor, în decurs de </w:t>
            </w:r>
            <w:r>
              <w:rPr>
                <w:lang w:val="ro-RO"/>
              </w:rPr>
              <w:t>30</w:t>
            </w:r>
            <w:r w:rsidRPr="00051214">
              <w:rPr>
                <w:lang w:val="ro-RO"/>
              </w:rPr>
              <w:t xml:space="preserve"> zile lucrătoare de la data primirii  acestora, în cazul alegerilor rectorului;</w:t>
            </w:r>
          </w:p>
          <w:p w:rsidR="006E27BB" w:rsidRPr="00051214" w:rsidRDefault="006E27BB" w:rsidP="006E27B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 w:rsidRPr="00051214">
              <w:rPr>
                <w:rFonts w:eastAsia="Times New Roman"/>
                <w:lang w:val="ro-RO"/>
              </w:rPr>
              <w:t>prevede remunerarea membrilor Consiliului din surse financiare prevăzute în bugetul MECC în conformitate cu legislația în vigoare.</w:t>
            </w:r>
          </w:p>
        </w:tc>
      </w:tr>
      <w:tr w:rsidR="006E27BB" w:rsidRPr="00051214" w:rsidTr="003A2F1F">
        <w:trPr>
          <w:trHeight w:val="296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 xml:space="preserve">Fundamentarea economico-financiară </w:t>
            </w:r>
          </w:p>
        </w:tc>
      </w:tr>
      <w:tr w:rsidR="006E27BB" w:rsidRPr="00051214" w:rsidTr="003A2F1F">
        <w:trPr>
          <w:trHeight w:val="428"/>
        </w:trPr>
        <w:tc>
          <w:tcPr>
            <w:tcW w:w="9648" w:type="dxa"/>
          </w:tcPr>
          <w:p w:rsidR="00F977AC" w:rsidRDefault="00F977AC" w:rsidP="006A6662">
            <w:pPr>
              <w:pStyle w:val="Default"/>
              <w:spacing w:line="276" w:lineRule="auto"/>
              <w:ind w:firstLine="450"/>
              <w:jc w:val="both"/>
              <w:rPr>
                <w:color w:val="auto"/>
                <w:shd w:val="clear" w:color="auto" w:fill="FFFFFF"/>
                <w:lang w:val="ro-RO"/>
              </w:rPr>
            </w:pPr>
            <w:r w:rsidRPr="0087598C">
              <w:rPr>
                <w:color w:val="auto"/>
                <w:lang w:val="ro-RO"/>
              </w:rPr>
              <w:t>Remunerarea muncii membrilor</w:t>
            </w:r>
            <w:r w:rsidRPr="0087598C">
              <w:rPr>
                <w:lang w:val="ro-RO"/>
              </w:rPr>
              <w:t xml:space="preserve"> </w:t>
            </w:r>
            <w:r w:rsidRPr="0087598C">
              <w:rPr>
                <w:shd w:val="clear" w:color="auto" w:fill="FFFFFF"/>
                <w:lang w:val="ro-RO"/>
              </w:rPr>
              <w:t xml:space="preserve">Consiliului de </w:t>
            </w:r>
            <w:r w:rsidR="008305F8" w:rsidRPr="0087598C">
              <w:rPr>
                <w:shd w:val="clear" w:color="auto" w:fill="FFFFFF"/>
                <w:lang w:val="ro-RO"/>
              </w:rPr>
              <w:t xml:space="preserve">etică </w:t>
            </w:r>
            <w:r w:rsidRPr="0087598C">
              <w:rPr>
                <w:shd w:val="clear" w:color="auto" w:fill="FFFFFF"/>
                <w:lang w:val="ro-RO"/>
              </w:rPr>
              <w:t xml:space="preserve">și </w:t>
            </w:r>
            <w:r w:rsidR="008305F8" w:rsidRPr="0087598C">
              <w:rPr>
                <w:shd w:val="clear" w:color="auto" w:fill="FFFFFF"/>
                <w:lang w:val="ro-RO"/>
              </w:rPr>
              <w:t>management</w:t>
            </w:r>
            <w:r w:rsidR="008305F8" w:rsidRPr="0087598C">
              <w:rPr>
                <w:b/>
                <w:shd w:val="clear" w:color="auto" w:fill="FFFFFF"/>
                <w:lang w:val="ro-RO"/>
              </w:rPr>
              <w:t xml:space="preserve"> </w:t>
            </w:r>
            <w:r w:rsidRPr="0087598C">
              <w:rPr>
                <w:lang w:val="ro-RO"/>
              </w:rPr>
              <w:t xml:space="preserve">se încadrează </w:t>
            </w:r>
            <w:r w:rsidRPr="008A5D85">
              <w:rPr>
                <w:b/>
                <w:color w:val="auto"/>
                <w:shd w:val="clear" w:color="auto" w:fill="FFFFFF"/>
                <w:lang w:val="ro-RO"/>
              </w:rPr>
              <w:t>în limitele alocațiilor bugetare stabilite în bugetul de stat pentru Ministerul Educației, Culturii și Cercetării.</w:t>
            </w:r>
          </w:p>
          <w:p w:rsidR="00F977AC" w:rsidRDefault="002951A1" w:rsidP="003F2A94">
            <w:pPr>
              <w:spacing w:after="0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51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Salarizarea membrilor CEM se va efectua în baza </w:t>
            </w:r>
            <w:r w:rsidR="008035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normei</w:t>
            </w:r>
            <w:r w:rsidRPr="002951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calcul al salariului pe oră  conform </w:t>
            </w:r>
            <w:r w:rsidR="008035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0355B" w:rsidRPr="008035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ct. 6, la Note, din Anexa nr. 5 </w:t>
            </w:r>
            <w:r w:rsidR="0080355B" w:rsidRPr="0080355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pentru punerea în aplicare a prevederilor Legii nr. 270/2018 privind sistemul unitar de salarizare în sectorul bugetar</w:t>
            </w:r>
            <w:r w:rsidR="0080355B" w:rsidRPr="008035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aprobat prin Hotărârea Guvernului nr. 1231/2018</w:t>
            </w:r>
            <w:r w:rsidR="008035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0355B" w:rsidRDefault="008A5D85" w:rsidP="007141AA">
            <w:pPr>
              <w:spacing w:after="0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Pornind de la</w:t>
            </w:r>
            <w:r w:rsidR="003F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faptul că, şedinţele au loc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regulă,</w:t>
            </w:r>
            <w:r w:rsidR="003F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trimestrial (4 şedinţe pe an) şi din eligibilitatea remunerării membrilor CEM în actuala componenţă, p</w:t>
            </w:r>
            <w:r w:rsidR="008035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otrivit </w:t>
            </w:r>
            <w:r w:rsidR="003F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normei de calcul menţionate ante bugetul anu</w:t>
            </w:r>
            <w:r w:rsidR="00D16F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3F2A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va constitui cca 90 000 lei</w:t>
            </w:r>
            <w:r w:rsidR="00C74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cca 18 000 per şedinţă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după cum urmează:</w:t>
            </w:r>
          </w:p>
          <w:p w:rsidR="00C74219" w:rsidRPr="008A5D85" w:rsidRDefault="008A5D85" w:rsidP="008A5D85">
            <w:pPr>
              <w:pStyle w:val="ListParagraph"/>
              <w:numPr>
                <w:ilvl w:val="0"/>
                <w:numId w:val="3"/>
              </w:numPr>
              <w:spacing w:after="0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orma de salarizare pentru membrii </w:t>
            </w:r>
            <w:r w:rsidR="008305F8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consiliului </w:t>
            </w:r>
            <w:r w:rsidR="004B686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deţinători de titluri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/funcţi</w:t>
            </w:r>
            <w:r w:rsidR="004B686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ştiinţifico-didactic</w:t>
            </w:r>
            <w:r w:rsidR="004B686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doctor în ştiinţe</w:t>
            </w:r>
            <w:r w:rsidR="004B686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conferenţiar uni</w:t>
            </w:r>
            <w:r w:rsidR="00D16F78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versitar constituie 136 lei/oră iar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membrii</w:t>
            </w:r>
            <w:r w:rsidR="008305F8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consiliului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fără titlu</w:t>
            </w:r>
            <w:r w:rsidR="004B686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ri/funcţii ştiinţifico-didactice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constituie 104 lei/oră.</w:t>
            </w:r>
          </w:p>
          <w:p w:rsidR="0080355B" w:rsidRPr="008A5D85" w:rsidRDefault="008A5D85" w:rsidP="008A5D85">
            <w:pPr>
              <w:pStyle w:val="ListParagraph"/>
              <w:numPr>
                <w:ilvl w:val="0"/>
                <w:numId w:val="3"/>
              </w:numPr>
              <w:spacing w:after="0"/>
              <w:ind w:left="450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olumul orelor prestate constituie 20 ore</w:t>
            </w:r>
            <w:r w:rsidR="00F43215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fiecare membru CEM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 şedinţă care se cuantifică din 16 ore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examinarea materialelor 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(petiţii</w:t>
            </w:r>
            <w:r w:rsidR="008305F8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contestaţii)</w:t>
            </w:r>
            <w:r w:rsidR="00F43215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r w:rsidR="008305F8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 ore pentru 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fizică</w:t>
            </w:r>
            <w:r w:rsidR="001E34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="001E34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line </w:t>
            </w:r>
            <w:r w:rsidR="00E27B1A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şedinţă</w:t>
            </w:r>
            <w:r w:rsidR="008305F8" w:rsidRPr="008A5D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6E27BB" w:rsidRPr="00051214" w:rsidTr="003A2F1F">
        <w:trPr>
          <w:trHeight w:val="287"/>
        </w:trPr>
        <w:tc>
          <w:tcPr>
            <w:tcW w:w="9648" w:type="dxa"/>
          </w:tcPr>
          <w:p w:rsidR="006E27BB" w:rsidRPr="00051214" w:rsidRDefault="006E27BB" w:rsidP="001615A0">
            <w:pPr>
              <w:pStyle w:val="Default"/>
              <w:numPr>
                <w:ilvl w:val="0"/>
                <w:numId w:val="1"/>
              </w:numPr>
              <w:spacing w:before="600"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lastRenderedPageBreak/>
              <w:t xml:space="preserve"> Modul de încorporare a actului în cadrul normativ în vigoare </w:t>
            </w:r>
          </w:p>
        </w:tc>
      </w:tr>
      <w:tr w:rsidR="006E27BB" w:rsidRPr="00051214" w:rsidTr="003A2F1F">
        <w:trPr>
          <w:trHeight w:val="428"/>
        </w:trPr>
        <w:tc>
          <w:tcPr>
            <w:tcW w:w="9648" w:type="dxa"/>
          </w:tcPr>
          <w:p w:rsidR="006E27BB" w:rsidRPr="00051214" w:rsidRDefault="006E27BB" w:rsidP="003A2F1F">
            <w:pPr>
              <w:pStyle w:val="Default"/>
              <w:spacing w:after="120"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>Proiectul se încorporează în sistemul actelor normative și nu necesit</w:t>
            </w:r>
            <w:r>
              <w:rPr>
                <w:lang w:val="ro-RO"/>
              </w:rPr>
              <w:t>ă</w:t>
            </w:r>
            <w:r w:rsidRPr="00051214">
              <w:rPr>
                <w:lang w:val="ro-RO"/>
              </w:rPr>
              <w:t xml:space="preserve"> abrogarea unor acte normative.</w:t>
            </w:r>
          </w:p>
        </w:tc>
      </w:tr>
      <w:tr w:rsidR="006E27BB" w:rsidRPr="00051214" w:rsidTr="003A2F1F">
        <w:trPr>
          <w:trHeight w:val="278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>Avizarea şi consultarea publică a proiectului</w:t>
            </w:r>
          </w:p>
        </w:tc>
      </w:tr>
      <w:tr w:rsidR="006E27BB" w:rsidRPr="00051214" w:rsidTr="003A2F1F">
        <w:trPr>
          <w:trHeight w:val="428"/>
        </w:trPr>
        <w:tc>
          <w:tcPr>
            <w:tcW w:w="9648" w:type="dxa"/>
          </w:tcPr>
          <w:p w:rsidR="006E27BB" w:rsidRPr="00051214" w:rsidRDefault="006E27BB" w:rsidP="00780ABA">
            <w:pPr>
              <w:pStyle w:val="Default"/>
              <w:spacing w:after="120"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 xml:space="preserve">Proiectul </w:t>
            </w:r>
            <w:r w:rsidR="00780ABA">
              <w:rPr>
                <w:lang w:val="ro-RO"/>
              </w:rPr>
              <w:t>a fost</w:t>
            </w:r>
            <w:r w:rsidRPr="00051214">
              <w:rPr>
                <w:lang w:val="ro-RO"/>
              </w:rPr>
              <w:t xml:space="preserve"> plasat online pentru consultări publice şi avizat în conformitate cu legislaţia în vigoare.</w:t>
            </w:r>
          </w:p>
        </w:tc>
      </w:tr>
      <w:tr w:rsidR="006E27BB" w:rsidRPr="00051214" w:rsidTr="003A2F1F">
        <w:trPr>
          <w:trHeight w:val="278"/>
        </w:trPr>
        <w:tc>
          <w:tcPr>
            <w:tcW w:w="9648" w:type="dxa"/>
          </w:tcPr>
          <w:p w:rsidR="006E27BB" w:rsidRPr="00051214" w:rsidRDefault="006E27BB" w:rsidP="006E27BB">
            <w:pPr>
              <w:pStyle w:val="Default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b/>
                <w:lang w:val="ro-RO"/>
              </w:rPr>
            </w:pPr>
            <w:r w:rsidRPr="00051214">
              <w:rPr>
                <w:b/>
                <w:lang w:val="ro-RO"/>
              </w:rPr>
              <w:t xml:space="preserve">Constatările expertizei juridice </w:t>
            </w:r>
          </w:p>
        </w:tc>
      </w:tr>
      <w:tr w:rsidR="006E27BB" w:rsidRPr="00051214" w:rsidTr="003A2F1F">
        <w:trPr>
          <w:trHeight w:val="287"/>
        </w:trPr>
        <w:tc>
          <w:tcPr>
            <w:tcW w:w="9648" w:type="dxa"/>
          </w:tcPr>
          <w:p w:rsidR="006E27BB" w:rsidRPr="00051214" w:rsidRDefault="006E27BB" w:rsidP="003A2F1F">
            <w:pPr>
              <w:pStyle w:val="Default"/>
              <w:spacing w:after="120" w:line="276" w:lineRule="auto"/>
              <w:ind w:firstLine="450"/>
              <w:jc w:val="both"/>
              <w:rPr>
                <w:lang w:val="ro-RO"/>
              </w:rPr>
            </w:pPr>
            <w:r w:rsidRPr="00051214">
              <w:rPr>
                <w:lang w:val="ro-RO"/>
              </w:rPr>
              <w:t>Proiectul urmează să fie supus expertizei juridice.</w:t>
            </w:r>
          </w:p>
        </w:tc>
      </w:tr>
    </w:tbl>
    <w:p w:rsidR="006E27BB" w:rsidRDefault="006E27BB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>Ministru</w:t>
      </w:r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>Lilia</w:t>
      </w:r>
      <w:proofErr w:type="spellEnd"/>
      <w:r w:rsidRPr="000512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POGOLȘA</w:t>
      </w:r>
    </w:p>
    <w:p w:rsidR="005A2129" w:rsidRDefault="005A2129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Pr="00051214" w:rsidRDefault="001615A0" w:rsidP="006E27B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15A0" w:rsidRPr="00757F4E" w:rsidRDefault="001615A0" w:rsidP="001615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bookmarkStart w:id="0" w:name="_GoBack"/>
      <w:bookmarkEnd w:id="0"/>
      <w:r w:rsidRPr="00757F4E">
        <w:rPr>
          <w:rFonts w:ascii="Times New Roman" w:eastAsia="Calibri" w:hAnsi="Times New Roman" w:cs="Times New Roman"/>
          <w:sz w:val="20"/>
          <w:szCs w:val="20"/>
          <w:lang w:val="ro-RO"/>
        </w:rPr>
        <w:t>Arcadie Andronic,</w:t>
      </w:r>
      <w:r w:rsidRPr="00757F4E">
        <w:rPr>
          <w:rFonts w:ascii="Times New Roman" w:hAnsi="Times New Roman" w:cs="Times New Roman"/>
          <w:sz w:val="20"/>
          <w:szCs w:val="20"/>
          <w:lang w:val="ro-RO"/>
        </w:rPr>
        <w:t xml:space="preserve"> tel: 022-232464</w:t>
      </w:r>
    </w:p>
    <w:p w:rsidR="001615A0" w:rsidRPr="00757F4E" w:rsidRDefault="00EA00FA" w:rsidP="001615A0">
      <w:pPr>
        <w:tabs>
          <w:tab w:val="left" w:pos="5504"/>
        </w:tabs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hyperlink r:id="rId5" w:history="1">
        <w:r w:rsidR="001615A0" w:rsidRPr="00757F4E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arcadii.andronic@mecc.gov.md</w:t>
        </w:r>
      </w:hyperlink>
    </w:p>
    <w:p w:rsidR="0037109D" w:rsidRDefault="0037109D" w:rsidP="001615A0">
      <w:pPr>
        <w:spacing w:after="0" w:line="240" w:lineRule="auto"/>
      </w:pPr>
    </w:p>
    <w:sectPr w:rsidR="0037109D" w:rsidSect="001615A0">
      <w:pgSz w:w="11906" w:h="16838"/>
      <w:pgMar w:top="360" w:right="656" w:bottom="90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A33"/>
    <w:multiLevelType w:val="hybridMultilevel"/>
    <w:tmpl w:val="BF42E742"/>
    <w:lvl w:ilvl="0" w:tplc="C246A91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76605AF"/>
    <w:multiLevelType w:val="hybridMultilevel"/>
    <w:tmpl w:val="457E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75F56"/>
    <w:multiLevelType w:val="hybridMultilevel"/>
    <w:tmpl w:val="8EAE483A"/>
    <w:lvl w:ilvl="0" w:tplc="4834827E">
      <w:start w:val="6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E27BB"/>
    <w:rsid w:val="00075A20"/>
    <w:rsid w:val="000848C0"/>
    <w:rsid w:val="000A7433"/>
    <w:rsid w:val="000B19C3"/>
    <w:rsid w:val="000C6397"/>
    <w:rsid w:val="000D7997"/>
    <w:rsid w:val="000E1FBD"/>
    <w:rsid w:val="000E4D20"/>
    <w:rsid w:val="000E7B82"/>
    <w:rsid w:val="001002EB"/>
    <w:rsid w:val="001004A3"/>
    <w:rsid w:val="00140C36"/>
    <w:rsid w:val="001615A0"/>
    <w:rsid w:val="0018076B"/>
    <w:rsid w:val="001A7DBC"/>
    <w:rsid w:val="001B48B8"/>
    <w:rsid w:val="001B7AC5"/>
    <w:rsid w:val="001E12AE"/>
    <w:rsid w:val="001E3404"/>
    <w:rsid w:val="002007D9"/>
    <w:rsid w:val="002951A1"/>
    <w:rsid w:val="002D09F4"/>
    <w:rsid w:val="00310408"/>
    <w:rsid w:val="00314C11"/>
    <w:rsid w:val="00331DFD"/>
    <w:rsid w:val="003322A6"/>
    <w:rsid w:val="00337421"/>
    <w:rsid w:val="00341EEE"/>
    <w:rsid w:val="00366F0F"/>
    <w:rsid w:val="0037109D"/>
    <w:rsid w:val="00391371"/>
    <w:rsid w:val="003D7319"/>
    <w:rsid w:val="003F2A94"/>
    <w:rsid w:val="003F6558"/>
    <w:rsid w:val="004144B7"/>
    <w:rsid w:val="00456C90"/>
    <w:rsid w:val="00472C30"/>
    <w:rsid w:val="00473706"/>
    <w:rsid w:val="004A2942"/>
    <w:rsid w:val="004B5D03"/>
    <w:rsid w:val="004B686A"/>
    <w:rsid w:val="004E29A3"/>
    <w:rsid w:val="005A09A0"/>
    <w:rsid w:val="005A2129"/>
    <w:rsid w:val="005B5DBA"/>
    <w:rsid w:val="005C113E"/>
    <w:rsid w:val="005C66F2"/>
    <w:rsid w:val="00632EFB"/>
    <w:rsid w:val="006A57B0"/>
    <w:rsid w:val="006A6662"/>
    <w:rsid w:val="006E27BB"/>
    <w:rsid w:val="007013D3"/>
    <w:rsid w:val="007141AA"/>
    <w:rsid w:val="00722120"/>
    <w:rsid w:val="00746DF1"/>
    <w:rsid w:val="0077519C"/>
    <w:rsid w:val="00780ABA"/>
    <w:rsid w:val="007C2EF3"/>
    <w:rsid w:val="007F4F3E"/>
    <w:rsid w:val="008014AB"/>
    <w:rsid w:val="0080355B"/>
    <w:rsid w:val="008305F8"/>
    <w:rsid w:val="00853749"/>
    <w:rsid w:val="00860A3A"/>
    <w:rsid w:val="00866805"/>
    <w:rsid w:val="008966EF"/>
    <w:rsid w:val="008A5D85"/>
    <w:rsid w:val="009021D5"/>
    <w:rsid w:val="009325C2"/>
    <w:rsid w:val="00935989"/>
    <w:rsid w:val="00950070"/>
    <w:rsid w:val="0097196F"/>
    <w:rsid w:val="0099583F"/>
    <w:rsid w:val="009D495B"/>
    <w:rsid w:val="009E7B35"/>
    <w:rsid w:val="00A40B78"/>
    <w:rsid w:val="00A86DE4"/>
    <w:rsid w:val="00A96242"/>
    <w:rsid w:val="00A96DD7"/>
    <w:rsid w:val="00A97DBE"/>
    <w:rsid w:val="00AE0BFC"/>
    <w:rsid w:val="00B2187E"/>
    <w:rsid w:val="00C44AD2"/>
    <w:rsid w:val="00C5628D"/>
    <w:rsid w:val="00C74219"/>
    <w:rsid w:val="00C76269"/>
    <w:rsid w:val="00C96C64"/>
    <w:rsid w:val="00CA7955"/>
    <w:rsid w:val="00CB103B"/>
    <w:rsid w:val="00CC6E59"/>
    <w:rsid w:val="00CE7B13"/>
    <w:rsid w:val="00D15B1A"/>
    <w:rsid w:val="00D16F78"/>
    <w:rsid w:val="00D4609F"/>
    <w:rsid w:val="00D655DA"/>
    <w:rsid w:val="00D65A3B"/>
    <w:rsid w:val="00D73488"/>
    <w:rsid w:val="00DA51D3"/>
    <w:rsid w:val="00DE6409"/>
    <w:rsid w:val="00E27B1A"/>
    <w:rsid w:val="00E3527D"/>
    <w:rsid w:val="00E70F73"/>
    <w:rsid w:val="00EA00FA"/>
    <w:rsid w:val="00EC55F1"/>
    <w:rsid w:val="00F377E8"/>
    <w:rsid w:val="00F40738"/>
    <w:rsid w:val="00F43215"/>
    <w:rsid w:val="00F5368F"/>
    <w:rsid w:val="00F5673E"/>
    <w:rsid w:val="00F977AC"/>
    <w:rsid w:val="00FB4C6D"/>
    <w:rsid w:val="00FD66B8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BB"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7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A5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5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adii.andronic@mec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25</cp:revision>
  <cp:lastPrinted>2021-07-01T10:50:00Z</cp:lastPrinted>
  <dcterms:created xsi:type="dcterms:W3CDTF">2021-06-01T08:29:00Z</dcterms:created>
  <dcterms:modified xsi:type="dcterms:W3CDTF">2021-07-01T11:11:00Z</dcterms:modified>
</cp:coreProperties>
</file>