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F5" w:rsidRPr="00D35445" w:rsidRDefault="003612F5" w:rsidP="003612F5">
      <w:pPr>
        <w:pStyle w:val="Default"/>
        <w:jc w:val="center"/>
        <w:rPr>
          <w:b/>
          <w:lang w:val="en-US"/>
        </w:rPr>
      </w:pPr>
      <w:r w:rsidRPr="00D35445">
        <w:rPr>
          <w:b/>
          <w:lang w:val="en-US"/>
        </w:rPr>
        <w:t>Sinteza</w:t>
      </w:r>
    </w:p>
    <w:p w:rsidR="003612F5" w:rsidRPr="00D35445" w:rsidRDefault="003612F5" w:rsidP="003612F5">
      <w:pPr>
        <w:jc w:val="center"/>
        <w:rPr>
          <w:rFonts w:eastAsia="Batang"/>
          <w:b/>
          <w:bCs/>
          <w:lang w:val="en-US"/>
        </w:rPr>
      </w:pPr>
      <w:r w:rsidRPr="003612F5">
        <w:rPr>
          <w:b/>
          <w:lang w:val="ro-RO"/>
        </w:rPr>
        <w:t xml:space="preserve">propunerilor și obiecțiilor la proiectul </w:t>
      </w:r>
      <w:r w:rsidR="007014AB" w:rsidRPr="003612F5">
        <w:rPr>
          <w:rFonts w:eastAsia="Batang"/>
          <w:b/>
          <w:bCs/>
          <w:lang w:val="ro-RO"/>
        </w:rPr>
        <w:t>Hotărârii</w:t>
      </w:r>
      <w:r w:rsidRPr="003612F5">
        <w:rPr>
          <w:rFonts w:eastAsia="Batang"/>
          <w:b/>
          <w:bCs/>
          <w:lang w:val="ro-RO"/>
        </w:rPr>
        <w:t xml:space="preserve"> Guvernului cu privire la stabilirea marjei maxime pentru anul 2021 în cadrul</w:t>
      </w:r>
      <w:r>
        <w:rPr>
          <w:rFonts w:eastAsia="Batang"/>
          <w:b/>
          <w:bCs/>
          <w:lang w:val="en-US"/>
        </w:rPr>
        <w:t xml:space="preserve"> Programului de stat” Prima casă”</w:t>
      </w:r>
    </w:p>
    <w:tbl>
      <w:tblPr>
        <w:tblStyle w:val="TableGrid"/>
        <w:tblW w:w="14709" w:type="dxa"/>
        <w:tblLook w:val="04A0" w:firstRow="1" w:lastRow="0" w:firstColumn="1" w:lastColumn="0" w:noHBand="0" w:noVBand="1"/>
      </w:tblPr>
      <w:tblGrid>
        <w:gridCol w:w="2943"/>
        <w:gridCol w:w="6096"/>
        <w:gridCol w:w="5670"/>
      </w:tblGrid>
      <w:tr w:rsidR="003612F5" w:rsidRPr="003612F5" w:rsidTr="00A5231B">
        <w:trPr>
          <w:tblHeader/>
        </w:trPr>
        <w:tc>
          <w:tcPr>
            <w:tcW w:w="2943" w:type="dxa"/>
          </w:tcPr>
          <w:p w:rsidR="003612F5" w:rsidRPr="003612F5" w:rsidRDefault="003612F5" w:rsidP="00A5231B">
            <w:pPr>
              <w:pStyle w:val="Default"/>
              <w:jc w:val="center"/>
              <w:rPr>
                <w:b/>
                <w:color w:val="auto"/>
                <w:lang w:val="ro-RO"/>
              </w:rPr>
            </w:pPr>
          </w:p>
          <w:p w:rsidR="003612F5" w:rsidRPr="003612F5" w:rsidRDefault="003612F5" w:rsidP="00A5231B">
            <w:pPr>
              <w:pStyle w:val="Default"/>
              <w:jc w:val="center"/>
              <w:rPr>
                <w:b/>
                <w:color w:val="auto"/>
                <w:lang w:val="ro-RO"/>
              </w:rPr>
            </w:pPr>
            <w:r w:rsidRPr="003612F5">
              <w:rPr>
                <w:b/>
                <w:color w:val="auto"/>
                <w:lang w:val="ro-RO"/>
              </w:rPr>
              <w:t xml:space="preserve">Autoritatea </w:t>
            </w:r>
          </w:p>
          <w:p w:rsidR="003612F5" w:rsidRPr="003612F5" w:rsidRDefault="003612F5" w:rsidP="00A5231B">
            <w:pPr>
              <w:pStyle w:val="Default"/>
              <w:jc w:val="center"/>
              <w:rPr>
                <w:b/>
                <w:color w:val="auto"/>
                <w:lang w:val="ro-RO"/>
              </w:rPr>
            </w:pPr>
          </w:p>
        </w:tc>
        <w:tc>
          <w:tcPr>
            <w:tcW w:w="6096" w:type="dxa"/>
          </w:tcPr>
          <w:p w:rsidR="003612F5" w:rsidRPr="003612F5" w:rsidRDefault="003612F5" w:rsidP="00A5231B">
            <w:pPr>
              <w:pStyle w:val="Default"/>
              <w:jc w:val="center"/>
              <w:rPr>
                <w:b/>
                <w:color w:val="auto"/>
                <w:lang w:val="ro-RO"/>
              </w:rPr>
            </w:pPr>
          </w:p>
          <w:p w:rsidR="003612F5" w:rsidRPr="003612F5" w:rsidRDefault="003612F5" w:rsidP="00A5231B">
            <w:pPr>
              <w:pStyle w:val="Default"/>
              <w:jc w:val="center"/>
              <w:rPr>
                <w:b/>
                <w:color w:val="auto"/>
                <w:lang w:val="ro-RO"/>
              </w:rPr>
            </w:pPr>
            <w:r w:rsidRPr="003612F5">
              <w:rPr>
                <w:b/>
                <w:color w:val="auto"/>
                <w:lang w:val="ro-RO"/>
              </w:rPr>
              <w:t>Conținutul propunerii sau obiecției</w:t>
            </w:r>
          </w:p>
        </w:tc>
        <w:tc>
          <w:tcPr>
            <w:tcW w:w="5670" w:type="dxa"/>
          </w:tcPr>
          <w:p w:rsidR="003612F5" w:rsidRPr="003612F5" w:rsidRDefault="003612F5" w:rsidP="00A5231B">
            <w:pPr>
              <w:pStyle w:val="Default"/>
              <w:jc w:val="center"/>
              <w:rPr>
                <w:b/>
                <w:color w:val="auto"/>
                <w:lang w:val="ro-RO"/>
              </w:rPr>
            </w:pPr>
          </w:p>
          <w:p w:rsidR="003612F5" w:rsidRPr="003612F5" w:rsidRDefault="003612F5" w:rsidP="00A5231B">
            <w:pPr>
              <w:pStyle w:val="Default"/>
              <w:jc w:val="center"/>
              <w:rPr>
                <w:b/>
                <w:color w:val="auto"/>
                <w:lang w:val="ro-RO"/>
              </w:rPr>
            </w:pPr>
            <w:r w:rsidRPr="003612F5">
              <w:rPr>
                <w:b/>
                <w:color w:val="auto"/>
                <w:lang w:val="ro-RO"/>
              </w:rPr>
              <w:t>Opinia Ministerului Finanțelor</w:t>
            </w:r>
          </w:p>
        </w:tc>
      </w:tr>
      <w:tr w:rsidR="003612F5" w:rsidRPr="00542A8D" w:rsidTr="00542A8D">
        <w:trPr>
          <w:trHeight w:val="1295"/>
        </w:trPr>
        <w:tc>
          <w:tcPr>
            <w:tcW w:w="2943" w:type="dxa"/>
          </w:tcPr>
          <w:p w:rsidR="003612F5" w:rsidRPr="00D35445" w:rsidRDefault="003612F5" w:rsidP="00A5231B">
            <w:pPr>
              <w:pStyle w:val="Default"/>
              <w:rPr>
                <w:b/>
                <w:color w:val="auto"/>
                <w:lang w:val="ro-RO"/>
              </w:rPr>
            </w:pPr>
            <w:r>
              <w:rPr>
                <w:b/>
                <w:color w:val="auto"/>
                <w:lang w:val="ro-RO"/>
              </w:rPr>
              <w:t>Organizația pentru Dezvoltarea Sectorului Întreprinderilor Mici și Mijlocii</w:t>
            </w:r>
          </w:p>
        </w:tc>
        <w:tc>
          <w:tcPr>
            <w:tcW w:w="6096" w:type="dxa"/>
          </w:tcPr>
          <w:p w:rsidR="003612F5" w:rsidRPr="00D35445" w:rsidRDefault="003612F5" w:rsidP="00A5231B">
            <w:pPr>
              <w:jc w:val="both"/>
              <w:rPr>
                <w:lang w:val="ro-RO"/>
              </w:rPr>
            </w:pPr>
            <w:r>
              <w:rPr>
                <w:lang w:val="ro-RO"/>
              </w:rPr>
              <w:t>Lipsa de propuneri și obiecții.</w:t>
            </w:r>
          </w:p>
        </w:tc>
        <w:tc>
          <w:tcPr>
            <w:tcW w:w="5670" w:type="dxa"/>
          </w:tcPr>
          <w:p w:rsidR="003612F5" w:rsidRPr="00D35445" w:rsidRDefault="003612F5" w:rsidP="00A5231B">
            <w:pPr>
              <w:pStyle w:val="Default"/>
              <w:jc w:val="both"/>
              <w:rPr>
                <w:color w:val="auto"/>
                <w:lang w:val="ro-RO"/>
              </w:rPr>
            </w:pPr>
          </w:p>
        </w:tc>
      </w:tr>
      <w:tr w:rsidR="003612F5" w:rsidRPr="00542A8D" w:rsidTr="00A5231B">
        <w:trPr>
          <w:trHeight w:val="713"/>
        </w:trPr>
        <w:tc>
          <w:tcPr>
            <w:tcW w:w="2943" w:type="dxa"/>
          </w:tcPr>
          <w:p w:rsidR="003612F5" w:rsidRPr="00D35445" w:rsidRDefault="003612F5" w:rsidP="00A5231B">
            <w:pPr>
              <w:pStyle w:val="Default"/>
              <w:rPr>
                <w:b/>
                <w:color w:val="auto"/>
                <w:lang w:val="ro-RO"/>
              </w:rPr>
            </w:pPr>
            <w:r>
              <w:rPr>
                <w:b/>
                <w:color w:val="auto"/>
                <w:lang w:val="ro-RO"/>
              </w:rPr>
              <w:t>Ministerul Justiției</w:t>
            </w:r>
          </w:p>
        </w:tc>
        <w:tc>
          <w:tcPr>
            <w:tcW w:w="6096" w:type="dxa"/>
          </w:tcPr>
          <w:p w:rsidR="003612F5" w:rsidRPr="003612F5" w:rsidRDefault="003612F5" w:rsidP="00542A8D">
            <w:pPr>
              <w:pStyle w:val="ListParagraph"/>
              <w:spacing w:after="120"/>
              <w:ind w:left="1" w:firstLine="484"/>
              <w:jc w:val="both"/>
              <w:rPr>
                <w:lang w:val="ro-RO"/>
              </w:rPr>
            </w:pPr>
            <w:r w:rsidRPr="003612F5">
              <w:rPr>
                <w:lang w:val="ro-RO"/>
              </w:rPr>
              <w:t>Cu referire la proiectul Hotărârii Guvernului cu privire la stabilirea pentru anul 2021 a marjei maxime în cadrul Programului de stat „Prima Casă” (număr unic 993/MF/2020), menționăm că pct. 2 este inutil, deoarece potrivit art. 73 alin. (3) din Legea nr. 100/2017 cu privire la actele normative, actul normativ produce efecte doar cât este în vigoare și, de regulă, nu poate fi retroactiv sau ultra activ. Astfel, mențiunea precum că, mărimea marjei maxime se aplică în privința contractelor încheiate începând cu data intrării în vigoare a hotărârii, nu este necesară.</w:t>
            </w:r>
          </w:p>
        </w:tc>
        <w:tc>
          <w:tcPr>
            <w:tcW w:w="5670" w:type="dxa"/>
          </w:tcPr>
          <w:p w:rsidR="003612F5" w:rsidRDefault="003612F5" w:rsidP="00A5231B">
            <w:pPr>
              <w:pStyle w:val="Default"/>
              <w:rPr>
                <w:b/>
                <w:color w:val="auto"/>
                <w:lang w:val="ro-RO"/>
              </w:rPr>
            </w:pPr>
            <w:r w:rsidRPr="003612F5">
              <w:rPr>
                <w:b/>
                <w:color w:val="auto"/>
                <w:lang w:val="ro-RO"/>
              </w:rPr>
              <w:t>Nu se acceptă</w:t>
            </w:r>
          </w:p>
          <w:p w:rsidR="003612F5" w:rsidRPr="003612F5" w:rsidRDefault="003612F5" w:rsidP="00A5231B">
            <w:pPr>
              <w:pStyle w:val="Default"/>
              <w:rPr>
                <w:color w:val="auto"/>
                <w:lang w:val="ro-RO"/>
              </w:rPr>
            </w:pPr>
            <w:r w:rsidRPr="003612F5">
              <w:rPr>
                <w:color w:val="auto"/>
                <w:lang w:val="ro-RO"/>
              </w:rPr>
              <w:t>Prevederea respectivă este necesară pentru a exclude posibilitatea băncilor de a majora marja pentru contractele deja încheiate anterior, intrării în vigoare a proiectului de HG respectiv.</w:t>
            </w:r>
          </w:p>
        </w:tc>
      </w:tr>
      <w:tr w:rsidR="003612F5" w:rsidRPr="00542A8D" w:rsidTr="00A5231B">
        <w:trPr>
          <w:trHeight w:val="713"/>
        </w:trPr>
        <w:tc>
          <w:tcPr>
            <w:tcW w:w="2943" w:type="dxa"/>
          </w:tcPr>
          <w:p w:rsidR="003612F5" w:rsidRPr="00D35445" w:rsidRDefault="003612F5" w:rsidP="00A5231B">
            <w:pPr>
              <w:pStyle w:val="Default"/>
              <w:rPr>
                <w:b/>
                <w:color w:val="auto"/>
                <w:lang w:val="ro-RO"/>
              </w:rPr>
            </w:pPr>
            <w:r w:rsidRPr="00D35445">
              <w:rPr>
                <w:b/>
                <w:color w:val="auto"/>
                <w:lang w:val="ro-RO"/>
              </w:rPr>
              <w:t>Centrul Național Anticorupție</w:t>
            </w:r>
          </w:p>
        </w:tc>
        <w:tc>
          <w:tcPr>
            <w:tcW w:w="6096" w:type="dxa"/>
          </w:tcPr>
          <w:p w:rsidR="00542A8D" w:rsidRPr="00542A8D" w:rsidRDefault="00542A8D" w:rsidP="00542A8D">
            <w:pPr>
              <w:pStyle w:val="BodyText"/>
              <w:spacing w:before="1"/>
              <w:ind w:left="1" w:right="30"/>
              <w:jc w:val="both"/>
              <w:rPr>
                <w:rFonts w:ascii="Times New Roman" w:hAnsi="Times New Roman" w:cs="Times New Roman"/>
                <w:sz w:val="24"/>
                <w:lang w:val="ro-RO"/>
              </w:rPr>
            </w:pPr>
            <w:r>
              <w:rPr>
                <w:rFonts w:ascii="Times New Roman" w:hAnsi="Times New Roman" w:cs="Times New Roman"/>
                <w:w w:val="105"/>
                <w:sz w:val="24"/>
              </w:rPr>
              <w:t xml:space="preserve">       </w:t>
            </w:r>
            <w:r w:rsidRPr="00542A8D">
              <w:rPr>
                <w:rFonts w:ascii="Times New Roman" w:hAnsi="Times New Roman" w:cs="Times New Roman"/>
                <w:w w:val="105"/>
                <w:sz w:val="24"/>
              </w:rPr>
              <w:t xml:space="preserve">Nota </w:t>
            </w:r>
            <w:r w:rsidRPr="00542A8D">
              <w:rPr>
                <w:rFonts w:ascii="Times New Roman" w:hAnsi="Times New Roman" w:cs="Times New Roman"/>
                <w:w w:val="105"/>
                <w:sz w:val="24"/>
                <w:lang w:val="ro-RO"/>
              </w:rPr>
              <w:t>informativa nu expune</w:t>
            </w:r>
            <w:r w:rsidRPr="00542A8D">
              <w:rPr>
                <w:rFonts w:ascii="Times New Roman" w:hAnsi="Times New Roman" w:cs="Times New Roman"/>
                <w:w w:val="105"/>
                <w:sz w:val="24"/>
              </w:rPr>
              <w:t xml:space="preserve"> </w:t>
            </w:r>
            <w:r w:rsidRPr="00542A8D">
              <w:rPr>
                <w:rFonts w:ascii="Times New Roman" w:hAnsi="Times New Roman" w:cs="Times New Roman"/>
                <w:w w:val="105"/>
                <w:sz w:val="24"/>
                <w:lang w:val="ro-RO"/>
              </w:rPr>
              <w:t>condițiile</w:t>
            </w:r>
            <w:r w:rsidRPr="00542A8D">
              <w:rPr>
                <w:rFonts w:ascii="Times New Roman" w:hAnsi="Times New Roman" w:cs="Times New Roman"/>
                <w:w w:val="105"/>
                <w:sz w:val="24"/>
                <w:lang w:val="ro-RO"/>
              </w:rPr>
              <w:t xml:space="preserve"> care a</w:t>
            </w:r>
            <w:r w:rsidRPr="00542A8D">
              <w:rPr>
                <w:rFonts w:ascii="Times New Roman" w:hAnsi="Times New Roman" w:cs="Times New Roman"/>
                <w:w w:val="105"/>
                <w:sz w:val="24"/>
                <w:lang w:val="ro-RO"/>
              </w:rPr>
              <w:t>u impus elaborarea proiectului și finalitățile</w:t>
            </w:r>
            <w:r w:rsidRPr="00542A8D">
              <w:rPr>
                <w:rFonts w:ascii="Times New Roman" w:hAnsi="Times New Roman" w:cs="Times New Roman"/>
                <w:w w:val="105"/>
                <w:sz w:val="24"/>
                <w:lang w:val="ro-RO"/>
              </w:rPr>
              <w:t xml:space="preserve"> </w:t>
            </w:r>
            <w:r w:rsidRPr="00542A8D">
              <w:rPr>
                <w:rFonts w:ascii="Times New Roman" w:hAnsi="Times New Roman" w:cs="Times New Roman"/>
                <w:w w:val="105"/>
                <w:sz w:val="24"/>
                <w:lang w:val="ro-RO"/>
              </w:rPr>
              <w:t>urmărite</w:t>
            </w:r>
            <w:r w:rsidRPr="00542A8D">
              <w:rPr>
                <w:rFonts w:ascii="Times New Roman" w:hAnsi="Times New Roman" w:cs="Times New Roman"/>
                <w:w w:val="105"/>
                <w:sz w:val="24"/>
                <w:lang w:val="ro-RO"/>
              </w:rPr>
              <w:t xml:space="preserve">, in </w:t>
            </w:r>
            <w:r w:rsidRPr="00542A8D">
              <w:rPr>
                <w:rFonts w:ascii="Times New Roman" w:hAnsi="Times New Roman" w:cs="Times New Roman"/>
                <w:w w:val="105"/>
                <w:sz w:val="24"/>
                <w:lang w:val="ro-RO"/>
              </w:rPr>
              <w:t>condițiile</w:t>
            </w:r>
            <w:r w:rsidRPr="00542A8D">
              <w:rPr>
                <w:rFonts w:ascii="Times New Roman" w:hAnsi="Times New Roman" w:cs="Times New Roman"/>
                <w:w w:val="105"/>
                <w:sz w:val="24"/>
                <w:lang w:val="ro-RO"/>
              </w:rPr>
              <w:t xml:space="preserve"> in care se propune </w:t>
            </w:r>
            <w:r w:rsidRPr="00542A8D">
              <w:rPr>
                <w:rFonts w:ascii="Times New Roman" w:hAnsi="Times New Roman" w:cs="Times New Roman"/>
                <w:w w:val="105"/>
                <w:sz w:val="24"/>
                <w:lang w:val="ro-RO"/>
              </w:rPr>
              <w:t>mărirea</w:t>
            </w:r>
            <w:r w:rsidRPr="00542A8D">
              <w:rPr>
                <w:rFonts w:ascii="Times New Roman" w:hAnsi="Times New Roman" w:cs="Times New Roman"/>
                <w:w w:val="105"/>
                <w:sz w:val="24"/>
                <w:lang w:val="ro-RO"/>
              </w:rPr>
              <w:t xml:space="preserve"> valorii marjei maxime pentru anul 2021 cu 1 punct procentual spre deosebire de anul 2020.</w:t>
            </w:r>
          </w:p>
          <w:p w:rsidR="00542A8D" w:rsidRPr="00542A8D" w:rsidRDefault="00542A8D" w:rsidP="00542A8D">
            <w:pPr>
              <w:pStyle w:val="BodyText"/>
              <w:ind w:right="30"/>
              <w:jc w:val="both"/>
              <w:rPr>
                <w:rFonts w:ascii="Times New Roman" w:hAnsi="Times New Roman" w:cs="Times New Roman"/>
                <w:sz w:val="24"/>
                <w:lang w:val="ro-RO"/>
              </w:rPr>
            </w:pPr>
            <w:r w:rsidRPr="00542A8D">
              <w:rPr>
                <w:rFonts w:ascii="Times New Roman" w:hAnsi="Times New Roman" w:cs="Times New Roman"/>
                <w:w w:val="105"/>
                <w:sz w:val="24"/>
                <w:lang w:val="ro-RO"/>
              </w:rPr>
              <w:t xml:space="preserve">Prin urmare, pentru promovarea argumentata a proiectului se recomanda completarea notei informative prin prisma analizei expuse in Raportul de expertiza </w:t>
            </w:r>
            <w:r w:rsidRPr="00542A8D">
              <w:rPr>
                <w:rFonts w:ascii="Times New Roman" w:hAnsi="Times New Roman" w:cs="Times New Roman"/>
                <w:w w:val="105"/>
                <w:sz w:val="24"/>
                <w:lang w:val="ro-RO"/>
              </w:rPr>
              <w:t>anticorupție</w:t>
            </w:r>
          </w:p>
          <w:p w:rsidR="003612F5" w:rsidRPr="00542A8D" w:rsidRDefault="003612F5" w:rsidP="00542A8D">
            <w:pPr>
              <w:pStyle w:val="NormalWeb"/>
              <w:shd w:val="clear" w:color="auto" w:fill="FDFDFD"/>
              <w:spacing w:before="0" w:beforeAutospacing="0" w:after="0" w:afterAutospacing="0"/>
              <w:ind w:left="360"/>
              <w:rPr>
                <w:lang w:val="en-US"/>
              </w:rPr>
            </w:pPr>
          </w:p>
        </w:tc>
        <w:tc>
          <w:tcPr>
            <w:tcW w:w="5670" w:type="dxa"/>
          </w:tcPr>
          <w:p w:rsidR="003612F5" w:rsidRDefault="00542A8D" w:rsidP="00A5231B">
            <w:pPr>
              <w:pStyle w:val="Default"/>
              <w:rPr>
                <w:b/>
                <w:color w:val="auto"/>
                <w:lang w:val="ro-RO"/>
              </w:rPr>
            </w:pPr>
            <w:r w:rsidRPr="00542A8D">
              <w:rPr>
                <w:b/>
                <w:color w:val="auto"/>
                <w:lang w:val="ro-RO"/>
              </w:rPr>
              <w:t>Nu se acceptă</w:t>
            </w:r>
          </w:p>
          <w:p w:rsidR="00542A8D" w:rsidRPr="00542A8D" w:rsidRDefault="00542A8D" w:rsidP="00A5231B">
            <w:pPr>
              <w:pStyle w:val="Default"/>
              <w:rPr>
                <w:b/>
                <w:color w:val="auto"/>
                <w:lang w:val="ro-RO"/>
              </w:rPr>
            </w:pPr>
            <w:r w:rsidRPr="00542A8D">
              <w:rPr>
                <w:color w:val="auto"/>
                <w:lang w:val="ro-RO"/>
              </w:rPr>
              <w:t>Proiectul este elaborat pentru a pune în aplicare prevederile</w:t>
            </w:r>
            <w:r>
              <w:rPr>
                <w:b/>
                <w:color w:val="auto"/>
                <w:lang w:val="ro-RO"/>
              </w:rPr>
              <w:t xml:space="preserve"> </w:t>
            </w:r>
            <w:r w:rsidRPr="00B47EEF">
              <w:rPr>
                <w:lang w:val="ro-MD"/>
              </w:rPr>
              <w:t xml:space="preserve">art.6 alin.(2) lit.b) </w:t>
            </w:r>
            <w:r w:rsidRPr="00B47EEF">
              <w:rPr>
                <w:rFonts w:eastAsia="Times New Roman"/>
                <w:noProof/>
                <w:lang w:val="ro-MD" w:eastAsia="ru-RU"/>
              </w:rPr>
              <w:t>din Legea nr.293/2017 privind unele măsuri în vederea implementării Programului de stat ”Prima casă”,</w:t>
            </w:r>
            <w:r>
              <w:rPr>
                <w:rFonts w:eastAsia="Times New Roman"/>
                <w:noProof/>
                <w:lang w:val="ro-MD" w:eastAsia="ru-RU"/>
              </w:rPr>
              <w:t xml:space="preserve"> prin care Guvernul precizează anual marja maximă (o componentă a ratei dobînzii) , în limita a 3% anual.</w:t>
            </w:r>
          </w:p>
        </w:tc>
      </w:tr>
    </w:tbl>
    <w:p w:rsidR="003612F5" w:rsidRPr="00D35445" w:rsidRDefault="003612F5" w:rsidP="003612F5">
      <w:pPr>
        <w:rPr>
          <w:lang w:val="ro-RO"/>
        </w:rPr>
      </w:pPr>
      <w:bookmarkStart w:id="0" w:name="_GoBack"/>
      <w:bookmarkEnd w:id="0"/>
    </w:p>
    <w:p w:rsidR="000B360D" w:rsidRPr="003612F5" w:rsidRDefault="00542A8D">
      <w:pPr>
        <w:rPr>
          <w:lang w:val="ro-RO"/>
        </w:rPr>
      </w:pPr>
    </w:p>
    <w:sectPr w:rsidR="000B360D" w:rsidRPr="003612F5" w:rsidSect="00A567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2C0E"/>
    <w:multiLevelType w:val="hybridMultilevel"/>
    <w:tmpl w:val="D4D69DB0"/>
    <w:lvl w:ilvl="0" w:tplc="F4A2B06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A9A6278"/>
    <w:multiLevelType w:val="hybridMultilevel"/>
    <w:tmpl w:val="D9D8B99A"/>
    <w:lvl w:ilvl="0" w:tplc="8C58929C">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A1472C"/>
    <w:multiLevelType w:val="hybridMultilevel"/>
    <w:tmpl w:val="12C44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F5"/>
    <w:rsid w:val="003612F5"/>
    <w:rsid w:val="004158A6"/>
    <w:rsid w:val="00542A8D"/>
    <w:rsid w:val="007014AB"/>
    <w:rsid w:val="00B424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1038"/>
  <w15:chartTrackingRefBased/>
  <w15:docId w15:val="{DB0D74D7-5214-4CC6-A54E-5AD82961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F5"/>
    <w:pPr>
      <w:spacing w:after="0" w:line="240" w:lineRule="auto"/>
    </w:pPr>
    <w:rPr>
      <w:rFonts w:ascii="Times New Roman" w:eastAsia="Times New Roman" w:hAnsi="Times New Roman" w:cs="Times New Roman"/>
      <w:sz w:val="24"/>
      <w:szCs w:val="24"/>
      <w:lang w:val="ru-RU" w:eastAsia="ru-RU"/>
    </w:rPr>
  </w:style>
  <w:style w:type="paragraph" w:styleId="Heading4">
    <w:name w:val="heading 4"/>
    <w:basedOn w:val="Normal"/>
    <w:link w:val="Heading4Char"/>
    <w:uiPriority w:val="9"/>
    <w:qFormat/>
    <w:rsid w:val="003612F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12F5"/>
    <w:rPr>
      <w:rFonts w:ascii="Times New Roman" w:eastAsia="Times New Roman" w:hAnsi="Times New Roman" w:cs="Times New Roman"/>
      <w:b/>
      <w:bCs/>
      <w:sz w:val="24"/>
      <w:szCs w:val="24"/>
      <w:lang w:val="en-GB" w:eastAsia="en-GB"/>
    </w:rPr>
  </w:style>
  <w:style w:type="paragraph" w:customStyle="1" w:styleId="Default">
    <w:name w:val="Default"/>
    <w:rsid w:val="003612F5"/>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TableGrid">
    <w:name w:val="Table Grid"/>
    <w:basedOn w:val="TableNormal"/>
    <w:uiPriority w:val="59"/>
    <w:rsid w:val="003612F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2F5"/>
    <w:pPr>
      <w:ind w:left="720"/>
      <w:contextualSpacing/>
    </w:pPr>
  </w:style>
  <w:style w:type="paragraph" w:styleId="NormalWeb">
    <w:name w:val="Normal (Web)"/>
    <w:basedOn w:val="Normal"/>
    <w:uiPriority w:val="99"/>
    <w:semiHidden/>
    <w:unhideWhenUsed/>
    <w:rsid w:val="003612F5"/>
    <w:pPr>
      <w:spacing w:before="100" w:beforeAutospacing="1" w:after="100" w:afterAutospacing="1"/>
    </w:pPr>
    <w:rPr>
      <w:lang w:val="en-GB" w:eastAsia="en-GB"/>
    </w:rPr>
  </w:style>
  <w:style w:type="paragraph" w:styleId="BodyText">
    <w:name w:val="Body Text"/>
    <w:basedOn w:val="Normal"/>
    <w:link w:val="BodyTextChar"/>
    <w:uiPriority w:val="1"/>
    <w:qFormat/>
    <w:rsid w:val="00542A8D"/>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542A8D"/>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941669">
      <w:bodyDiv w:val="1"/>
      <w:marLeft w:val="0"/>
      <w:marRight w:val="0"/>
      <w:marTop w:val="0"/>
      <w:marBottom w:val="0"/>
      <w:divBdr>
        <w:top w:val="none" w:sz="0" w:space="0" w:color="auto"/>
        <w:left w:val="none" w:sz="0" w:space="0" w:color="auto"/>
        <w:bottom w:val="none" w:sz="0" w:space="0" w:color="auto"/>
        <w:right w:val="none" w:sz="0" w:space="0" w:color="auto"/>
      </w:divBdr>
      <w:divsChild>
        <w:div w:id="152843644">
          <w:marLeft w:val="0"/>
          <w:marRight w:val="0"/>
          <w:marTop w:val="0"/>
          <w:marBottom w:val="0"/>
          <w:divBdr>
            <w:top w:val="none" w:sz="0" w:space="0" w:color="auto"/>
            <w:left w:val="none" w:sz="0" w:space="0" w:color="auto"/>
            <w:bottom w:val="none" w:sz="0" w:space="0" w:color="auto"/>
            <w:right w:val="none" w:sz="0" w:space="0" w:color="auto"/>
          </w:divBdr>
        </w:div>
        <w:div w:id="173419509">
          <w:marLeft w:val="0"/>
          <w:marRight w:val="0"/>
          <w:marTop w:val="120"/>
          <w:marBottom w:val="0"/>
          <w:divBdr>
            <w:top w:val="none" w:sz="0" w:space="0" w:color="auto"/>
            <w:left w:val="none" w:sz="0" w:space="0" w:color="auto"/>
            <w:bottom w:val="none" w:sz="0" w:space="0" w:color="auto"/>
            <w:right w:val="none" w:sz="0" w:space="0" w:color="auto"/>
          </w:divBdr>
          <w:divsChild>
            <w:div w:id="1524057492">
              <w:marLeft w:val="0"/>
              <w:marRight w:val="0"/>
              <w:marTop w:val="0"/>
              <w:marBottom w:val="0"/>
              <w:divBdr>
                <w:top w:val="none" w:sz="0" w:space="0" w:color="auto"/>
                <w:left w:val="none" w:sz="0" w:space="0" w:color="auto"/>
                <w:bottom w:val="none" w:sz="0" w:space="0" w:color="auto"/>
                <w:right w:val="none" w:sz="0" w:space="0" w:color="auto"/>
              </w:divBdr>
            </w:div>
            <w:div w:id="1626353100">
              <w:marLeft w:val="0"/>
              <w:marRight w:val="0"/>
              <w:marTop w:val="0"/>
              <w:marBottom w:val="0"/>
              <w:divBdr>
                <w:top w:val="none" w:sz="0" w:space="0" w:color="auto"/>
                <w:left w:val="none" w:sz="0" w:space="0" w:color="auto"/>
                <w:bottom w:val="none" w:sz="0" w:space="0" w:color="auto"/>
                <w:right w:val="none" w:sz="0" w:space="0" w:color="auto"/>
              </w:divBdr>
            </w:div>
            <w:div w:id="67193812">
              <w:marLeft w:val="0"/>
              <w:marRight w:val="0"/>
              <w:marTop w:val="0"/>
              <w:marBottom w:val="0"/>
              <w:divBdr>
                <w:top w:val="none" w:sz="0" w:space="0" w:color="auto"/>
                <w:left w:val="none" w:sz="0" w:space="0" w:color="auto"/>
                <w:bottom w:val="none" w:sz="0" w:space="0" w:color="auto"/>
                <w:right w:val="none" w:sz="0" w:space="0" w:color="auto"/>
              </w:divBdr>
            </w:div>
            <w:div w:id="266275022">
              <w:marLeft w:val="0"/>
              <w:marRight w:val="0"/>
              <w:marTop w:val="0"/>
              <w:marBottom w:val="0"/>
              <w:divBdr>
                <w:top w:val="none" w:sz="0" w:space="0" w:color="auto"/>
                <w:left w:val="none" w:sz="0" w:space="0" w:color="auto"/>
                <w:bottom w:val="none" w:sz="0" w:space="0" w:color="auto"/>
                <w:right w:val="none" w:sz="0" w:space="0" w:color="auto"/>
              </w:divBdr>
            </w:div>
            <w:div w:id="1659190566">
              <w:marLeft w:val="0"/>
              <w:marRight w:val="0"/>
              <w:marTop w:val="0"/>
              <w:marBottom w:val="0"/>
              <w:divBdr>
                <w:top w:val="none" w:sz="0" w:space="0" w:color="auto"/>
                <w:left w:val="none" w:sz="0" w:space="0" w:color="auto"/>
                <w:bottom w:val="none" w:sz="0" w:space="0" w:color="auto"/>
                <w:right w:val="none" w:sz="0" w:space="0" w:color="auto"/>
              </w:divBdr>
            </w:div>
            <w:div w:id="1710717557">
              <w:marLeft w:val="0"/>
              <w:marRight w:val="0"/>
              <w:marTop w:val="0"/>
              <w:marBottom w:val="0"/>
              <w:divBdr>
                <w:top w:val="none" w:sz="0" w:space="0" w:color="auto"/>
                <w:left w:val="none" w:sz="0" w:space="0" w:color="auto"/>
                <w:bottom w:val="none" w:sz="0" w:space="0" w:color="auto"/>
                <w:right w:val="none" w:sz="0" w:space="0" w:color="auto"/>
              </w:divBdr>
            </w:div>
          </w:divsChild>
        </w:div>
        <w:div w:id="1691226326">
          <w:marLeft w:val="0"/>
          <w:marRight w:val="0"/>
          <w:marTop w:val="120"/>
          <w:marBottom w:val="0"/>
          <w:divBdr>
            <w:top w:val="none" w:sz="0" w:space="0" w:color="auto"/>
            <w:left w:val="none" w:sz="0" w:space="0" w:color="auto"/>
            <w:bottom w:val="none" w:sz="0" w:space="0" w:color="auto"/>
            <w:right w:val="none" w:sz="0" w:space="0" w:color="auto"/>
          </w:divBdr>
          <w:divsChild>
            <w:div w:id="1924531050">
              <w:marLeft w:val="0"/>
              <w:marRight w:val="0"/>
              <w:marTop w:val="0"/>
              <w:marBottom w:val="0"/>
              <w:divBdr>
                <w:top w:val="none" w:sz="0" w:space="0" w:color="auto"/>
                <w:left w:val="none" w:sz="0" w:space="0" w:color="auto"/>
                <w:bottom w:val="none" w:sz="0" w:space="0" w:color="auto"/>
                <w:right w:val="none" w:sz="0" w:space="0" w:color="auto"/>
              </w:divBdr>
            </w:div>
            <w:div w:id="1102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280</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Darii Ina</dc:creator>
  <cp:keywords/>
  <dc:description/>
  <cp:lastModifiedBy>Darii Ina</cp:lastModifiedBy>
  <cp:revision>2</cp:revision>
  <dcterms:created xsi:type="dcterms:W3CDTF">2020-12-15T15:47:00Z</dcterms:created>
  <dcterms:modified xsi:type="dcterms:W3CDTF">2020-12-22T07:26:00Z</dcterms:modified>
</cp:coreProperties>
</file>