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97" w:rsidRPr="00D35445" w:rsidRDefault="00A56797" w:rsidP="00A56797">
      <w:pPr>
        <w:pStyle w:val="Default"/>
        <w:jc w:val="center"/>
        <w:rPr>
          <w:b/>
          <w:lang w:val="en-US"/>
        </w:rPr>
      </w:pPr>
      <w:proofErr w:type="spellStart"/>
      <w:r w:rsidRPr="00D35445">
        <w:rPr>
          <w:b/>
          <w:lang w:val="en-US"/>
        </w:rPr>
        <w:t>Sinteza</w:t>
      </w:r>
      <w:proofErr w:type="spellEnd"/>
    </w:p>
    <w:p w:rsidR="00A56797" w:rsidRPr="00D35445" w:rsidRDefault="00A56797" w:rsidP="00A56797">
      <w:pPr>
        <w:jc w:val="center"/>
        <w:rPr>
          <w:rFonts w:eastAsia="Batang"/>
          <w:b/>
          <w:bCs/>
          <w:lang w:val="en-US"/>
        </w:rPr>
      </w:pPr>
      <w:proofErr w:type="spellStart"/>
      <w:r w:rsidRPr="00D35445">
        <w:rPr>
          <w:b/>
          <w:lang w:val="en-US"/>
        </w:rPr>
        <w:t>propunerilor</w:t>
      </w:r>
      <w:proofErr w:type="spellEnd"/>
      <w:r w:rsidRPr="00D35445">
        <w:rPr>
          <w:b/>
          <w:lang w:val="en-US"/>
        </w:rPr>
        <w:t xml:space="preserve"> </w:t>
      </w:r>
      <w:proofErr w:type="spellStart"/>
      <w:r w:rsidRPr="00D35445">
        <w:rPr>
          <w:b/>
          <w:lang w:val="en-US"/>
        </w:rPr>
        <w:t>și</w:t>
      </w:r>
      <w:proofErr w:type="spellEnd"/>
      <w:r w:rsidRPr="00D35445">
        <w:rPr>
          <w:b/>
          <w:lang w:val="en-US"/>
        </w:rPr>
        <w:t xml:space="preserve"> </w:t>
      </w:r>
      <w:proofErr w:type="spellStart"/>
      <w:r w:rsidRPr="00D35445">
        <w:rPr>
          <w:b/>
          <w:lang w:val="en-US"/>
        </w:rPr>
        <w:t>obiecțiilor</w:t>
      </w:r>
      <w:proofErr w:type="spellEnd"/>
      <w:r w:rsidRPr="00D35445">
        <w:rPr>
          <w:b/>
          <w:lang w:val="en-US"/>
        </w:rPr>
        <w:t xml:space="preserve"> la </w:t>
      </w:r>
      <w:proofErr w:type="spellStart"/>
      <w:r w:rsidRPr="00D35445">
        <w:rPr>
          <w:b/>
          <w:lang w:val="en-US"/>
        </w:rPr>
        <w:t>proiectul</w:t>
      </w:r>
      <w:proofErr w:type="spellEnd"/>
      <w:r w:rsidRPr="00D35445">
        <w:rPr>
          <w:b/>
          <w:lang w:val="en-US"/>
        </w:rPr>
        <w:t xml:space="preserve"> </w:t>
      </w:r>
      <w:r w:rsidRPr="00D35445">
        <w:rPr>
          <w:rFonts w:eastAsia="Batang"/>
          <w:b/>
          <w:bCs/>
          <w:lang w:val="en-US"/>
        </w:rPr>
        <w:t xml:space="preserve">de </w:t>
      </w:r>
      <w:proofErr w:type="spellStart"/>
      <w:r w:rsidRPr="00D35445">
        <w:rPr>
          <w:rFonts w:eastAsia="Batang"/>
          <w:b/>
          <w:bCs/>
          <w:lang w:val="en-US"/>
        </w:rPr>
        <w:t>lege</w:t>
      </w:r>
      <w:proofErr w:type="spellEnd"/>
      <w:r w:rsidRPr="00D35445">
        <w:rPr>
          <w:rFonts w:eastAsia="Batang"/>
          <w:b/>
          <w:bCs/>
          <w:lang w:val="en-US"/>
        </w:rPr>
        <w:t xml:space="preserve"> </w:t>
      </w:r>
      <w:proofErr w:type="spellStart"/>
      <w:r w:rsidRPr="00D35445">
        <w:rPr>
          <w:rFonts w:eastAsia="Batang"/>
          <w:b/>
          <w:bCs/>
          <w:lang w:val="en-US"/>
        </w:rPr>
        <w:t>pentru</w:t>
      </w:r>
      <w:proofErr w:type="spellEnd"/>
      <w:r w:rsidRPr="00D35445">
        <w:rPr>
          <w:rFonts w:eastAsia="Batang"/>
          <w:b/>
          <w:bCs/>
          <w:lang w:val="en-US"/>
        </w:rPr>
        <w:t xml:space="preserve"> </w:t>
      </w:r>
      <w:proofErr w:type="spellStart"/>
      <w:r w:rsidRPr="00D35445">
        <w:rPr>
          <w:rFonts w:eastAsia="Batang"/>
          <w:b/>
          <w:bCs/>
          <w:lang w:val="en-US"/>
        </w:rPr>
        <w:t>modificarea</w:t>
      </w:r>
      <w:proofErr w:type="spellEnd"/>
      <w:r w:rsidRPr="00D35445">
        <w:rPr>
          <w:rFonts w:eastAsia="Batang"/>
          <w:b/>
          <w:bCs/>
          <w:lang w:val="en-US"/>
        </w:rPr>
        <w:t xml:space="preserve"> </w:t>
      </w:r>
      <w:proofErr w:type="spellStart"/>
      <w:r w:rsidRPr="00D35445">
        <w:rPr>
          <w:rFonts w:eastAsia="Batang"/>
          <w:b/>
          <w:bCs/>
          <w:lang w:val="en-US"/>
        </w:rPr>
        <w:t>Legii</w:t>
      </w:r>
      <w:proofErr w:type="spellEnd"/>
      <w:r w:rsidRPr="00D35445">
        <w:rPr>
          <w:rFonts w:eastAsia="Batang"/>
          <w:b/>
          <w:bCs/>
          <w:lang w:val="en-US"/>
        </w:rPr>
        <w:t xml:space="preserve"> </w:t>
      </w:r>
      <w:proofErr w:type="spellStart"/>
      <w:r w:rsidRPr="00D35445">
        <w:rPr>
          <w:rFonts w:eastAsia="Batang"/>
          <w:b/>
          <w:bCs/>
          <w:lang w:val="en-US"/>
        </w:rPr>
        <w:t>nr</w:t>
      </w:r>
      <w:proofErr w:type="spellEnd"/>
      <w:r w:rsidRPr="00D35445">
        <w:rPr>
          <w:rFonts w:eastAsia="Batang"/>
          <w:b/>
          <w:bCs/>
          <w:lang w:val="en-US"/>
        </w:rPr>
        <w:t xml:space="preserve">. 293/2017 </w:t>
      </w:r>
      <w:proofErr w:type="spellStart"/>
      <w:r w:rsidRPr="00D35445">
        <w:rPr>
          <w:rFonts w:eastAsia="Batang"/>
          <w:b/>
          <w:bCs/>
          <w:lang w:val="en-US"/>
        </w:rPr>
        <w:t>privind</w:t>
      </w:r>
      <w:proofErr w:type="spellEnd"/>
      <w:r w:rsidRPr="00D35445">
        <w:rPr>
          <w:rFonts w:eastAsia="Batang"/>
          <w:b/>
          <w:bCs/>
          <w:lang w:val="en-US"/>
        </w:rPr>
        <w:t xml:space="preserve"> </w:t>
      </w:r>
      <w:proofErr w:type="spellStart"/>
      <w:r w:rsidRPr="00D35445">
        <w:rPr>
          <w:rFonts w:eastAsia="Batang"/>
          <w:b/>
          <w:bCs/>
          <w:lang w:val="en-US"/>
        </w:rPr>
        <w:t>unele</w:t>
      </w:r>
      <w:proofErr w:type="spellEnd"/>
      <w:r w:rsidRPr="00D35445">
        <w:rPr>
          <w:rFonts w:eastAsia="Batang"/>
          <w:b/>
          <w:bCs/>
          <w:lang w:val="en-US"/>
        </w:rPr>
        <w:t xml:space="preserve"> </w:t>
      </w:r>
      <w:proofErr w:type="spellStart"/>
      <w:r w:rsidRPr="00D35445">
        <w:rPr>
          <w:rFonts w:eastAsia="Batang"/>
          <w:b/>
          <w:bCs/>
          <w:lang w:val="en-US"/>
        </w:rPr>
        <w:t>măsuri</w:t>
      </w:r>
      <w:proofErr w:type="spellEnd"/>
      <w:r w:rsidRPr="00D35445">
        <w:rPr>
          <w:rFonts w:eastAsia="Batang"/>
          <w:b/>
          <w:bCs/>
          <w:lang w:val="en-US"/>
        </w:rPr>
        <w:t xml:space="preserve"> </w:t>
      </w:r>
      <w:proofErr w:type="spellStart"/>
      <w:r w:rsidRPr="00D35445">
        <w:rPr>
          <w:rFonts w:eastAsia="Batang"/>
          <w:b/>
          <w:bCs/>
          <w:lang w:val="en-US"/>
        </w:rPr>
        <w:t>în</w:t>
      </w:r>
      <w:proofErr w:type="spellEnd"/>
      <w:r w:rsidRPr="00D35445">
        <w:rPr>
          <w:rFonts w:eastAsia="Batang"/>
          <w:b/>
          <w:bCs/>
          <w:lang w:val="en-US"/>
        </w:rPr>
        <w:t xml:space="preserve"> </w:t>
      </w:r>
      <w:proofErr w:type="spellStart"/>
      <w:r w:rsidRPr="00D35445">
        <w:rPr>
          <w:rFonts w:eastAsia="Batang"/>
          <w:b/>
          <w:bCs/>
          <w:lang w:val="en-US"/>
        </w:rPr>
        <w:t>vederea</w:t>
      </w:r>
      <w:proofErr w:type="spellEnd"/>
      <w:r w:rsidRPr="00D35445">
        <w:rPr>
          <w:rFonts w:eastAsia="Batang"/>
          <w:b/>
          <w:bCs/>
          <w:lang w:val="en-US"/>
        </w:rPr>
        <w:t xml:space="preserve"> </w:t>
      </w:r>
      <w:proofErr w:type="spellStart"/>
      <w:r w:rsidRPr="00D35445">
        <w:rPr>
          <w:rFonts w:eastAsia="Batang"/>
          <w:b/>
          <w:bCs/>
          <w:lang w:val="en-US"/>
        </w:rPr>
        <w:t>implementării</w:t>
      </w:r>
      <w:proofErr w:type="spellEnd"/>
      <w:r w:rsidRPr="00D35445">
        <w:rPr>
          <w:rFonts w:eastAsia="Batang"/>
          <w:b/>
          <w:bCs/>
          <w:lang w:val="en-US"/>
        </w:rPr>
        <w:t xml:space="preserve"> </w:t>
      </w:r>
      <w:proofErr w:type="spellStart"/>
      <w:r w:rsidRPr="00D35445">
        <w:rPr>
          <w:rFonts w:eastAsia="Batang"/>
          <w:b/>
          <w:bCs/>
          <w:lang w:val="en-US"/>
        </w:rPr>
        <w:t>Programului</w:t>
      </w:r>
      <w:proofErr w:type="spellEnd"/>
      <w:r w:rsidRPr="00D35445">
        <w:rPr>
          <w:rFonts w:eastAsia="Batang"/>
          <w:b/>
          <w:bCs/>
          <w:lang w:val="en-US"/>
        </w:rPr>
        <w:t xml:space="preserve"> de stat „Prima </w:t>
      </w:r>
      <w:proofErr w:type="spellStart"/>
      <w:r w:rsidRPr="00D35445">
        <w:rPr>
          <w:rFonts w:eastAsia="Batang"/>
          <w:b/>
          <w:bCs/>
          <w:lang w:val="en-US"/>
        </w:rPr>
        <w:t>casă</w:t>
      </w:r>
      <w:proofErr w:type="spellEnd"/>
      <w:r w:rsidRPr="00D35445">
        <w:rPr>
          <w:rFonts w:eastAsia="Batang"/>
          <w:b/>
          <w:bCs/>
          <w:lang w:val="en-US"/>
        </w:rPr>
        <w:t xml:space="preserve">”” </w:t>
      </w:r>
    </w:p>
    <w:tbl>
      <w:tblPr>
        <w:tblStyle w:val="Tabelgril"/>
        <w:tblW w:w="14709" w:type="dxa"/>
        <w:tblLook w:val="04A0" w:firstRow="1" w:lastRow="0" w:firstColumn="1" w:lastColumn="0" w:noHBand="0" w:noVBand="1"/>
      </w:tblPr>
      <w:tblGrid>
        <w:gridCol w:w="2943"/>
        <w:gridCol w:w="6096"/>
        <w:gridCol w:w="5670"/>
      </w:tblGrid>
      <w:tr w:rsidR="00A56797" w:rsidRPr="00D35445" w:rsidTr="00E30CA3">
        <w:trPr>
          <w:tblHeader/>
        </w:trPr>
        <w:tc>
          <w:tcPr>
            <w:tcW w:w="2943" w:type="dxa"/>
          </w:tcPr>
          <w:p w:rsidR="00A56797" w:rsidRPr="00D35445" w:rsidRDefault="00A56797" w:rsidP="00E30CA3">
            <w:pPr>
              <w:pStyle w:val="Default"/>
              <w:jc w:val="center"/>
              <w:rPr>
                <w:b/>
                <w:color w:val="auto"/>
                <w:lang w:val="en-US"/>
              </w:rPr>
            </w:pPr>
          </w:p>
          <w:p w:rsidR="00A56797" w:rsidRPr="00D35445" w:rsidRDefault="00A56797" w:rsidP="00E30CA3">
            <w:pPr>
              <w:pStyle w:val="Default"/>
              <w:jc w:val="center"/>
              <w:rPr>
                <w:b/>
                <w:color w:val="auto"/>
                <w:lang w:val="en-US"/>
              </w:rPr>
            </w:pPr>
            <w:r w:rsidRPr="00D35445">
              <w:rPr>
                <w:b/>
                <w:color w:val="auto"/>
                <w:lang w:val="en-US"/>
              </w:rPr>
              <w:t xml:space="preserve">Autoritatea </w:t>
            </w:r>
          </w:p>
          <w:p w:rsidR="00A56797" w:rsidRPr="00D35445" w:rsidRDefault="00A56797" w:rsidP="00E30CA3">
            <w:pPr>
              <w:pStyle w:val="Default"/>
              <w:jc w:val="center"/>
              <w:rPr>
                <w:b/>
                <w:color w:val="auto"/>
              </w:rPr>
            </w:pPr>
          </w:p>
        </w:tc>
        <w:tc>
          <w:tcPr>
            <w:tcW w:w="6096" w:type="dxa"/>
          </w:tcPr>
          <w:p w:rsidR="00A56797" w:rsidRPr="00D35445" w:rsidRDefault="00A56797" w:rsidP="00E30CA3">
            <w:pPr>
              <w:pStyle w:val="Default"/>
              <w:jc w:val="center"/>
              <w:rPr>
                <w:b/>
                <w:color w:val="auto"/>
              </w:rPr>
            </w:pPr>
          </w:p>
          <w:p w:rsidR="00A56797" w:rsidRPr="00D35445" w:rsidRDefault="00A56797" w:rsidP="00E30CA3">
            <w:pPr>
              <w:pStyle w:val="Default"/>
              <w:jc w:val="center"/>
              <w:rPr>
                <w:b/>
                <w:color w:val="auto"/>
              </w:rPr>
            </w:pPr>
            <w:r w:rsidRPr="00D35445">
              <w:rPr>
                <w:b/>
                <w:color w:val="auto"/>
              </w:rPr>
              <w:t xml:space="preserve">Conținutul propunerii </w:t>
            </w:r>
            <w:proofErr w:type="spellStart"/>
            <w:r w:rsidRPr="00D35445">
              <w:rPr>
                <w:b/>
                <w:color w:val="auto"/>
              </w:rPr>
              <w:t>sau</w:t>
            </w:r>
            <w:proofErr w:type="spellEnd"/>
            <w:r w:rsidRPr="00D35445">
              <w:rPr>
                <w:b/>
                <w:color w:val="auto"/>
              </w:rPr>
              <w:t xml:space="preserve"> obiecției</w:t>
            </w:r>
          </w:p>
        </w:tc>
        <w:tc>
          <w:tcPr>
            <w:tcW w:w="5670" w:type="dxa"/>
          </w:tcPr>
          <w:p w:rsidR="00A56797" w:rsidRPr="00D35445" w:rsidRDefault="00A56797" w:rsidP="00E30CA3">
            <w:pPr>
              <w:pStyle w:val="Default"/>
              <w:jc w:val="center"/>
              <w:rPr>
                <w:b/>
                <w:color w:val="auto"/>
              </w:rPr>
            </w:pPr>
          </w:p>
          <w:p w:rsidR="00A56797" w:rsidRPr="00D35445" w:rsidRDefault="00A56797" w:rsidP="00E30CA3">
            <w:pPr>
              <w:pStyle w:val="Default"/>
              <w:jc w:val="center"/>
              <w:rPr>
                <w:b/>
                <w:color w:val="auto"/>
              </w:rPr>
            </w:pPr>
            <w:r w:rsidRPr="00D35445">
              <w:rPr>
                <w:b/>
                <w:color w:val="auto"/>
              </w:rPr>
              <w:t>Opinia Ministerului Finanțelor</w:t>
            </w:r>
          </w:p>
        </w:tc>
      </w:tr>
      <w:tr w:rsidR="00A56797" w:rsidRPr="007C6AEB" w:rsidTr="00F772AE">
        <w:trPr>
          <w:trHeight w:val="2553"/>
        </w:trPr>
        <w:tc>
          <w:tcPr>
            <w:tcW w:w="2943" w:type="dxa"/>
          </w:tcPr>
          <w:p w:rsidR="00A56797" w:rsidRPr="00D35445" w:rsidRDefault="00A56797" w:rsidP="00A56797">
            <w:pPr>
              <w:pStyle w:val="Default"/>
              <w:rPr>
                <w:b/>
                <w:color w:val="auto"/>
                <w:lang w:val="ro-RO"/>
              </w:rPr>
            </w:pPr>
            <w:r w:rsidRPr="00D35445">
              <w:rPr>
                <w:b/>
                <w:color w:val="auto"/>
                <w:lang w:val="ro-RO"/>
              </w:rPr>
              <w:t>Centrul Național Anticorupție</w:t>
            </w:r>
          </w:p>
        </w:tc>
        <w:tc>
          <w:tcPr>
            <w:tcW w:w="6096" w:type="dxa"/>
          </w:tcPr>
          <w:p w:rsidR="00A56797" w:rsidRPr="00D35445" w:rsidRDefault="00A56797" w:rsidP="00A56797">
            <w:pPr>
              <w:pStyle w:val="Listparagraf"/>
              <w:numPr>
                <w:ilvl w:val="0"/>
                <w:numId w:val="2"/>
              </w:numPr>
              <w:jc w:val="both"/>
              <w:rPr>
                <w:lang w:val="ro-RO"/>
              </w:rPr>
            </w:pPr>
            <w:r w:rsidRPr="00D35445">
              <w:rPr>
                <w:lang w:val="ro-RO"/>
              </w:rPr>
              <w:t xml:space="preserve">Înlocuirea sintagmei </w:t>
            </w:r>
            <w:r w:rsidRPr="00D35445">
              <w:rPr>
                <w:b/>
                <w:lang w:val="ro-RO"/>
              </w:rPr>
              <w:t>„suprafața locuinței deținute”</w:t>
            </w:r>
            <w:r w:rsidRPr="00D35445">
              <w:rPr>
                <w:lang w:val="ro-RO"/>
              </w:rPr>
              <w:t xml:space="preserve"> cu sintagma </w:t>
            </w:r>
            <w:r w:rsidRPr="00D35445">
              <w:rPr>
                <w:b/>
                <w:lang w:val="ro-RO"/>
              </w:rPr>
              <w:t>„suprafața locuințelor deținute”</w:t>
            </w:r>
          </w:p>
          <w:p w:rsidR="00C07D20" w:rsidRPr="00D35445" w:rsidRDefault="00C07D20" w:rsidP="00C07D20">
            <w:pPr>
              <w:jc w:val="both"/>
              <w:rPr>
                <w:lang w:val="ro-RO"/>
              </w:rPr>
            </w:pPr>
            <w:r w:rsidRPr="00D35445">
              <w:rPr>
                <w:b/>
                <w:lang w:val="ro-RO"/>
              </w:rPr>
              <w:t>Obiecții:</w:t>
            </w:r>
            <w:r w:rsidRPr="00D35445">
              <w:rPr>
                <w:lang w:val="ro-RO"/>
              </w:rPr>
              <w:t xml:space="preserve"> Noutatea cu care intervine norma </w:t>
            </w:r>
            <w:r w:rsidR="00A70C7B" w:rsidRPr="00D35445">
              <w:rPr>
                <w:lang w:val="ro-RO"/>
              </w:rPr>
              <w:t>precizată</w:t>
            </w:r>
            <w:r w:rsidRPr="00D35445">
              <w:rPr>
                <w:lang w:val="ro-RO"/>
              </w:rPr>
              <w:t xml:space="preserve"> constă în faptul că sunt eligibile pentru programul „Prima Casă" toate persoanele care deja dețin în proprietate o locuință. O condiție necesară de întrunit în acest sens, este ca suprafața locuinței procurate în cadrul programului să fie mai mare decât suprafața locuinței deținute în proprietate. Având în vedere intenția autorului de a extinde programul „Prima Casă" la mai multe persoane, din redacția noii reglementări nu poate fi desprins sensul exact referitor la persoanele care deja dețin locuințe în proprietate. Proiectul menționează sintagma „suprafața locuinței deținute", fapt ce creează impresia că sunt eligibile doar persoanele ce dețin doar o singură locuință. Totuși, printr-o interpretare extensivă pot fi considerate eligibile inclusiv persoanele care dețin mai multe locuințe și respectă condiția potrivit căreia: suprafața locuinței procurate în cadrul programului să fie mai mare decât suprafața locuințelor deținute în proprietate. Reieșind din cele menționate, remarcăm că norma analizată acordă </w:t>
            </w:r>
            <w:r w:rsidR="00A70C7B" w:rsidRPr="00D35445">
              <w:rPr>
                <w:lang w:val="ro-RO"/>
              </w:rPr>
              <w:t>posibilități</w:t>
            </w:r>
            <w:r w:rsidRPr="00D35445">
              <w:rPr>
                <w:lang w:val="ro-RO"/>
              </w:rPr>
              <w:t xml:space="preserve"> de aplicare a acesteia în interpretarea preferată, în </w:t>
            </w:r>
            <w:r w:rsidR="00A70C7B" w:rsidRPr="00D35445">
              <w:rPr>
                <w:lang w:val="ro-RO"/>
              </w:rPr>
              <w:t>dependență</w:t>
            </w:r>
            <w:r w:rsidRPr="00D35445">
              <w:rPr>
                <w:lang w:val="ro-RO"/>
              </w:rPr>
              <w:t xml:space="preserve"> de interesul responsabililor de implementare </w:t>
            </w:r>
            <w:proofErr w:type="spellStart"/>
            <w:r w:rsidRPr="00D35445">
              <w:rPr>
                <w:lang w:val="ro-RO"/>
              </w:rPr>
              <w:t>şi</w:t>
            </w:r>
            <w:proofErr w:type="spellEnd"/>
            <w:r w:rsidRPr="00D35445">
              <w:rPr>
                <w:lang w:val="ro-RO"/>
              </w:rPr>
              <w:t xml:space="preserve"> control al aplicării. Agenții publici pot fi determinați să opteze pentru o anumită interpretare în dependență de interesul personal. Pentru a evita orice interpretări arbitrare, se recomandă modificarea sintagmei „suprafața locuinței deținute" cu </w:t>
            </w:r>
            <w:r w:rsidRPr="00D35445">
              <w:rPr>
                <w:lang w:val="ro-RO"/>
              </w:rPr>
              <w:lastRenderedPageBreak/>
              <w:t xml:space="preserve">„suprafața locuințelor deținute". În aceste împrejurări, limitarea suprafeței locuinței care va putea fi procurată prin intermediul programului „Prima Casă" se va realiza prin prisma prevederilor art. 6 alin. (1) lit. a) din Legea nr. 293/2017, potrivit cărora: „Persoana fizică care </w:t>
            </w:r>
            <w:r w:rsidR="00A70C7B" w:rsidRPr="00D35445">
              <w:rPr>
                <w:lang w:val="ro-RO"/>
              </w:rPr>
              <w:t>întrunește</w:t>
            </w:r>
            <w:r w:rsidRPr="00D35445">
              <w:rPr>
                <w:lang w:val="ro-RO"/>
              </w:rPr>
              <w:t xml:space="preserve"> criteriile de eligibilitate 5 prevăzute la art. 4 este în drept să solicite acordarea unui credit ipotecar în cadrul Programului, cu </w:t>
            </w:r>
            <w:r w:rsidR="00A70C7B" w:rsidRPr="00D35445">
              <w:rPr>
                <w:lang w:val="ro-RO"/>
              </w:rPr>
              <w:t>condiția</w:t>
            </w:r>
            <w:r w:rsidRPr="00D35445">
              <w:rPr>
                <w:lang w:val="ro-RO"/>
              </w:rPr>
              <w:t xml:space="preserve"> că: a) </w:t>
            </w:r>
            <w:r w:rsidR="00A70C7B" w:rsidRPr="00D35445">
              <w:rPr>
                <w:lang w:val="ro-RO"/>
              </w:rPr>
              <w:t>prețul</w:t>
            </w:r>
            <w:r w:rsidRPr="00D35445">
              <w:rPr>
                <w:lang w:val="ro-RO"/>
              </w:rPr>
              <w:t xml:space="preserve"> de procurare al </w:t>
            </w:r>
            <w:r w:rsidR="00A70C7B" w:rsidRPr="00D35445">
              <w:rPr>
                <w:lang w:val="ro-RO"/>
              </w:rPr>
              <w:t>locuinței</w:t>
            </w:r>
            <w:r w:rsidRPr="00D35445">
              <w:rPr>
                <w:lang w:val="ro-RO"/>
              </w:rPr>
              <w:t xml:space="preserve"> nu </w:t>
            </w:r>
            <w:r w:rsidR="00A70C7B" w:rsidRPr="00D35445">
              <w:rPr>
                <w:lang w:val="ro-RO"/>
              </w:rPr>
              <w:t>depășește</w:t>
            </w:r>
            <w:r w:rsidRPr="00D35445">
              <w:rPr>
                <w:lang w:val="ro-RO"/>
              </w:rPr>
              <w:t xml:space="preserve"> suma de 1 milion de lei".</w:t>
            </w:r>
          </w:p>
        </w:tc>
        <w:tc>
          <w:tcPr>
            <w:tcW w:w="5670" w:type="dxa"/>
          </w:tcPr>
          <w:p w:rsidR="00A56797" w:rsidRPr="00D35445" w:rsidRDefault="00A56797" w:rsidP="00A56797">
            <w:pPr>
              <w:pStyle w:val="Default"/>
              <w:jc w:val="both"/>
              <w:rPr>
                <w:b/>
                <w:color w:val="auto"/>
                <w:lang w:val="ro-RO"/>
              </w:rPr>
            </w:pPr>
            <w:r w:rsidRPr="00D35445">
              <w:rPr>
                <w:b/>
                <w:color w:val="auto"/>
                <w:lang w:val="ro-RO"/>
              </w:rPr>
              <w:lastRenderedPageBreak/>
              <w:t>Nu se acceptă</w:t>
            </w:r>
          </w:p>
          <w:p w:rsidR="00A56797" w:rsidRPr="00D35445" w:rsidRDefault="00A56797" w:rsidP="00A56797">
            <w:pPr>
              <w:pStyle w:val="Default"/>
              <w:jc w:val="both"/>
              <w:rPr>
                <w:color w:val="auto"/>
                <w:lang w:val="ro-RO"/>
              </w:rPr>
            </w:pPr>
          </w:p>
          <w:p w:rsidR="00A70C7B" w:rsidRPr="00D35445" w:rsidRDefault="00A56797" w:rsidP="007A06BD">
            <w:pPr>
              <w:pStyle w:val="Default"/>
              <w:jc w:val="both"/>
              <w:rPr>
                <w:color w:val="auto"/>
                <w:lang w:val="ro-RO"/>
              </w:rPr>
            </w:pPr>
            <w:r w:rsidRPr="00D35445">
              <w:rPr>
                <w:color w:val="auto"/>
                <w:lang w:val="ro-RO"/>
              </w:rPr>
              <w:t xml:space="preserve">Scopul urmărit prin introducerea normei respective este de a permite majorarea spațiului locativ </w:t>
            </w:r>
            <w:r w:rsidR="007A06BD" w:rsidRPr="00D35445">
              <w:rPr>
                <w:color w:val="auto"/>
                <w:lang w:val="ro-RO"/>
              </w:rPr>
              <w:t xml:space="preserve"> deținut </w:t>
            </w:r>
            <w:r w:rsidRPr="00D35445">
              <w:rPr>
                <w:color w:val="auto"/>
                <w:lang w:val="ro-RO"/>
              </w:rPr>
              <w:t>pentru persoanele fizice, în special familiile cu mulți copii</w:t>
            </w:r>
            <w:r w:rsidR="007A06BD" w:rsidRPr="00D35445">
              <w:rPr>
                <w:color w:val="auto"/>
                <w:lang w:val="ro-RO"/>
              </w:rPr>
              <w:t xml:space="preserve">, </w:t>
            </w:r>
            <w:r w:rsidRPr="00D35445">
              <w:rPr>
                <w:color w:val="auto"/>
                <w:lang w:val="ro-RO"/>
              </w:rPr>
              <w:t xml:space="preserve"> și de a împiedica procurarea locuințelor de către persoane cu venituri relativ  mari, proprietari a două sau mai multe locuințe,  cu scopul de a fi date ulterior în locațiune.</w:t>
            </w:r>
          </w:p>
          <w:p w:rsidR="00A70C7B" w:rsidRPr="00D35445" w:rsidRDefault="00A70C7B" w:rsidP="00A70C7B">
            <w:pPr>
              <w:pStyle w:val="Default"/>
              <w:jc w:val="both"/>
              <w:rPr>
                <w:i/>
                <w:color w:val="auto"/>
                <w:lang w:val="ro-RO"/>
              </w:rPr>
            </w:pPr>
            <w:r w:rsidRPr="00D35445">
              <w:rPr>
                <w:color w:val="auto"/>
                <w:lang w:val="ro-RO"/>
              </w:rPr>
              <w:t xml:space="preserve"> Interpretarea normei respective nu poate fi ambigua, având în vedere că se stipulează expres „suprafața locuinței deținute în proprietate”, ceea ce exclude din start  posibilitatea  persoanelor fizice care au 2 sau mai multe imobile în proprietate de a accede în Program. Interpretarea ambiguă și eronată a normei respective ar fi posibilă în cazul în care redacția acesteia ar fi </w:t>
            </w:r>
            <w:r w:rsidRPr="00D35445">
              <w:rPr>
                <w:b/>
                <w:i/>
                <w:color w:val="auto"/>
                <w:lang w:val="ro-RO"/>
              </w:rPr>
              <w:t>„suprafața locuinței procurate</w:t>
            </w:r>
            <w:r w:rsidRPr="00D35445">
              <w:rPr>
                <w:i/>
                <w:color w:val="auto"/>
                <w:lang w:val="ro-RO"/>
              </w:rPr>
              <w:t xml:space="preserve"> în cadrul Programului trebuie să depășească </w:t>
            </w:r>
            <w:r w:rsidRPr="00D35445">
              <w:rPr>
                <w:b/>
                <w:i/>
                <w:color w:val="auto"/>
                <w:lang w:val="ro-RO"/>
              </w:rPr>
              <w:t>suprafața (spațiul)   locativă deținută</w:t>
            </w:r>
            <w:r w:rsidRPr="00D35445">
              <w:rPr>
                <w:i/>
                <w:color w:val="auto"/>
                <w:lang w:val="ro-RO"/>
              </w:rPr>
              <w:t xml:space="preserve"> în proprietate exclusivă sau împreună cu alți membri ai familiei.”</w:t>
            </w:r>
          </w:p>
          <w:p w:rsidR="00F772AE" w:rsidRPr="00D35445" w:rsidRDefault="0094448B" w:rsidP="0094448B">
            <w:pPr>
              <w:pStyle w:val="Default"/>
              <w:jc w:val="both"/>
              <w:rPr>
                <w:color w:val="auto"/>
                <w:lang w:val="ro-RO"/>
              </w:rPr>
            </w:pPr>
            <w:r w:rsidRPr="00D35445">
              <w:rPr>
                <w:color w:val="auto"/>
                <w:lang w:val="ro-RO"/>
              </w:rPr>
              <w:t xml:space="preserve">Condiția prin care se plafonează prețul locuinței achiziționată în cadrul Programului, nu  este un criteriu  suficient   care  ar impune o limitare </w:t>
            </w:r>
            <w:r w:rsidR="00F772AE" w:rsidRPr="00D35445">
              <w:rPr>
                <w:color w:val="auto"/>
                <w:lang w:val="ro-RO"/>
              </w:rPr>
              <w:t>a</w:t>
            </w:r>
            <w:r w:rsidRPr="00D35445">
              <w:rPr>
                <w:color w:val="auto"/>
                <w:lang w:val="ro-RO"/>
              </w:rPr>
              <w:t xml:space="preserve"> </w:t>
            </w:r>
            <w:r w:rsidR="00F772AE" w:rsidRPr="00D35445">
              <w:rPr>
                <w:color w:val="auto"/>
                <w:lang w:val="ro-RO"/>
              </w:rPr>
              <w:t>suprafeței imobilului achiziționat, având în vedere ca în relațiile civile private ( tranzacțiile de vânzare cumpărare in cazul de față) părțile sunt cele care stabilesc clauzele contractuale, inclusiv cele de preț.</w:t>
            </w:r>
          </w:p>
        </w:tc>
      </w:tr>
      <w:tr w:rsidR="00A56797" w:rsidRPr="007C6AEB" w:rsidTr="00E30CA3">
        <w:trPr>
          <w:trHeight w:val="713"/>
        </w:trPr>
        <w:tc>
          <w:tcPr>
            <w:tcW w:w="2943" w:type="dxa"/>
          </w:tcPr>
          <w:p w:rsidR="007A06BD" w:rsidRPr="00D35445" w:rsidRDefault="00A56797" w:rsidP="00A56797">
            <w:pPr>
              <w:pStyle w:val="Default"/>
              <w:rPr>
                <w:b/>
                <w:color w:val="auto"/>
                <w:lang w:val="ro-RO"/>
              </w:rPr>
            </w:pPr>
            <w:r w:rsidRPr="00D35445">
              <w:rPr>
                <w:b/>
                <w:color w:val="auto"/>
                <w:lang w:val="ro-RO"/>
              </w:rPr>
              <w:lastRenderedPageBreak/>
              <w:t xml:space="preserve">Direcția Generală  Juridică </w:t>
            </w:r>
          </w:p>
          <w:p w:rsidR="00A56797" w:rsidRPr="00D35445" w:rsidRDefault="00A56797" w:rsidP="00A56797">
            <w:pPr>
              <w:pStyle w:val="Default"/>
              <w:rPr>
                <w:b/>
                <w:color w:val="auto"/>
                <w:lang w:val="ro-RO"/>
              </w:rPr>
            </w:pPr>
            <w:r w:rsidRPr="00D35445">
              <w:rPr>
                <w:b/>
                <w:color w:val="auto"/>
                <w:lang w:val="ro-RO"/>
              </w:rPr>
              <w:t>Parlamentul RM</w:t>
            </w:r>
          </w:p>
        </w:tc>
        <w:tc>
          <w:tcPr>
            <w:tcW w:w="6096" w:type="dxa"/>
          </w:tcPr>
          <w:p w:rsidR="001F5F6B" w:rsidRPr="00D35445" w:rsidRDefault="001F5F6B" w:rsidP="001F5F6B">
            <w:pPr>
              <w:pStyle w:val="NormalWeb"/>
              <w:shd w:val="clear" w:color="auto" w:fill="FDFDFD"/>
              <w:spacing w:before="0" w:beforeAutospacing="0" w:after="0" w:afterAutospacing="0"/>
              <w:rPr>
                <w:color w:val="000000"/>
                <w:lang w:val="ro-RO"/>
              </w:rPr>
            </w:pPr>
            <w:r w:rsidRPr="00D35445">
              <w:rPr>
                <w:lang w:val="ro-RO"/>
              </w:rPr>
              <w:t xml:space="preserve">1. </w:t>
            </w:r>
            <w:r w:rsidRPr="00D35445">
              <w:rPr>
                <w:color w:val="000000"/>
                <w:lang w:val="ro-RO"/>
              </w:rPr>
              <w:t>La textul pr.145, vă propun să scoatem cuvântul „a persoanei”, pentru a respecta logica de expunere a enunțului,</w:t>
            </w:r>
          </w:p>
          <w:p w:rsidR="001F5F6B" w:rsidRPr="00D35445" w:rsidRDefault="001F5F6B" w:rsidP="001F5F6B">
            <w:pPr>
              <w:pStyle w:val="NormalWeb"/>
              <w:shd w:val="clear" w:color="auto" w:fill="FDFDFD"/>
              <w:spacing w:before="0" w:beforeAutospacing="0" w:after="0" w:afterAutospacing="0"/>
              <w:rPr>
                <w:color w:val="000000"/>
                <w:lang w:val="ro-RO"/>
              </w:rPr>
            </w:pPr>
            <w:r w:rsidRPr="00D35445">
              <w:rPr>
                <w:color w:val="000000"/>
                <w:lang w:val="ro-RO"/>
              </w:rPr>
              <w:t>de asemenea, vă propun să păstrăm doar conjuncția „sau” în loc de „și/sau” (altfel nu prea are sens):</w:t>
            </w:r>
          </w:p>
          <w:p w:rsidR="001F5F6B" w:rsidRPr="00D35445" w:rsidRDefault="001F5F6B" w:rsidP="001F5F6B">
            <w:pPr>
              <w:pStyle w:val="NormalWeb"/>
              <w:shd w:val="clear" w:color="auto" w:fill="FDFDFD"/>
              <w:spacing w:before="0" w:beforeAutospacing="0" w:after="0" w:afterAutospacing="0"/>
              <w:rPr>
                <w:color w:val="000000"/>
              </w:rPr>
            </w:pPr>
            <w:r w:rsidRPr="00D35445">
              <w:rPr>
                <w:color w:val="000000"/>
                <w:lang w:val="ro-RO"/>
              </w:rPr>
              <w:t> </w:t>
            </w:r>
          </w:p>
          <w:p w:rsidR="001F5F6B" w:rsidRPr="00D35445" w:rsidRDefault="001F5F6B" w:rsidP="001F5F6B">
            <w:pPr>
              <w:pStyle w:val="NormalWeb"/>
              <w:shd w:val="clear" w:color="auto" w:fill="FDFDFD"/>
              <w:spacing w:before="0" w:beforeAutospacing="0" w:after="0" w:afterAutospacing="0"/>
              <w:rPr>
                <w:color w:val="000000"/>
              </w:rPr>
            </w:pPr>
            <w:r w:rsidRPr="00D35445">
              <w:rPr>
                <w:color w:val="000000"/>
                <w:lang w:val="ro-RO"/>
              </w:rPr>
              <w:t>„literele d) și e) vor avea următorul cuprins:</w:t>
            </w:r>
          </w:p>
          <w:p w:rsidR="001F5F6B" w:rsidRPr="00D35445" w:rsidRDefault="001F5F6B" w:rsidP="001F5F6B">
            <w:pPr>
              <w:pStyle w:val="NormalWeb"/>
              <w:shd w:val="clear" w:color="auto" w:fill="FDFDFD"/>
              <w:spacing w:before="0" w:beforeAutospacing="0" w:after="0" w:afterAutospacing="0"/>
              <w:rPr>
                <w:color w:val="000000"/>
                <w:lang w:val="ro-RO"/>
              </w:rPr>
            </w:pPr>
            <w:r w:rsidRPr="00D35445">
              <w:rPr>
                <w:color w:val="000000"/>
                <w:lang w:val="ro-RO"/>
              </w:rPr>
              <w:t> „d) suprafața locuinței procurate în cadrul Programului să depășească suprafața locuinței pe care o deține în proprietate exclusivă </w:t>
            </w:r>
            <w:r w:rsidRPr="00D35445">
              <w:rPr>
                <w:strike/>
                <w:color w:val="000000"/>
                <w:shd w:val="clear" w:color="auto" w:fill="FFFF00"/>
                <w:lang w:val="ro-RO"/>
              </w:rPr>
              <w:t>și/</w:t>
            </w:r>
            <w:r w:rsidRPr="00D35445">
              <w:rPr>
                <w:color w:val="000000"/>
                <w:shd w:val="clear" w:color="auto" w:fill="FFFF00"/>
                <w:lang w:val="ro-RO"/>
              </w:rPr>
              <w:t>sau</w:t>
            </w:r>
            <w:r w:rsidRPr="00D35445">
              <w:rPr>
                <w:color w:val="000000"/>
                <w:lang w:val="ro-RO"/>
              </w:rPr>
              <w:t> împreună cu alți membri ai familiei. </w:t>
            </w:r>
            <w:r w:rsidRPr="00D35445">
              <w:rPr>
                <w:color w:val="000000"/>
                <w:shd w:val="clear" w:color="auto" w:fill="FFFFFF"/>
                <w:lang w:val="ro-RO"/>
              </w:rPr>
              <w:t xml:space="preserve">Se consideră eligibilă </w:t>
            </w:r>
            <w:proofErr w:type="spellStart"/>
            <w:r w:rsidRPr="00D35445">
              <w:rPr>
                <w:color w:val="000000"/>
                <w:shd w:val="clear" w:color="auto" w:fill="FFFFFF"/>
                <w:lang w:val="ro-RO"/>
              </w:rPr>
              <w:t>şi</w:t>
            </w:r>
            <w:proofErr w:type="spellEnd"/>
            <w:r w:rsidRPr="00D35445">
              <w:rPr>
                <w:color w:val="000000"/>
                <w:shd w:val="clear" w:color="auto" w:fill="FFFFFF"/>
                <w:lang w:val="ro-RO"/>
              </w:rPr>
              <w:t xml:space="preserve"> persoana care deține, în proprietate exclusivă </w:t>
            </w:r>
            <w:r w:rsidRPr="00D35445">
              <w:rPr>
                <w:color w:val="000000"/>
                <w:shd w:val="clear" w:color="auto" w:fill="FFFF00"/>
                <w:lang w:val="ro-RO"/>
              </w:rPr>
              <w:t>sau</w:t>
            </w:r>
            <w:r w:rsidRPr="00D35445">
              <w:rPr>
                <w:color w:val="000000"/>
                <w:shd w:val="clear" w:color="auto" w:fill="FFFFFF"/>
                <w:lang w:val="ro-RO"/>
              </w:rPr>
              <w:t> împreună cu alți membri ai familiei, o locuință, indiferent de suprafața acesteia, într-un sat (o comună), dobândită prin moștenire sau donație</w:t>
            </w:r>
            <w:r w:rsidRPr="00D35445">
              <w:rPr>
                <w:color w:val="000000"/>
                <w:lang w:val="ro-RO"/>
              </w:rPr>
              <w:t>;</w:t>
            </w:r>
          </w:p>
          <w:p w:rsidR="001F5F6B" w:rsidRPr="00D35445" w:rsidRDefault="001F5F6B" w:rsidP="001F5F6B">
            <w:pPr>
              <w:pStyle w:val="NormalWeb"/>
              <w:shd w:val="clear" w:color="auto" w:fill="FDFDFD"/>
              <w:spacing w:before="0" w:beforeAutospacing="0" w:after="0" w:afterAutospacing="0"/>
              <w:rPr>
                <w:color w:val="000000"/>
                <w:lang w:val="ro-RO"/>
              </w:rPr>
            </w:pPr>
            <w:r w:rsidRPr="00D35445">
              <w:rPr>
                <w:color w:val="000000"/>
                <w:lang w:val="ro-RO"/>
              </w:rPr>
              <w:t>e) suprafața locuinței deținute în proprietate exclusivă </w:t>
            </w:r>
            <w:r w:rsidRPr="00D35445">
              <w:rPr>
                <w:strike/>
                <w:color w:val="000000"/>
                <w:shd w:val="clear" w:color="auto" w:fill="FFFF00"/>
                <w:lang w:val="ro-RO"/>
              </w:rPr>
              <w:t>și/</w:t>
            </w:r>
            <w:r w:rsidRPr="00D35445">
              <w:rPr>
                <w:color w:val="000000"/>
                <w:shd w:val="clear" w:color="auto" w:fill="FFFF00"/>
                <w:lang w:val="ro-RO"/>
              </w:rPr>
              <w:t>sau</w:t>
            </w:r>
            <w:r w:rsidRPr="00D35445">
              <w:rPr>
                <w:color w:val="000000"/>
                <w:lang w:val="ro-RO"/>
              </w:rPr>
              <w:t> împreună cu alți membri ai familiei, cu excepția beneficiarului, de către soțul/soția acestuia, să nu depășească suprafața locuinței procurate în cadrul Programului. Se consideră eligibilă și persoana al cărei soț/soție deține, în proprietate exclusivă </w:t>
            </w:r>
            <w:r w:rsidRPr="00D35445">
              <w:rPr>
                <w:color w:val="000000"/>
                <w:shd w:val="clear" w:color="auto" w:fill="FFFF00"/>
                <w:lang w:val="ro-RO"/>
              </w:rPr>
              <w:t>sau</w:t>
            </w:r>
            <w:r w:rsidRPr="00D35445">
              <w:rPr>
                <w:color w:val="000000"/>
                <w:lang w:val="ro-RO"/>
              </w:rPr>
              <w:t xml:space="preserve"> împreună cu alți membri ai familiei, o locuință, indiferent de suprafața </w:t>
            </w:r>
            <w:r w:rsidRPr="00D35445">
              <w:rPr>
                <w:color w:val="000000"/>
                <w:lang w:val="ro-RO"/>
              </w:rPr>
              <w:lastRenderedPageBreak/>
              <w:t>acesteia, într-un sat (o comună), dobândită prin moștenire sau prin donație;”.</w:t>
            </w:r>
          </w:p>
          <w:p w:rsidR="00A56797" w:rsidRPr="00D35445" w:rsidRDefault="00A56797" w:rsidP="00A56797">
            <w:pPr>
              <w:pStyle w:val="Listparagraf"/>
              <w:spacing w:after="120"/>
              <w:ind w:left="485"/>
              <w:jc w:val="both"/>
              <w:rPr>
                <w:lang w:val="ro-RO"/>
              </w:rPr>
            </w:pPr>
          </w:p>
        </w:tc>
        <w:tc>
          <w:tcPr>
            <w:tcW w:w="5670" w:type="dxa"/>
          </w:tcPr>
          <w:p w:rsidR="00186BC6" w:rsidRPr="00D35445" w:rsidRDefault="00186BC6" w:rsidP="00A56797">
            <w:pPr>
              <w:pStyle w:val="Default"/>
              <w:rPr>
                <w:b/>
                <w:color w:val="auto"/>
                <w:lang w:val="ro-RO"/>
              </w:rPr>
            </w:pPr>
            <w:r w:rsidRPr="00D35445">
              <w:rPr>
                <w:b/>
                <w:color w:val="auto"/>
                <w:lang w:val="ro-RO"/>
              </w:rPr>
              <w:lastRenderedPageBreak/>
              <w:t>Se acceptă</w:t>
            </w:r>
          </w:p>
          <w:p w:rsidR="00A56797" w:rsidRPr="00D35445" w:rsidRDefault="00186BC6" w:rsidP="00A56797">
            <w:pPr>
              <w:pStyle w:val="Default"/>
              <w:rPr>
                <w:color w:val="auto"/>
                <w:lang w:val="ro-RO"/>
              </w:rPr>
            </w:pPr>
            <w:r w:rsidRPr="00D35445">
              <w:rPr>
                <w:color w:val="auto"/>
                <w:lang w:val="ro-RO"/>
              </w:rPr>
              <w:t xml:space="preserve"> Sensul prevederii nu se modifică.</w:t>
            </w:r>
          </w:p>
        </w:tc>
      </w:tr>
      <w:tr w:rsidR="00186BC6" w:rsidRPr="007C6AEB" w:rsidTr="00E30CA3">
        <w:trPr>
          <w:trHeight w:val="713"/>
        </w:trPr>
        <w:tc>
          <w:tcPr>
            <w:tcW w:w="2943" w:type="dxa"/>
          </w:tcPr>
          <w:p w:rsidR="00186BC6" w:rsidRPr="00D35445" w:rsidRDefault="00186BC6" w:rsidP="00A56797">
            <w:pPr>
              <w:pStyle w:val="Default"/>
              <w:rPr>
                <w:b/>
                <w:color w:val="auto"/>
                <w:lang w:val="ro-RO"/>
              </w:rPr>
            </w:pPr>
          </w:p>
        </w:tc>
        <w:tc>
          <w:tcPr>
            <w:tcW w:w="6096" w:type="dxa"/>
          </w:tcPr>
          <w:p w:rsidR="00186BC6" w:rsidRPr="00D35445" w:rsidRDefault="00186BC6" w:rsidP="00186BC6">
            <w:pPr>
              <w:pStyle w:val="Listparagraf"/>
              <w:numPr>
                <w:ilvl w:val="0"/>
                <w:numId w:val="2"/>
              </w:numPr>
              <w:jc w:val="both"/>
              <w:rPr>
                <w:b/>
                <w:lang w:val="ro-RO"/>
              </w:rPr>
            </w:pPr>
            <w:r w:rsidRPr="00D35445">
              <w:rPr>
                <w:lang w:val="ro-RO"/>
              </w:rPr>
              <w:t xml:space="preserve">la </w:t>
            </w:r>
            <w:r w:rsidRPr="00D35445">
              <w:rPr>
                <w:b/>
                <w:lang w:val="ro-RO"/>
              </w:rPr>
              <w:t>pct.3 al Art. I</w:t>
            </w:r>
            <w:r w:rsidRPr="00D35445">
              <w:rPr>
                <w:lang w:val="ro-RO"/>
              </w:rPr>
              <w:t xml:space="preserve"> </w:t>
            </w:r>
            <w:r w:rsidRPr="00D35445">
              <w:rPr>
                <w:b/>
                <w:lang w:val="ro-RO"/>
              </w:rPr>
              <w:t>din proiect, se va atrage o atenție sporită asupra reglementării date.</w:t>
            </w:r>
            <w:r w:rsidRPr="00D35445">
              <w:rPr>
                <w:lang w:val="ro-RO"/>
              </w:rPr>
              <w:t xml:space="preserve"> În redacția propusă, implementarea normelor urmează a fi puse în aplicare, doar după modificarea Bugetului public național, or, conform art. 7 alin. (5) din Legea nr. 293/2017, Guvernul propune alocații din bugetul de stat pentru acordarea compensațiilor bănești în cadrul Programului- </w:t>
            </w:r>
            <w:r w:rsidRPr="00D35445">
              <w:rPr>
                <w:b/>
                <w:lang w:val="ro-RO"/>
              </w:rPr>
              <w:t>anual. Corespondent, norma de la alin. (3) al art. 7 a aceleiași Legi prevede expres că: "Plafonul anual al garanțiilor de stat care pot fi emise în temeiul prezentei legi, precum și suma mijloacelor financiare destinate executării garanțiilor de stat emise în cadrul Programului se stabilesc anual în legea bugetului de stat".</w:t>
            </w:r>
          </w:p>
          <w:p w:rsidR="00186BC6" w:rsidRPr="00D35445" w:rsidRDefault="00186BC6" w:rsidP="00186BC6">
            <w:pPr>
              <w:pStyle w:val="NormalWeb"/>
              <w:shd w:val="clear" w:color="auto" w:fill="FDFDFD"/>
              <w:spacing w:before="0" w:beforeAutospacing="0" w:after="0" w:afterAutospacing="0"/>
              <w:ind w:left="360"/>
              <w:rPr>
                <w:lang w:val="ro-RO"/>
              </w:rPr>
            </w:pPr>
          </w:p>
        </w:tc>
        <w:tc>
          <w:tcPr>
            <w:tcW w:w="5670" w:type="dxa"/>
          </w:tcPr>
          <w:p w:rsidR="00186BC6" w:rsidRPr="00D35445" w:rsidRDefault="00186BC6" w:rsidP="00A56797">
            <w:pPr>
              <w:pStyle w:val="Default"/>
              <w:rPr>
                <w:b/>
                <w:color w:val="auto"/>
                <w:lang w:val="ro-RO"/>
              </w:rPr>
            </w:pPr>
            <w:r w:rsidRPr="00D35445">
              <w:rPr>
                <w:b/>
                <w:color w:val="auto"/>
                <w:lang w:val="ro-RO"/>
              </w:rPr>
              <w:t xml:space="preserve">Nu se acceptă </w:t>
            </w:r>
          </w:p>
          <w:p w:rsidR="00025ACD" w:rsidRPr="00D35445" w:rsidRDefault="00186BC6" w:rsidP="00A56797">
            <w:pPr>
              <w:pStyle w:val="Default"/>
              <w:rPr>
                <w:color w:val="auto"/>
                <w:lang w:val="ro-RO"/>
              </w:rPr>
            </w:pPr>
            <w:r w:rsidRPr="00D35445">
              <w:rPr>
                <w:color w:val="auto"/>
                <w:lang w:val="ro-RO"/>
              </w:rPr>
              <w:t xml:space="preserve">Norma propusă în redacția actuală a proiectului la art.7 al (5) se referă la completarea categoriilor de beneficiari de </w:t>
            </w:r>
            <w:r w:rsidRPr="00D35445">
              <w:rPr>
                <w:b/>
                <w:color w:val="auto"/>
                <w:lang w:val="ro-RO"/>
              </w:rPr>
              <w:t xml:space="preserve">compensații </w:t>
            </w:r>
            <w:r w:rsidRPr="00D35445">
              <w:rPr>
                <w:color w:val="auto"/>
                <w:lang w:val="ro-RO"/>
              </w:rPr>
              <w:t>în cadrul Programului de  stat</w:t>
            </w:r>
            <w:r w:rsidR="00F775EB" w:rsidRPr="00D35445">
              <w:rPr>
                <w:color w:val="auto"/>
                <w:lang w:val="ro-RO"/>
              </w:rPr>
              <w:t xml:space="preserve"> ”Prima casă”, cu acordarea dreptului de  a beneficia de compensații și persoanele fizice care au accesat un credit ipotecar </w:t>
            </w:r>
            <w:r w:rsidR="00F772AE" w:rsidRPr="00D35445">
              <w:rPr>
                <w:color w:val="auto"/>
                <w:lang w:val="ro-RO"/>
              </w:rPr>
              <w:t>până</w:t>
            </w:r>
            <w:r w:rsidR="00F775EB" w:rsidRPr="00D35445">
              <w:rPr>
                <w:color w:val="auto"/>
                <w:lang w:val="ro-RO"/>
              </w:rPr>
              <w:t xml:space="preserve"> la lansarea Programului guvernamental „Prima casă”  în martie 2018, dar care întrunesc condițiile de eligibilitate stabilite pentru Program.</w:t>
            </w:r>
          </w:p>
          <w:p w:rsidR="00F775EB" w:rsidRPr="00D35445" w:rsidRDefault="00F775EB" w:rsidP="00A56797">
            <w:pPr>
              <w:pStyle w:val="Default"/>
              <w:rPr>
                <w:color w:val="auto"/>
                <w:lang w:val="ro-RO"/>
              </w:rPr>
            </w:pPr>
            <w:r w:rsidRPr="00D35445">
              <w:rPr>
                <w:color w:val="auto"/>
                <w:lang w:val="ro-RO"/>
              </w:rPr>
              <w:t xml:space="preserve"> În partea ce ține de acordarea</w:t>
            </w:r>
            <w:r w:rsidRPr="00D35445">
              <w:rPr>
                <w:b/>
                <w:color w:val="auto"/>
                <w:lang w:val="ro-RO"/>
              </w:rPr>
              <w:t xml:space="preserve"> garanțiilor</w:t>
            </w:r>
            <w:r w:rsidRPr="00D35445">
              <w:rPr>
                <w:color w:val="auto"/>
                <w:lang w:val="ro-RO"/>
              </w:rPr>
              <w:t xml:space="preserve">, aceasta reprezintă o primă etapă de accedere în Programul de stat ”Prima casă” </w:t>
            </w:r>
            <w:r w:rsidR="00E602D0" w:rsidRPr="00D35445">
              <w:rPr>
                <w:color w:val="auto"/>
                <w:lang w:val="ro-RO"/>
              </w:rPr>
              <w:t xml:space="preserve"> și este </w:t>
            </w:r>
            <w:r w:rsidR="00E602D0" w:rsidRPr="00D35445">
              <w:rPr>
                <w:b/>
                <w:color w:val="auto"/>
                <w:lang w:val="ro-RO"/>
              </w:rPr>
              <w:t>disponibilă doar pentru cei care contractează creditul ipotecar ”Prima casă”</w:t>
            </w:r>
            <w:r w:rsidR="00E602D0" w:rsidRPr="00D35445">
              <w:rPr>
                <w:color w:val="auto"/>
                <w:lang w:val="ro-RO"/>
              </w:rPr>
              <w:t xml:space="preserve"> , disponibil în băncile comerciale partenere din martie 2018. Astfel cei care au accesat un credit ipotecar până la derularea Programului de stat „Prima casă”  în martie 2018, nu pot beneficia de </w:t>
            </w:r>
            <w:r w:rsidR="00E602D0" w:rsidRPr="00D35445">
              <w:rPr>
                <w:b/>
                <w:color w:val="auto"/>
                <w:lang w:val="ro-RO"/>
              </w:rPr>
              <w:t>garanția statului</w:t>
            </w:r>
            <w:r w:rsidR="00E602D0" w:rsidRPr="00D35445">
              <w:rPr>
                <w:color w:val="auto"/>
                <w:lang w:val="ro-RO"/>
              </w:rPr>
              <w:t xml:space="preserve"> în mărime de 50%  , or aceasta </w:t>
            </w:r>
            <w:r w:rsidR="00E602D0" w:rsidRPr="00D35445">
              <w:rPr>
                <w:b/>
                <w:color w:val="auto"/>
                <w:lang w:val="ro-RO"/>
              </w:rPr>
              <w:t>se acordă doar creditelor noi acordate începând cu 26 martie 2018</w:t>
            </w:r>
            <w:r w:rsidR="00E602D0" w:rsidRPr="00D35445">
              <w:rPr>
                <w:color w:val="auto"/>
                <w:lang w:val="ro-RO"/>
              </w:rPr>
              <w:t>.</w:t>
            </w:r>
          </w:p>
          <w:p w:rsidR="00E602D0" w:rsidRPr="00D35445" w:rsidRDefault="00E602D0" w:rsidP="00BA49F6">
            <w:pPr>
              <w:pStyle w:val="Default"/>
              <w:rPr>
                <w:color w:val="auto"/>
                <w:lang w:val="ro-RO"/>
              </w:rPr>
            </w:pPr>
            <w:r w:rsidRPr="00D35445">
              <w:rPr>
                <w:color w:val="auto"/>
                <w:lang w:val="ro-RO"/>
              </w:rPr>
              <w:t xml:space="preserve">Astfel modificarea Legii bugetului de stat pentru anul 2020 , în vederea implementării proiectului respectiv, nu este necesară având în vedere că garanția se execută doar în cazul când beneficiarii de credit ipotecar „Prima casă” ( contractat după 26 martie 2018)  au restanțe la achitarea sumei principale și dobânzii la credit în decurs </w:t>
            </w:r>
            <w:r w:rsidRPr="00D35445">
              <w:rPr>
                <w:color w:val="auto"/>
                <w:lang w:val="ro-RO"/>
              </w:rPr>
              <w:lastRenderedPageBreak/>
              <w:t xml:space="preserve">de 91 zile. </w:t>
            </w:r>
            <w:r w:rsidR="00BA49F6" w:rsidRPr="00D35445">
              <w:rPr>
                <w:color w:val="auto"/>
                <w:lang w:val="ro-RO"/>
              </w:rPr>
              <w:t>Până</w:t>
            </w:r>
            <w:r w:rsidRPr="00D35445">
              <w:rPr>
                <w:color w:val="auto"/>
                <w:lang w:val="ro-RO"/>
              </w:rPr>
              <w:t xml:space="preserve"> la moment</w:t>
            </w:r>
            <w:r w:rsidR="00BA49F6" w:rsidRPr="00D35445">
              <w:rPr>
                <w:color w:val="auto"/>
                <w:lang w:val="ro-RO"/>
              </w:rPr>
              <w:t xml:space="preserve"> nici o garanție acordată în cadrul Programului nu a fost executată,  mai mult ca atât 25 garanții au fost stinse pe motivul rambursării anticipate a creditului ipotecar.</w:t>
            </w:r>
          </w:p>
        </w:tc>
      </w:tr>
      <w:tr w:rsidR="00BA49F6" w:rsidRPr="007C6AEB" w:rsidTr="00E30CA3">
        <w:trPr>
          <w:trHeight w:val="713"/>
        </w:trPr>
        <w:tc>
          <w:tcPr>
            <w:tcW w:w="2943" w:type="dxa"/>
          </w:tcPr>
          <w:p w:rsidR="00BA49F6" w:rsidRPr="00D35445" w:rsidRDefault="00BA49F6" w:rsidP="00A56797">
            <w:pPr>
              <w:pStyle w:val="Default"/>
              <w:rPr>
                <w:b/>
                <w:color w:val="auto"/>
                <w:lang w:val="ro-RO"/>
              </w:rPr>
            </w:pPr>
          </w:p>
        </w:tc>
        <w:tc>
          <w:tcPr>
            <w:tcW w:w="6096" w:type="dxa"/>
          </w:tcPr>
          <w:p w:rsidR="00BA49F6" w:rsidRPr="00D35445" w:rsidRDefault="00BA49F6" w:rsidP="00BA49F6">
            <w:pPr>
              <w:pStyle w:val="Listparagraf"/>
              <w:numPr>
                <w:ilvl w:val="0"/>
                <w:numId w:val="2"/>
              </w:numPr>
              <w:jc w:val="both"/>
              <w:rPr>
                <w:lang w:val="ro-RO"/>
              </w:rPr>
            </w:pPr>
            <w:r w:rsidRPr="00D35445">
              <w:rPr>
                <w:lang w:val="ro-RO"/>
              </w:rPr>
              <w:t xml:space="preserve">Este neclar efectul prezentei completări al art.7 din Legea nr.293/2017, or, de compensații vor beneficia nu doar cei care au accesat credite prin Programul "Prima casă", dar toate persoanele care corespund cerințelor art.4 din Legea nr. 293/2017, dar care au contractat un credit în condiții generale, adică nu prin intermediul Programului "Prima casa". În aceste condiții, este necesar de detaliat dacă statul, în persoana Ministerului Finanțelor deține informația </w:t>
            </w:r>
            <w:proofErr w:type="spellStart"/>
            <w:r w:rsidRPr="00D35445">
              <w:rPr>
                <w:lang w:val="ro-RO"/>
              </w:rPr>
              <w:t>cîte</w:t>
            </w:r>
            <w:proofErr w:type="spellEnd"/>
            <w:r w:rsidRPr="00D35445">
              <w:rPr>
                <w:lang w:val="ro-RO"/>
              </w:rPr>
              <w:t xml:space="preserve"> astfel de persoane au contracte de credite deja încheiate și aproximativ </w:t>
            </w:r>
            <w:proofErr w:type="spellStart"/>
            <w:r w:rsidRPr="00D35445">
              <w:rPr>
                <w:lang w:val="ro-RO"/>
              </w:rPr>
              <w:t>cît</w:t>
            </w:r>
            <w:proofErr w:type="spellEnd"/>
            <w:r w:rsidRPr="00D35445">
              <w:rPr>
                <w:lang w:val="ro-RO"/>
              </w:rPr>
              <w:t xml:space="preserve"> constă suma acestor compensații.</w:t>
            </w:r>
          </w:p>
          <w:p w:rsidR="00CD5652" w:rsidRPr="00D35445" w:rsidRDefault="00CD5652" w:rsidP="00CD5652">
            <w:pPr>
              <w:jc w:val="both"/>
              <w:rPr>
                <w:lang w:val="ro-RO"/>
              </w:rPr>
            </w:pPr>
          </w:p>
          <w:p w:rsidR="00CD5652" w:rsidRPr="00D35445" w:rsidRDefault="00CD5652" w:rsidP="00CD5652">
            <w:pPr>
              <w:jc w:val="both"/>
              <w:rPr>
                <w:lang w:val="ro-RO"/>
              </w:rPr>
            </w:pPr>
          </w:p>
          <w:p w:rsidR="00CD5652" w:rsidRPr="00D35445" w:rsidRDefault="00CD5652" w:rsidP="00CD5652">
            <w:pPr>
              <w:jc w:val="both"/>
              <w:rPr>
                <w:lang w:val="ro-RO"/>
              </w:rPr>
            </w:pPr>
          </w:p>
          <w:p w:rsidR="00CD5652" w:rsidRPr="00D35445" w:rsidRDefault="00CD5652" w:rsidP="00CD5652">
            <w:pPr>
              <w:jc w:val="both"/>
              <w:rPr>
                <w:lang w:val="ro-RO"/>
              </w:rPr>
            </w:pPr>
          </w:p>
          <w:p w:rsidR="00CD5652" w:rsidRPr="00D35445" w:rsidRDefault="00CD5652" w:rsidP="00CD5652">
            <w:pPr>
              <w:jc w:val="both"/>
              <w:rPr>
                <w:lang w:val="ro-RO"/>
              </w:rPr>
            </w:pPr>
          </w:p>
          <w:p w:rsidR="00C1161A" w:rsidRPr="00D35445" w:rsidRDefault="00C1161A" w:rsidP="00CD5652">
            <w:pPr>
              <w:jc w:val="both"/>
              <w:rPr>
                <w:lang w:val="ro-RO"/>
              </w:rPr>
            </w:pPr>
          </w:p>
          <w:p w:rsidR="00C1161A" w:rsidRPr="00D35445" w:rsidRDefault="00C1161A" w:rsidP="00CD5652">
            <w:pPr>
              <w:jc w:val="both"/>
              <w:rPr>
                <w:lang w:val="ro-RO"/>
              </w:rPr>
            </w:pPr>
          </w:p>
          <w:p w:rsidR="00CD5652" w:rsidRPr="00D35445" w:rsidRDefault="00CD5652" w:rsidP="00CD5652">
            <w:pPr>
              <w:jc w:val="both"/>
              <w:rPr>
                <w:lang w:val="ro-RO"/>
              </w:rPr>
            </w:pPr>
          </w:p>
          <w:p w:rsidR="00CD5652" w:rsidRDefault="00CD5652" w:rsidP="00CD5652">
            <w:pPr>
              <w:jc w:val="both"/>
              <w:rPr>
                <w:lang w:val="ro-RO"/>
              </w:rPr>
            </w:pPr>
          </w:p>
          <w:p w:rsidR="00654D9F" w:rsidRPr="00D35445" w:rsidRDefault="00654D9F" w:rsidP="00CD5652">
            <w:pPr>
              <w:jc w:val="both"/>
              <w:rPr>
                <w:lang w:val="ro-RO"/>
              </w:rPr>
            </w:pPr>
          </w:p>
          <w:p w:rsidR="00CD5652" w:rsidRPr="00D35445" w:rsidRDefault="00CD5652" w:rsidP="00CD5652">
            <w:pPr>
              <w:pStyle w:val="Listparagraf"/>
              <w:numPr>
                <w:ilvl w:val="0"/>
                <w:numId w:val="2"/>
              </w:numPr>
              <w:jc w:val="both"/>
              <w:rPr>
                <w:lang w:val="en-GB"/>
              </w:rPr>
            </w:pPr>
            <w:proofErr w:type="spellStart"/>
            <w:r w:rsidRPr="00D35445">
              <w:rPr>
                <w:lang w:val="en-GB"/>
              </w:rPr>
              <w:t>Reiterăm</w:t>
            </w:r>
            <w:proofErr w:type="spellEnd"/>
            <w:r w:rsidRPr="00D35445">
              <w:rPr>
                <w:lang w:val="en-GB"/>
              </w:rPr>
              <w:t xml:space="preserve"> </w:t>
            </w:r>
            <w:proofErr w:type="spellStart"/>
            <w:r w:rsidRPr="00D35445">
              <w:rPr>
                <w:lang w:val="en-GB"/>
              </w:rPr>
              <w:t>obiecția</w:t>
            </w:r>
            <w:proofErr w:type="spellEnd"/>
            <w:r w:rsidRPr="00D35445">
              <w:rPr>
                <w:lang w:val="en-GB"/>
              </w:rPr>
              <w:t xml:space="preserve"> </w:t>
            </w:r>
            <w:proofErr w:type="spellStart"/>
            <w:r w:rsidRPr="00D35445">
              <w:rPr>
                <w:lang w:val="en-GB"/>
              </w:rPr>
              <w:t>Ministerului</w:t>
            </w:r>
            <w:proofErr w:type="spellEnd"/>
            <w:r w:rsidRPr="00D35445">
              <w:rPr>
                <w:lang w:val="en-GB"/>
              </w:rPr>
              <w:t xml:space="preserve"> </w:t>
            </w:r>
            <w:proofErr w:type="spellStart"/>
            <w:r w:rsidRPr="00D35445">
              <w:rPr>
                <w:lang w:val="en-GB"/>
              </w:rPr>
              <w:t>Economiei</w:t>
            </w:r>
            <w:proofErr w:type="spellEnd"/>
            <w:r w:rsidRPr="00D35445">
              <w:rPr>
                <w:lang w:val="en-GB"/>
              </w:rPr>
              <w:t xml:space="preserve"> </w:t>
            </w:r>
            <w:proofErr w:type="spellStart"/>
            <w:r w:rsidRPr="00D35445">
              <w:rPr>
                <w:lang w:val="en-GB"/>
              </w:rPr>
              <w:t>și</w:t>
            </w:r>
            <w:proofErr w:type="spellEnd"/>
            <w:r w:rsidRPr="00D35445">
              <w:rPr>
                <w:lang w:val="en-GB"/>
              </w:rPr>
              <w:t xml:space="preserve"> </w:t>
            </w:r>
            <w:proofErr w:type="spellStart"/>
            <w:r w:rsidRPr="00D35445">
              <w:rPr>
                <w:lang w:val="en-GB"/>
              </w:rPr>
              <w:t>Infrastructurii</w:t>
            </w:r>
            <w:proofErr w:type="spellEnd"/>
            <w:r w:rsidRPr="00D35445">
              <w:rPr>
                <w:lang w:val="en-GB"/>
              </w:rPr>
              <w:t xml:space="preserve">, </w:t>
            </w:r>
            <w:proofErr w:type="spellStart"/>
            <w:r w:rsidRPr="00D35445">
              <w:rPr>
                <w:lang w:val="en-GB"/>
              </w:rPr>
              <w:t>potrivit</w:t>
            </w:r>
            <w:proofErr w:type="spellEnd"/>
            <w:r w:rsidRPr="00D35445">
              <w:rPr>
                <w:lang w:val="en-GB"/>
              </w:rPr>
              <w:t xml:space="preserve"> </w:t>
            </w:r>
            <w:proofErr w:type="spellStart"/>
            <w:r w:rsidRPr="00D35445">
              <w:rPr>
                <w:lang w:val="en-GB"/>
              </w:rPr>
              <w:t>căruia</w:t>
            </w:r>
            <w:proofErr w:type="spellEnd"/>
            <w:r w:rsidRPr="00D35445">
              <w:rPr>
                <w:lang w:val="en-GB"/>
              </w:rPr>
              <w:t xml:space="preserve"> </w:t>
            </w:r>
            <w:proofErr w:type="spellStart"/>
            <w:r w:rsidRPr="00D35445">
              <w:rPr>
                <w:i/>
                <w:lang w:val="en-GB"/>
              </w:rPr>
              <w:t>este</w:t>
            </w:r>
            <w:proofErr w:type="spellEnd"/>
            <w:r w:rsidRPr="00D35445">
              <w:rPr>
                <w:i/>
                <w:lang w:val="en-GB"/>
              </w:rPr>
              <w:t xml:space="preserve"> </w:t>
            </w:r>
            <w:proofErr w:type="spellStart"/>
            <w:r w:rsidRPr="00D35445">
              <w:rPr>
                <w:i/>
                <w:lang w:val="en-GB"/>
              </w:rPr>
              <w:t>necesar</w:t>
            </w:r>
            <w:proofErr w:type="spellEnd"/>
            <w:r w:rsidRPr="00D35445">
              <w:rPr>
                <w:i/>
                <w:lang w:val="en-GB"/>
              </w:rPr>
              <w:t xml:space="preserve"> </w:t>
            </w:r>
            <w:proofErr w:type="spellStart"/>
            <w:r w:rsidRPr="00D35445">
              <w:rPr>
                <w:i/>
                <w:lang w:val="en-GB"/>
              </w:rPr>
              <w:t>efectuarea</w:t>
            </w:r>
            <w:proofErr w:type="spellEnd"/>
            <w:r w:rsidRPr="00D35445">
              <w:rPr>
                <w:i/>
                <w:lang w:val="en-GB"/>
              </w:rPr>
              <w:t xml:space="preserve"> </w:t>
            </w:r>
            <w:proofErr w:type="spellStart"/>
            <w:r w:rsidRPr="00D35445">
              <w:rPr>
                <w:i/>
                <w:lang w:val="en-GB"/>
              </w:rPr>
              <w:t>analizei</w:t>
            </w:r>
            <w:proofErr w:type="spellEnd"/>
            <w:r w:rsidRPr="00D35445">
              <w:rPr>
                <w:i/>
                <w:lang w:val="en-GB"/>
              </w:rPr>
              <w:t xml:space="preserve"> </w:t>
            </w:r>
            <w:proofErr w:type="spellStart"/>
            <w:r w:rsidRPr="00D35445">
              <w:rPr>
                <w:i/>
                <w:lang w:val="en-GB"/>
              </w:rPr>
              <w:t>impactului</w:t>
            </w:r>
            <w:proofErr w:type="spellEnd"/>
            <w:r w:rsidRPr="00D35445">
              <w:rPr>
                <w:i/>
                <w:lang w:val="en-GB"/>
              </w:rPr>
              <w:t xml:space="preserve"> </w:t>
            </w:r>
            <w:proofErr w:type="spellStart"/>
            <w:r w:rsidRPr="00D35445">
              <w:rPr>
                <w:i/>
                <w:lang w:val="en-GB"/>
              </w:rPr>
              <w:t>asupra</w:t>
            </w:r>
            <w:proofErr w:type="spellEnd"/>
            <w:r w:rsidRPr="00D35445">
              <w:rPr>
                <w:i/>
                <w:lang w:val="en-GB"/>
              </w:rPr>
              <w:t xml:space="preserve"> </w:t>
            </w:r>
            <w:proofErr w:type="spellStart"/>
            <w:r w:rsidRPr="00D35445">
              <w:rPr>
                <w:i/>
                <w:lang w:val="en-GB"/>
              </w:rPr>
              <w:t>bugetului</w:t>
            </w:r>
            <w:proofErr w:type="spellEnd"/>
            <w:r w:rsidRPr="00D35445">
              <w:rPr>
                <w:i/>
                <w:lang w:val="en-GB"/>
              </w:rPr>
              <w:t xml:space="preserve"> public </w:t>
            </w:r>
            <w:proofErr w:type="spellStart"/>
            <w:r w:rsidRPr="00D35445">
              <w:rPr>
                <w:i/>
                <w:lang w:val="en-GB"/>
              </w:rPr>
              <w:t>național</w:t>
            </w:r>
            <w:proofErr w:type="spellEnd"/>
            <w:r w:rsidRPr="00D35445">
              <w:rPr>
                <w:lang w:val="en-GB"/>
              </w:rPr>
              <w:t xml:space="preserve"> </w:t>
            </w:r>
            <w:proofErr w:type="spellStart"/>
            <w:r w:rsidRPr="00D35445">
              <w:rPr>
                <w:lang w:val="en-GB"/>
              </w:rPr>
              <w:lastRenderedPageBreak/>
              <w:t>în</w:t>
            </w:r>
            <w:proofErr w:type="spellEnd"/>
            <w:r w:rsidRPr="00D35445">
              <w:rPr>
                <w:lang w:val="en-GB"/>
              </w:rPr>
              <w:t xml:space="preserve"> </w:t>
            </w:r>
            <w:proofErr w:type="spellStart"/>
            <w:r w:rsidRPr="00D35445">
              <w:rPr>
                <w:lang w:val="en-GB"/>
              </w:rPr>
              <w:t>temeiul</w:t>
            </w:r>
            <w:proofErr w:type="spellEnd"/>
            <w:r w:rsidRPr="00D35445">
              <w:rPr>
                <w:lang w:val="en-GB"/>
              </w:rPr>
              <w:t xml:space="preserve"> pct.3 </w:t>
            </w:r>
            <w:proofErr w:type="spellStart"/>
            <w:r w:rsidRPr="00D35445">
              <w:rPr>
                <w:lang w:val="en-GB"/>
              </w:rPr>
              <w:t>subpunct</w:t>
            </w:r>
            <w:proofErr w:type="spellEnd"/>
            <w:r w:rsidRPr="00D35445">
              <w:rPr>
                <w:lang w:val="en-GB"/>
              </w:rPr>
              <w:t xml:space="preserve">. 2) din </w:t>
            </w:r>
            <w:proofErr w:type="spellStart"/>
            <w:r w:rsidRPr="00D35445">
              <w:rPr>
                <w:lang w:val="en-GB"/>
              </w:rPr>
              <w:t>Metodologia</w:t>
            </w:r>
            <w:proofErr w:type="spellEnd"/>
            <w:r w:rsidRPr="00D35445">
              <w:rPr>
                <w:lang w:val="en-GB"/>
              </w:rPr>
              <w:t xml:space="preserve"> de </w:t>
            </w:r>
            <w:proofErr w:type="spellStart"/>
            <w:r w:rsidRPr="00D35445">
              <w:rPr>
                <w:lang w:val="en-GB"/>
              </w:rPr>
              <w:t>analiză</w:t>
            </w:r>
            <w:proofErr w:type="spellEnd"/>
            <w:r w:rsidRPr="00D35445">
              <w:rPr>
                <w:lang w:val="en-GB"/>
              </w:rPr>
              <w:t xml:space="preserve"> a </w:t>
            </w:r>
            <w:proofErr w:type="spellStart"/>
            <w:r w:rsidRPr="00D35445">
              <w:rPr>
                <w:lang w:val="en-GB"/>
              </w:rPr>
              <w:t>impactului</w:t>
            </w:r>
            <w:proofErr w:type="spellEnd"/>
            <w:r w:rsidRPr="00D35445">
              <w:rPr>
                <w:lang w:val="en-GB"/>
              </w:rPr>
              <w:t xml:space="preserve"> </w:t>
            </w:r>
            <w:proofErr w:type="spellStart"/>
            <w:r w:rsidRPr="00D35445">
              <w:rPr>
                <w:lang w:val="en-GB"/>
              </w:rPr>
              <w:t>în</w:t>
            </w:r>
            <w:proofErr w:type="spellEnd"/>
            <w:r w:rsidRPr="00D35445">
              <w:rPr>
                <w:lang w:val="en-GB"/>
              </w:rPr>
              <w:t xml:space="preserve"> </w:t>
            </w:r>
            <w:proofErr w:type="spellStart"/>
            <w:r w:rsidRPr="00D35445">
              <w:rPr>
                <w:lang w:val="en-GB"/>
              </w:rPr>
              <w:t>procesul</w:t>
            </w:r>
            <w:proofErr w:type="spellEnd"/>
            <w:r w:rsidRPr="00D35445">
              <w:rPr>
                <w:lang w:val="en-GB"/>
              </w:rPr>
              <w:t xml:space="preserve"> de </w:t>
            </w:r>
            <w:proofErr w:type="spellStart"/>
            <w:r w:rsidRPr="00D35445">
              <w:rPr>
                <w:lang w:val="en-GB"/>
              </w:rPr>
              <w:t>fundamentare</w:t>
            </w:r>
            <w:proofErr w:type="spellEnd"/>
            <w:r w:rsidRPr="00D35445">
              <w:rPr>
                <w:lang w:val="en-GB"/>
              </w:rPr>
              <w:t xml:space="preserve"> a </w:t>
            </w:r>
            <w:proofErr w:type="spellStart"/>
            <w:r w:rsidRPr="00D35445">
              <w:rPr>
                <w:lang w:val="en-GB"/>
              </w:rPr>
              <w:t>proiectelor</w:t>
            </w:r>
            <w:proofErr w:type="spellEnd"/>
            <w:r w:rsidRPr="00D35445">
              <w:rPr>
                <w:lang w:val="en-GB"/>
              </w:rPr>
              <w:t xml:space="preserve"> de </w:t>
            </w:r>
            <w:proofErr w:type="spellStart"/>
            <w:r w:rsidRPr="00D35445">
              <w:rPr>
                <w:lang w:val="en-GB"/>
              </w:rPr>
              <w:t>acte</w:t>
            </w:r>
            <w:proofErr w:type="spellEnd"/>
            <w:r w:rsidRPr="00D35445">
              <w:rPr>
                <w:lang w:val="en-GB"/>
              </w:rPr>
              <w:t xml:space="preserve"> normative.</w:t>
            </w:r>
          </w:p>
          <w:p w:rsidR="00BA49F6" w:rsidRPr="00D35445" w:rsidRDefault="00BA49F6" w:rsidP="00BA49F6">
            <w:pPr>
              <w:pStyle w:val="Listparagraf"/>
              <w:jc w:val="both"/>
              <w:rPr>
                <w:lang w:val="en-GB"/>
              </w:rPr>
            </w:pPr>
          </w:p>
        </w:tc>
        <w:tc>
          <w:tcPr>
            <w:tcW w:w="5670" w:type="dxa"/>
          </w:tcPr>
          <w:p w:rsidR="00025ACD" w:rsidRPr="00D35445" w:rsidRDefault="00025ACD" w:rsidP="00654D9F">
            <w:pPr>
              <w:pStyle w:val="Default"/>
              <w:jc w:val="both"/>
              <w:rPr>
                <w:color w:val="auto"/>
                <w:lang w:val="ro-RO"/>
              </w:rPr>
            </w:pPr>
            <w:r w:rsidRPr="00D35445">
              <w:rPr>
                <w:color w:val="auto"/>
                <w:lang w:val="ro-RO"/>
              </w:rPr>
              <w:lastRenderedPageBreak/>
              <w:t xml:space="preserve">Scopul principal în implementarea normei respective este de fapt stoparea migrației în rândul populației apte și creșterea ratei de angajări în economia națională, acordând posibilitatea de a beneficia de suport din bugetul de stat la rambursarea creditului ipotecar, similar celor care au accesat credite ipotecare garantate parțial de stat ”Prima casă”. Astfel pentru anul 2020 </w:t>
            </w:r>
            <w:r w:rsidR="001251F9" w:rsidRPr="00D35445">
              <w:rPr>
                <w:color w:val="auto"/>
                <w:lang w:val="ro-RO"/>
              </w:rPr>
              <w:t xml:space="preserve">bugetul </w:t>
            </w:r>
            <w:r w:rsidRPr="00D35445">
              <w:rPr>
                <w:color w:val="auto"/>
                <w:lang w:val="ro-RO"/>
              </w:rPr>
              <w:t>aprobat p</w:t>
            </w:r>
            <w:r w:rsidR="001251F9" w:rsidRPr="00D35445">
              <w:rPr>
                <w:color w:val="auto"/>
                <w:lang w:val="ro-RO"/>
              </w:rPr>
              <w:t xml:space="preserve">entru programele de compensare este </w:t>
            </w:r>
            <w:r w:rsidRPr="00D35445">
              <w:rPr>
                <w:color w:val="auto"/>
                <w:lang w:val="ro-RO"/>
              </w:rPr>
              <w:t xml:space="preserve"> de 20 000,00 mii lei conform art.5 din Legea bugetului de stat pentru anul 2020 nr.172/2019.</w:t>
            </w:r>
          </w:p>
          <w:p w:rsidR="00025ACD" w:rsidRPr="00D35445" w:rsidRDefault="00025ACD" w:rsidP="00654D9F">
            <w:pPr>
              <w:pStyle w:val="Default"/>
              <w:jc w:val="both"/>
              <w:rPr>
                <w:b/>
                <w:color w:val="auto"/>
                <w:lang w:val="ro-RO"/>
              </w:rPr>
            </w:pPr>
            <w:r w:rsidRPr="00D35445">
              <w:rPr>
                <w:b/>
                <w:color w:val="auto"/>
                <w:lang w:val="ro-RO"/>
              </w:rPr>
              <w:t xml:space="preserve">Conform informației furnizate de Banca Națională a Moldovei în perioada anilor 2010-2018 (trim. I) au fost acordate </w:t>
            </w:r>
            <w:r w:rsidR="00C1161A" w:rsidRPr="00D35445">
              <w:rPr>
                <w:b/>
                <w:color w:val="auto"/>
                <w:lang w:val="ro-RO"/>
              </w:rPr>
              <w:t>11685</w:t>
            </w:r>
            <w:r w:rsidRPr="00D35445">
              <w:rPr>
                <w:b/>
                <w:color w:val="auto"/>
                <w:lang w:val="ro-RO"/>
              </w:rPr>
              <w:t xml:space="preserve"> credite ipotecare cu suma de până la 1 milion lei</w:t>
            </w:r>
            <w:r w:rsidR="008638D5" w:rsidRPr="00D35445">
              <w:rPr>
                <w:b/>
                <w:color w:val="auto"/>
                <w:lang w:val="ro-RO"/>
              </w:rPr>
              <w:t xml:space="preserve">. </w:t>
            </w:r>
          </w:p>
          <w:p w:rsidR="00C1161A" w:rsidRPr="00D35445" w:rsidRDefault="008638D5" w:rsidP="00654D9F">
            <w:pPr>
              <w:pStyle w:val="Default"/>
              <w:jc w:val="both"/>
              <w:rPr>
                <w:b/>
                <w:color w:val="auto"/>
                <w:lang w:val="ro-RO"/>
              </w:rPr>
            </w:pPr>
            <w:r w:rsidRPr="00D35445">
              <w:rPr>
                <w:b/>
                <w:color w:val="auto"/>
                <w:lang w:val="ro-RO"/>
              </w:rPr>
              <w:t xml:space="preserve">Compensația care urmează a se acorda categoriei respective de beneficiari, se va calcula din soldul creditului (suma principală) </w:t>
            </w:r>
            <w:r w:rsidR="001251F9" w:rsidRPr="00D35445">
              <w:rPr>
                <w:b/>
                <w:color w:val="auto"/>
                <w:lang w:val="ro-RO"/>
              </w:rPr>
              <w:t>rămas</w:t>
            </w:r>
            <w:r w:rsidRPr="00D35445">
              <w:rPr>
                <w:b/>
                <w:color w:val="auto"/>
                <w:lang w:val="ro-RO"/>
              </w:rPr>
              <w:t xml:space="preserve"> la data depunerii cererii de compensații.</w:t>
            </w:r>
            <w:r w:rsidR="00654D9F">
              <w:rPr>
                <w:b/>
                <w:color w:val="auto"/>
                <w:lang w:val="ro-RO"/>
              </w:rPr>
              <w:t xml:space="preserve"> U</w:t>
            </w:r>
            <w:r w:rsidR="00C1161A" w:rsidRPr="00D35445">
              <w:rPr>
                <w:b/>
                <w:color w:val="auto"/>
                <w:lang w:val="ro-RO"/>
              </w:rPr>
              <w:t>rmare</w:t>
            </w:r>
            <w:r w:rsidR="00654D9F">
              <w:rPr>
                <w:b/>
                <w:color w:val="auto"/>
                <w:lang w:val="ro-RO"/>
              </w:rPr>
              <w:t xml:space="preserve"> a unor calcule preliminare</w:t>
            </w:r>
            <w:r w:rsidR="00C1161A" w:rsidRPr="00D35445">
              <w:rPr>
                <w:b/>
                <w:color w:val="auto"/>
                <w:lang w:val="ro-RO"/>
              </w:rPr>
              <w:t xml:space="preserve"> pentru acordarea compensațiilor anual </w:t>
            </w:r>
            <w:r w:rsidR="004A3CB8" w:rsidRPr="00D35445">
              <w:rPr>
                <w:b/>
                <w:color w:val="auto"/>
                <w:lang w:val="ro-RO"/>
              </w:rPr>
              <w:t>se vor executa transferuri  de aproximativ 23021, 18 mii lei.</w:t>
            </w:r>
          </w:p>
          <w:p w:rsidR="00C1161A" w:rsidRPr="00D35445" w:rsidRDefault="00C1161A" w:rsidP="00654D9F">
            <w:pPr>
              <w:pStyle w:val="Default"/>
              <w:jc w:val="both"/>
              <w:rPr>
                <w:b/>
                <w:color w:val="auto"/>
                <w:lang w:val="ro-RO"/>
              </w:rPr>
            </w:pPr>
          </w:p>
          <w:p w:rsidR="00654D9F" w:rsidRDefault="00F772AE" w:rsidP="00654D9F">
            <w:pPr>
              <w:pStyle w:val="Default"/>
              <w:jc w:val="both"/>
              <w:rPr>
                <w:b/>
                <w:color w:val="auto"/>
                <w:lang w:val="ro-RO"/>
              </w:rPr>
            </w:pPr>
            <w:r w:rsidRPr="00D35445">
              <w:rPr>
                <w:b/>
                <w:color w:val="auto"/>
                <w:lang w:val="ro-RO"/>
              </w:rPr>
              <w:t>Nu se acceptă</w:t>
            </w:r>
          </w:p>
          <w:p w:rsidR="00654D9F" w:rsidRPr="00654D9F" w:rsidRDefault="00654D9F" w:rsidP="00654D9F">
            <w:pPr>
              <w:pStyle w:val="Default"/>
              <w:jc w:val="both"/>
              <w:rPr>
                <w:b/>
                <w:color w:val="auto"/>
                <w:lang w:val="ro-RO"/>
              </w:rPr>
            </w:pPr>
            <w:r w:rsidRPr="00D35445">
              <w:rPr>
                <w:lang w:val="ro-RO"/>
              </w:rPr>
              <w:t xml:space="preserve">Conform punctului 3 subpunctul 2 din </w:t>
            </w:r>
            <w:proofErr w:type="spellStart"/>
            <w:r w:rsidRPr="00654D9F">
              <w:rPr>
                <w:lang w:val="en-US"/>
              </w:rPr>
              <w:t>Metodologia</w:t>
            </w:r>
            <w:proofErr w:type="spellEnd"/>
            <w:r w:rsidRPr="00654D9F">
              <w:rPr>
                <w:lang w:val="en-US"/>
              </w:rPr>
              <w:t xml:space="preserve"> de </w:t>
            </w:r>
            <w:proofErr w:type="spellStart"/>
            <w:r w:rsidRPr="00654D9F">
              <w:rPr>
                <w:lang w:val="en-US"/>
              </w:rPr>
              <w:t>analiză</w:t>
            </w:r>
            <w:proofErr w:type="spellEnd"/>
            <w:r w:rsidRPr="00654D9F">
              <w:rPr>
                <w:lang w:val="en-US"/>
              </w:rPr>
              <w:t xml:space="preserve"> a </w:t>
            </w:r>
            <w:proofErr w:type="spellStart"/>
            <w:r w:rsidRPr="00654D9F">
              <w:rPr>
                <w:lang w:val="en-US"/>
              </w:rPr>
              <w:t>impactului</w:t>
            </w:r>
            <w:proofErr w:type="spellEnd"/>
            <w:r w:rsidRPr="00654D9F">
              <w:rPr>
                <w:lang w:val="en-US"/>
              </w:rPr>
              <w:t xml:space="preserve"> </w:t>
            </w:r>
            <w:proofErr w:type="spellStart"/>
            <w:r w:rsidRPr="00654D9F">
              <w:rPr>
                <w:lang w:val="en-US"/>
              </w:rPr>
              <w:t>în</w:t>
            </w:r>
            <w:proofErr w:type="spellEnd"/>
            <w:r w:rsidRPr="00654D9F">
              <w:rPr>
                <w:lang w:val="en-US"/>
              </w:rPr>
              <w:t xml:space="preserve"> </w:t>
            </w:r>
            <w:proofErr w:type="spellStart"/>
            <w:r w:rsidRPr="00654D9F">
              <w:rPr>
                <w:lang w:val="en-US"/>
              </w:rPr>
              <w:t>procesul</w:t>
            </w:r>
            <w:proofErr w:type="spellEnd"/>
            <w:r w:rsidRPr="00654D9F">
              <w:rPr>
                <w:lang w:val="en-US"/>
              </w:rPr>
              <w:t xml:space="preserve"> de </w:t>
            </w:r>
            <w:proofErr w:type="spellStart"/>
            <w:r w:rsidRPr="00654D9F">
              <w:rPr>
                <w:lang w:val="en-US"/>
              </w:rPr>
              <w:t>fundamentare</w:t>
            </w:r>
            <w:proofErr w:type="spellEnd"/>
            <w:r w:rsidRPr="00654D9F">
              <w:rPr>
                <w:lang w:val="en-US"/>
              </w:rPr>
              <w:t xml:space="preserve"> a </w:t>
            </w:r>
            <w:proofErr w:type="spellStart"/>
            <w:r w:rsidRPr="00654D9F">
              <w:rPr>
                <w:lang w:val="en-US"/>
              </w:rPr>
              <w:lastRenderedPageBreak/>
              <w:t>proiect</w:t>
            </w:r>
            <w:r>
              <w:rPr>
                <w:lang w:val="en-US"/>
              </w:rPr>
              <w:t>elor</w:t>
            </w:r>
            <w:proofErr w:type="spellEnd"/>
            <w:r>
              <w:rPr>
                <w:lang w:val="en-US"/>
              </w:rPr>
              <w:t xml:space="preserve"> de </w:t>
            </w:r>
            <w:proofErr w:type="spellStart"/>
            <w:r>
              <w:rPr>
                <w:lang w:val="en-US"/>
              </w:rPr>
              <w:t>acte</w:t>
            </w:r>
            <w:proofErr w:type="spellEnd"/>
            <w:r>
              <w:rPr>
                <w:lang w:val="en-US"/>
              </w:rPr>
              <w:t xml:space="preserve"> normative, </w:t>
            </w:r>
            <w:proofErr w:type="spellStart"/>
            <w:r>
              <w:rPr>
                <w:lang w:val="en-US"/>
              </w:rPr>
              <w:t>aprobată</w:t>
            </w:r>
            <w:proofErr w:type="spellEnd"/>
            <w:r w:rsidRPr="00654D9F">
              <w:rPr>
                <w:lang w:val="en-US"/>
              </w:rPr>
              <w:t xml:space="preserve"> </w:t>
            </w:r>
            <w:proofErr w:type="spellStart"/>
            <w:r w:rsidRPr="00654D9F">
              <w:rPr>
                <w:lang w:val="en-US"/>
              </w:rPr>
              <w:t>prin</w:t>
            </w:r>
            <w:proofErr w:type="spellEnd"/>
            <w:r w:rsidRPr="00654D9F">
              <w:rPr>
                <w:lang w:val="en-US"/>
              </w:rPr>
              <w:t xml:space="preserve">  </w:t>
            </w:r>
            <w:proofErr w:type="spellStart"/>
            <w:r w:rsidRPr="00D35445">
              <w:rPr>
                <w:lang w:val="ro-RO"/>
              </w:rPr>
              <w:t>Hotărîrea</w:t>
            </w:r>
            <w:proofErr w:type="spellEnd"/>
            <w:r w:rsidRPr="00D35445">
              <w:rPr>
                <w:lang w:val="ro-RO"/>
              </w:rPr>
              <w:t xml:space="preserve">  Guvernului nr. 23/2019</w:t>
            </w:r>
            <w:r w:rsidRPr="00654D9F">
              <w:rPr>
                <w:color w:val="333333"/>
                <w:lang w:val="en-US"/>
              </w:rPr>
              <w:t xml:space="preserve"> </w:t>
            </w:r>
          </w:p>
          <w:p w:rsidR="00654D9F" w:rsidRPr="00D35445" w:rsidRDefault="00654D9F" w:rsidP="00654D9F">
            <w:pPr>
              <w:shd w:val="clear" w:color="auto" w:fill="FFFFFF"/>
              <w:ind w:firstLine="540"/>
              <w:jc w:val="both"/>
              <w:rPr>
                <w:lang w:val="en-GB" w:eastAsia="en-GB"/>
              </w:rPr>
            </w:pPr>
            <w:r w:rsidRPr="00D35445">
              <w:rPr>
                <w:lang w:val="en-GB" w:eastAsia="en-GB"/>
              </w:rPr>
              <w:t xml:space="preserve">3. Sub </w:t>
            </w:r>
            <w:proofErr w:type="spellStart"/>
            <w:r w:rsidRPr="00D35445">
              <w:rPr>
                <w:lang w:val="en-GB" w:eastAsia="en-GB"/>
              </w:rPr>
              <w:t>incidenţa</w:t>
            </w:r>
            <w:proofErr w:type="spellEnd"/>
            <w:r w:rsidRPr="00D35445">
              <w:rPr>
                <w:lang w:val="en-GB" w:eastAsia="en-GB"/>
              </w:rPr>
              <w:t xml:space="preserve"> </w:t>
            </w:r>
            <w:proofErr w:type="spellStart"/>
            <w:r w:rsidRPr="00D35445">
              <w:rPr>
                <w:lang w:val="en-GB" w:eastAsia="en-GB"/>
              </w:rPr>
              <w:t>prezentei</w:t>
            </w:r>
            <w:proofErr w:type="spellEnd"/>
            <w:r w:rsidRPr="00D35445">
              <w:rPr>
                <w:lang w:val="en-GB" w:eastAsia="en-GB"/>
              </w:rPr>
              <w:t xml:space="preserve"> </w:t>
            </w:r>
            <w:proofErr w:type="spellStart"/>
            <w:r w:rsidRPr="00D35445">
              <w:rPr>
                <w:lang w:val="en-GB" w:eastAsia="en-GB"/>
              </w:rPr>
              <w:t>Metodologii</w:t>
            </w:r>
            <w:proofErr w:type="spellEnd"/>
            <w:r w:rsidRPr="00D35445">
              <w:rPr>
                <w:lang w:val="en-GB" w:eastAsia="en-GB"/>
              </w:rPr>
              <w:t xml:space="preserve"> cad:</w:t>
            </w:r>
          </w:p>
          <w:p w:rsidR="00654D9F" w:rsidRPr="00654D9F" w:rsidRDefault="00654D9F" w:rsidP="00654D9F">
            <w:pPr>
              <w:shd w:val="clear" w:color="auto" w:fill="FFFFFF"/>
              <w:ind w:firstLine="540"/>
              <w:jc w:val="both"/>
              <w:rPr>
                <w:b/>
                <w:lang w:val="en-GB" w:eastAsia="en-GB"/>
              </w:rPr>
            </w:pPr>
            <w:r w:rsidRPr="00D35445">
              <w:rPr>
                <w:b/>
                <w:lang w:val="en-GB" w:eastAsia="en-GB"/>
              </w:rPr>
              <w:t xml:space="preserve">2) </w:t>
            </w:r>
            <w:proofErr w:type="spellStart"/>
            <w:r w:rsidRPr="00D35445">
              <w:rPr>
                <w:b/>
                <w:lang w:val="en-GB" w:eastAsia="en-GB"/>
              </w:rPr>
              <w:t>proiectele</w:t>
            </w:r>
            <w:proofErr w:type="spellEnd"/>
            <w:r w:rsidRPr="00D35445">
              <w:rPr>
                <w:b/>
                <w:lang w:val="en-GB" w:eastAsia="en-GB"/>
              </w:rPr>
              <w:t xml:space="preserve"> de </w:t>
            </w:r>
            <w:proofErr w:type="spellStart"/>
            <w:r w:rsidRPr="00D35445">
              <w:rPr>
                <w:b/>
                <w:lang w:val="en-GB" w:eastAsia="en-GB"/>
              </w:rPr>
              <w:t>acte</w:t>
            </w:r>
            <w:proofErr w:type="spellEnd"/>
            <w:r w:rsidRPr="00D35445">
              <w:rPr>
                <w:b/>
                <w:lang w:val="en-GB" w:eastAsia="en-GB"/>
              </w:rPr>
              <w:t xml:space="preserve"> normative care </w:t>
            </w:r>
            <w:proofErr w:type="spellStart"/>
            <w:r w:rsidRPr="00D35445">
              <w:rPr>
                <w:b/>
                <w:lang w:val="en-GB" w:eastAsia="en-GB"/>
              </w:rPr>
              <w:t>conțin</w:t>
            </w:r>
            <w:proofErr w:type="spellEnd"/>
            <w:r w:rsidRPr="00D35445">
              <w:rPr>
                <w:b/>
                <w:lang w:val="en-GB" w:eastAsia="en-GB"/>
              </w:rPr>
              <w:t xml:space="preserve"> </w:t>
            </w:r>
            <w:proofErr w:type="spellStart"/>
            <w:r w:rsidRPr="00D35445">
              <w:rPr>
                <w:b/>
                <w:lang w:val="en-GB" w:eastAsia="en-GB"/>
              </w:rPr>
              <w:t>reglementări</w:t>
            </w:r>
            <w:proofErr w:type="spellEnd"/>
            <w:r w:rsidRPr="00D35445">
              <w:rPr>
                <w:b/>
                <w:lang w:val="en-GB" w:eastAsia="en-GB"/>
              </w:rPr>
              <w:t xml:space="preserve"> cu impact </w:t>
            </w:r>
            <w:proofErr w:type="spellStart"/>
            <w:r w:rsidRPr="00D35445">
              <w:rPr>
                <w:b/>
                <w:lang w:val="en-GB" w:eastAsia="en-GB"/>
              </w:rPr>
              <w:t>asupra</w:t>
            </w:r>
            <w:proofErr w:type="spellEnd"/>
            <w:r w:rsidRPr="00D35445">
              <w:rPr>
                <w:b/>
                <w:lang w:val="en-GB" w:eastAsia="en-GB"/>
              </w:rPr>
              <w:t xml:space="preserve"> </w:t>
            </w:r>
            <w:proofErr w:type="spellStart"/>
            <w:r w:rsidRPr="00D35445">
              <w:rPr>
                <w:b/>
                <w:lang w:val="en-GB" w:eastAsia="en-GB"/>
              </w:rPr>
              <w:t>bugetului</w:t>
            </w:r>
            <w:proofErr w:type="spellEnd"/>
            <w:r w:rsidRPr="00D35445">
              <w:rPr>
                <w:b/>
                <w:lang w:val="en-GB" w:eastAsia="en-GB"/>
              </w:rPr>
              <w:t xml:space="preserve"> public </w:t>
            </w:r>
            <w:proofErr w:type="spellStart"/>
            <w:r w:rsidRPr="00D35445">
              <w:rPr>
                <w:b/>
                <w:lang w:val="en-GB" w:eastAsia="en-GB"/>
              </w:rPr>
              <w:t>național</w:t>
            </w:r>
            <w:proofErr w:type="spellEnd"/>
            <w:r w:rsidRPr="00D35445">
              <w:rPr>
                <w:b/>
                <w:lang w:val="en-GB" w:eastAsia="en-GB"/>
              </w:rPr>
              <w:t xml:space="preserve"> </w:t>
            </w:r>
            <w:proofErr w:type="spellStart"/>
            <w:r w:rsidRPr="00D35445">
              <w:rPr>
                <w:b/>
                <w:lang w:val="en-GB" w:eastAsia="en-GB"/>
              </w:rPr>
              <w:t>sau</w:t>
            </w:r>
            <w:proofErr w:type="spellEnd"/>
            <w:r w:rsidRPr="00D35445">
              <w:rPr>
                <w:b/>
                <w:lang w:val="en-GB" w:eastAsia="en-GB"/>
              </w:rPr>
              <w:t xml:space="preserve"> a </w:t>
            </w:r>
            <w:proofErr w:type="spellStart"/>
            <w:r w:rsidRPr="00D35445">
              <w:rPr>
                <w:b/>
                <w:lang w:val="en-GB" w:eastAsia="en-GB"/>
              </w:rPr>
              <w:t>unor</w:t>
            </w:r>
            <w:proofErr w:type="spellEnd"/>
            <w:r w:rsidRPr="00D35445">
              <w:rPr>
                <w:b/>
                <w:lang w:val="en-GB" w:eastAsia="en-GB"/>
              </w:rPr>
              <w:t xml:space="preserve"> </w:t>
            </w:r>
            <w:proofErr w:type="spellStart"/>
            <w:r w:rsidRPr="00D35445">
              <w:rPr>
                <w:b/>
                <w:lang w:val="en-GB" w:eastAsia="en-GB"/>
              </w:rPr>
              <w:t>componente</w:t>
            </w:r>
            <w:proofErr w:type="spellEnd"/>
            <w:r w:rsidRPr="00D35445">
              <w:rPr>
                <w:b/>
                <w:lang w:val="en-GB" w:eastAsia="en-GB"/>
              </w:rPr>
              <w:t xml:space="preserve"> din </w:t>
            </w:r>
            <w:proofErr w:type="spellStart"/>
            <w:r w:rsidRPr="00D35445">
              <w:rPr>
                <w:b/>
                <w:lang w:val="en-GB" w:eastAsia="en-GB"/>
              </w:rPr>
              <w:t>cadrul</w:t>
            </w:r>
            <w:proofErr w:type="spellEnd"/>
            <w:r w:rsidRPr="00D35445">
              <w:rPr>
                <w:b/>
                <w:lang w:val="en-GB" w:eastAsia="en-GB"/>
              </w:rPr>
              <w:t xml:space="preserve"> </w:t>
            </w:r>
            <w:proofErr w:type="spellStart"/>
            <w:r w:rsidRPr="00D35445">
              <w:rPr>
                <w:b/>
                <w:lang w:val="en-GB" w:eastAsia="en-GB"/>
              </w:rPr>
              <w:t>acestuia</w:t>
            </w:r>
            <w:proofErr w:type="spellEnd"/>
            <w:r w:rsidRPr="00D35445">
              <w:rPr>
                <w:b/>
                <w:lang w:val="en-GB" w:eastAsia="en-GB"/>
              </w:rPr>
              <w:t>;</w:t>
            </w:r>
          </w:p>
          <w:p w:rsidR="001554E7" w:rsidRPr="00D35445" w:rsidRDefault="00654D9F" w:rsidP="00654D9F">
            <w:pPr>
              <w:pStyle w:val="Titlu4"/>
              <w:shd w:val="clear" w:color="auto" w:fill="FFFFFF"/>
              <w:spacing w:before="0" w:beforeAutospacing="0" w:after="0" w:afterAutospacing="0"/>
              <w:jc w:val="both"/>
              <w:outlineLvl w:val="3"/>
              <w:rPr>
                <w:lang w:val="ro-RO"/>
              </w:rPr>
            </w:pPr>
            <w:r>
              <w:rPr>
                <w:b w:val="0"/>
                <w:lang w:val="ro-RO"/>
              </w:rPr>
              <w:t>Astfel, a</w:t>
            </w:r>
            <w:r w:rsidR="00CD5652" w:rsidRPr="00D35445">
              <w:rPr>
                <w:b w:val="0"/>
                <w:lang w:val="ro-RO"/>
              </w:rPr>
              <w:t>naliza impactului se va efectua la etapa modificării cadrului normativ aferent programelor de compensare derulate în cadrul Programului de stat „Prima casă”, deoarece la etapa implementării proiectului respectiv alocarea de  mijloace suplimentare din bugetul de stat nu este necesar.</w:t>
            </w:r>
            <w:r w:rsidR="001554E7" w:rsidRPr="00D35445">
              <w:rPr>
                <w:b w:val="0"/>
                <w:lang w:val="ro-RO"/>
              </w:rPr>
              <w:t xml:space="preserve"> </w:t>
            </w:r>
          </w:p>
        </w:tc>
      </w:tr>
      <w:tr w:rsidR="008638D5" w:rsidRPr="007C6AEB" w:rsidTr="00E30CA3">
        <w:trPr>
          <w:trHeight w:val="713"/>
        </w:trPr>
        <w:tc>
          <w:tcPr>
            <w:tcW w:w="2943" w:type="dxa"/>
          </w:tcPr>
          <w:p w:rsidR="008638D5" w:rsidRPr="00D35445" w:rsidRDefault="008638D5" w:rsidP="00A56797">
            <w:pPr>
              <w:pStyle w:val="Default"/>
              <w:rPr>
                <w:b/>
                <w:color w:val="auto"/>
                <w:lang w:val="ro-RO"/>
              </w:rPr>
            </w:pPr>
          </w:p>
        </w:tc>
        <w:tc>
          <w:tcPr>
            <w:tcW w:w="6096" w:type="dxa"/>
          </w:tcPr>
          <w:p w:rsidR="00CD5652" w:rsidRPr="00D35445" w:rsidRDefault="00CD5652" w:rsidP="00CD5652">
            <w:pPr>
              <w:pStyle w:val="Listparagraf"/>
              <w:numPr>
                <w:ilvl w:val="0"/>
                <w:numId w:val="2"/>
              </w:numPr>
              <w:spacing w:after="160" w:line="276" w:lineRule="auto"/>
              <w:jc w:val="both"/>
              <w:rPr>
                <w:rFonts w:eastAsia="Calibri"/>
                <w:iCs/>
                <w:lang w:val="en-GB"/>
              </w:rPr>
            </w:pPr>
            <w:r w:rsidRPr="00D35445">
              <w:rPr>
                <w:lang w:val="en-GB"/>
              </w:rPr>
              <w:t xml:space="preserve">La </w:t>
            </w:r>
            <w:r w:rsidRPr="00D35445">
              <w:rPr>
                <w:b/>
                <w:lang w:val="en-GB"/>
              </w:rPr>
              <w:t xml:space="preserve">Art. II </w:t>
            </w:r>
            <w:r w:rsidRPr="00D35445">
              <w:rPr>
                <w:rFonts w:eastAsia="Calibri"/>
                <w:iCs/>
                <w:lang w:val="ro-RO"/>
              </w:rPr>
              <w:t xml:space="preserve">ce prevede intrarea în vigoare a proiectului de lege, expunem că art. 56 </w:t>
            </w:r>
            <w:r w:rsidR="007A06BD" w:rsidRPr="00D35445">
              <w:rPr>
                <w:rFonts w:eastAsia="Calibri"/>
                <w:iCs/>
                <w:lang w:val="ro-RO"/>
              </w:rPr>
              <w:t>alin. (</w:t>
            </w:r>
            <w:r w:rsidRPr="00D35445">
              <w:rPr>
                <w:rFonts w:eastAsia="Calibri"/>
                <w:iCs/>
                <w:lang w:val="ro-RO"/>
              </w:rPr>
              <w:t xml:space="preserve">1) din Legea nr. 100/2017 prevede că: de regulă actele normative intră în vigoare peste o lună de la data publicării sau la data indicată în textul actului normativ, care nu poate fi anterioară datei publicării. Alin.(3) al articolului menționat </w:t>
            </w:r>
            <w:r w:rsidRPr="00D35445">
              <w:rPr>
                <w:rFonts w:eastAsia="Calibri"/>
                <w:i/>
                <w:iCs/>
                <w:lang w:val="ro-RO"/>
              </w:rPr>
              <w:t>supra</w:t>
            </w:r>
            <w:r w:rsidRPr="00D35445">
              <w:rPr>
                <w:rFonts w:eastAsia="Calibri"/>
                <w:iCs/>
                <w:lang w:val="ro-RO"/>
              </w:rPr>
              <w:t xml:space="preserve"> expune expres cazurile în care poate fi stabilită o altă dată de intrare în vigoare a actelor normative. Dat fiind faptul, că Nota informativă nu cuprinde aceste circumstanțe, considerăm inoportun urgentarea intrării în vigoare a proiectului de lege.</w:t>
            </w:r>
          </w:p>
          <w:p w:rsidR="00CD5652" w:rsidRPr="00D35445" w:rsidRDefault="00CD5652" w:rsidP="00CD5652">
            <w:pPr>
              <w:spacing w:after="160" w:line="276" w:lineRule="auto"/>
              <w:jc w:val="both"/>
              <w:rPr>
                <w:rFonts w:eastAsia="Calibri"/>
                <w:iCs/>
                <w:lang w:val="en-GB"/>
              </w:rPr>
            </w:pPr>
          </w:p>
          <w:p w:rsidR="00CD5652" w:rsidRPr="00D35445" w:rsidRDefault="00BB41E5" w:rsidP="00CD5652">
            <w:pPr>
              <w:pStyle w:val="Listparagraf"/>
              <w:numPr>
                <w:ilvl w:val="0"/>
                <w:numId w:val="2"/>
              </w:numPr>
              <w:spacing w:after="160" w:line="276" w:lineRule="auto"/>
              <w:jc w:val="both"/>
              <w:rPr>
                <w:rFonts w:eastAsia="Calibri"/>
                <w:iCs/>
                <w:lang w:val="en-GB"/>
              </w:rPr>
            </w:pPr>
            <w:r w:rsidRPr="00D35445">
              <w:rPr>
                <w:rFonts w:eastAsia="Calibri"/>
                <w:iCs/>
                <w:lang w:val="ro-RO"/>
              </w:rPr>
              <w:lastRenderedPageBreak/>
              <w:t>Luând</w:t>
            </w:r>
            <w:r w:rsidR="00CD5652" w:rsidRPr="00D35445">
              <w:rPr>
                <w:rFonts w:eastAsia="Calibri"/>
                <w:iCs/>
                <w:lang w:val="ro-RO"/>
              </w:rPr>
              <w:t xml:space="preserve"> în considerare </w:t>
            </w:r>
            <w:r w:rsidR="00CD5652" w:rsidRPr="00D35445">
              <w:rPr>
                <w:rFonts w:eastAsia="Calibri"/>
                <w:iCs/>
                <w:lang w:val="en-GB"/>
              </w:rPr>
              <w:t xml:space="preserve">că </w:t>
            </w:r>
            <w:r w:rsidR="00CD5652" w:rsidRPr="00D35445">
              <w:rPr>
                <w:rFonts w:eastAsia="Calibri"/>
                <w:iCs/>
                <w:lang w:val="ro-RO"/>
              </w:rPr>
              <w:t>cadrul legal aferent implementării Programului de stat "</w:t>
            </w:r>
            <w:r w:rsidR="00CD5652" w:rsidRPr="00D35445">
              <w:rPr>
                <w:rFonts w:eastAsia="Calibri"/>
                <w:i/>
                <w:iCs/>
                <w:lang w:val="ro-RO"/>
              </w:rPr>
              <w:t xml:space="preserve">Prima casă" </w:t>
            </w:r>
            <w:r w:rsidR="00CD5652" w:rsidRPr="00D35445">
              <w:rPr>
                <w:rFonts w:eastAsia="Calibri"/>
                <w:iCs/>
                <w:lang w:val="ro-RO"/>
              </w:rPr>
              <w:t xml:space="preserve">cuprinde mai multe acte normative precum: </w:t>
            </w:r>
          </w:p>
          <w:p w:rsidR="00CD5652" w:rsidRPr="00D35445" w:rsidRDefault="00CD5652" w:rsidP="00CD5652">
            <w:pPr>
              <w:pStyle w:val="Listparagraf"/>
              <w:spacing w:after="160" w:line="276" w:lineRule="auto"/>
              <w:jc w:val="both"/>
              <w:rPr>
                <w:rFonts w:eastAsia="Calibri"/>
                <w:iCs/>
                <w:lang w:val="ro-RO"/>
              </w:rPr>
            </w:pPr>
            <w:r w:rsidRPr="00D35445">
              <w:rPr>
                <w:rFonts w:eastAsia="Calibri"/>
                <w:iCs/>
                <w:lang w:val="ro-RO"/>
              </w:rPr>
              <w:t xml:space="preserve"> - </w:t>
            </w:r>
            <w:r w:rsidRPr="00D35445">
              <w:rPr>
                <w:rFonts w:eastAsia="Calibri"/>
                <w:i/>
                <w:iCs/>
                <w:lang w:val="ro-RO"/>
              </w:rPr>
              <w:t>Regulamentul de implementare a Programului de stat "Prima casă "</w:t>
            </w:r>
            <w:r w:rsidRPr="00D35445">
              <w:rPr>
                <w:rFonts w:eastAsia="Calibri"/>
                <w:iCs/>
                <w:lang w:val="ro-RO"/>
              </w:rPr>
              <w:t xml:space="preserve">adoptat prin </w:t>
            </w:r>
            <w:r w:rsidR="00BB41E5" w:rsidRPr="00D35445">
              <w:rPr>
                <w:rFonts w:eastAsia="Calibri"/>
                <w:iCs/>
                <w:lang w:val="ro-RO"/>
              </w:rPr>
              <w:t>Hotărârea</w:t>
            </w:r>
            <w:r w:rsidRPr="00D35445">
              <w:rPr>
                <w:rFonts w:eastAsia="Calibri"/>
                <w:iCs/>
                <w:lang w:val="ro-RO"/>
              </w:rPr>
              <w:t xml:space="preserve"> Guvernului nr. 202/2018; </w:t>
            </w:r>
          </w:p>
          <w:p w:rsidR="00CD5652" w:rsidRPr="00D35445" w:rsidRDefault="00CD5652" w:rsidP="00CD5652">
            <w:pPr>
              <w:pStyle w:val="Listparagraf"/>
              <w:spacing w:after="160" w:line="276" w:lineRule="auto"/>
              <w:jc w:val="both"/>
              <w:rPr>
                <w:rFonts w:eastAsia="Calibri"/>
                <w:iCs/>
                <w:lang w:val="ro-RO"/>
              </w:rPr>
            </w:pPr>
            <w:r w:rsidRPr="00D35445">
              <w:rPr>
                <w:rFonts w:eastAsia="Calibri"/>
                <w:iCs/>
                <w:lang w:val="ro-RO"/>
              </w:rPr>
              <w:t xml:space="preserve">- </w:t>
            </w:r>
            <w:r w:rsidR="00BB41E5" w:rsidRPr="00D35445">
              <w:rPr>
                <w:rFonts w:eastAsia="Calibri"/>
                <w:iCs/>
                <w:lang w:val="ro-RO"/>
              </w:rPr>
              <w:t>Hotărârea</w:t>
            </w:r>
            <w:r w:rsidRPr="00D35445">
              <w:rPr>
                <w:rFonts w:eastAsia="Calibri"/>
                <w:iCs/>
                <w:lang w:val="ro-RO"/>
              </w:rPr>
              <w:t xml:space="preserve"> Guvernului nr. 679/2019 </w:t>
            </w:r>
            <w:r w:rsidRPr="00D35445">
              <w:rPr>
                <w:rFonts w:eastAsia="Calibri"/>
                <w:i/>
                <w:iCs/>
                <w:lang w:val="ro-RO"/>
              </w:rPr>
              <w:t>cu privire la stabilirea pentru anul 2020 a marjei maxime în cadrul Programului de stat "Prima casă</w:t>
            </w:r>
            <w:r w:rsidRPr="00D35445">
              <w:rPr>
                <w:rFonts w:eastAsia="Calibri"/>
                <w:iCs/>
                <w:lang w:val="ro-RO"/>
              </w:rPr>
              <w:t xml:space="preserve">", </w:t>
            </w:r>
          </w:p>
          <w:p w:rsidR="009A6AB7" w:rsidRPr="00D35445" w:rsidRDefault="009A6AB7" w:rsidP="00CD5652">
            <w:pPr>
              <w:pStyle w:val="Listparagraf"/>
              <w:spacing w:after="160" w:line="276" w:lineRule="auto"/>
              <w:jc w:val="both"/>
              <w:rPr>
                <w:rFonts w:eastAsia="Calibri"/>
                <w:iCs/>
                <w:lang w:val="ro-RO"/>
              </w:rPr>
            </w:pPr>
          </w:p>
          <w:p w:rsidR="009A6AB7" w:rsidRPr="00D35445" w:rsidRDefault="009A6AB7" w:rsidP="00CD5652">
            <w:pPr>
              <w:pStyle w:val="Listparagraf"/>
              <w:spacing w:after="160" w:line="276" w:lineRule="auto"/>
              <w:jc w:val="both"/>
              <w:rPr>
                <w:rFonts w:eastAsia="Calibri"/>
                <w:iCs/>
                <w:lang w:val="ro-RO"/>
              </w:rPr>
            </w:pPr>
          </w:p>
          <w:p w:rsidR="00C1161A" w:rsidRPr="00D35445" w:rsidRDefault="00C1161A" w:rsidP="00C1161A">
            <w:pPr>
              <w:spacing w:after="160" w:line="276" w:lineRule="auto"/>
              <w:jc w:val="both"/>
              <w:rPr>
                <w:rFonts w:eastAsia="Calibri"/>
                <w:iCs/>
                <w:lang w:val="ro-RO"/>
              </w:rPr>
            </w:pPr>
          </w:p>
          <w:p w:rsidR="00C1161A" w:rsidRPr="00D35445" w:rsidRDefault="00C1161A" w:rsidP="00CD5652">
            <w:pPr>
              <w:pStyle w:val="Listparagraf"/>
              <w:spacing w:after="160" w:line="276" w:lineRule="auto"/>
              <w:jc w:val="both"/>
              <w:rPr>
                <w:rFonts w:eastAsia="Calibri"/>
                <w:iCs/>
                <w:lang w:val="ro-RO"/>
              </w:rPr>
            </w:pPr>
          </w:p>
          <w:p w:rsidR="00C1161A" w:rsidRPr="00D35445" w:rsidRDefault="00C1161A" w:rsidP="004A3CB8">
            <w:pPr>
              <w:spacing w:after="160" w:line="276" w:lineRule="auto"/>
              <w:jc w:val="both"/>
              <w:rPr>
                <w:rFonts w:eastAsia="Calibri"/>
                <w:iCs/>
                <w:lang w:val="ro-RO"/>
              </w:rPr>
            </w:pPr>
          </w:p>
          <w:p w:rsidR="00CD5652" w:rsidRPr="00D35445" w:rsidRDefault="00CD5652" w:rsidP="00CD5652">
            <w:pPr>
              <w:pStyle w:val="Listparagraf"/>
              <w:spacing w:after="160" w:line="276" w:lineRule="auto"/>
              <w:jc w:val="both"/>
              <w:rPr>
                <w:rFonts w:eastAsia="Calibri"/>
                <w:iCs/>
                <w:lang w:val="ro-RO"/>
              </w:rPr>
            </w:pPr>
            <w:r w:rsidRPr="00D35445">
              <w:rPr>
                <w:rFonts w:eastAsia="Calibri"/>
                <w:iCs/>
                <w:lang w:val="ro-RO"/>
              </w:rPr>
              <w:t xml:space="preserve">-  </w:t>
            </w:r>
            <w:r w:rsidR="00BB41E5" w:rsidRPr="00D35445">
              <w:rPr>
                <w:rFonts w:eastAsia="Calibri"/>
                <w:iCs/>
                <w:lang w:val="ro-RO"/>
              </w:rPr>
              <w:t>Hotărârea</w:t>
            </w:r>
            <w:r w:rsidRPr="00D35445">
              <w:rPr>
                <w:rFonts w:eastAsia="Calibri"/>
                <w:iCs/>
                <w:lang w:val="ro-RO"/>
              </w:rPr>
              <w:t xml:space="preserve"> Guvernului nr. 567/2018 pentru aprobarea Regulamentului privind modul de acordare din bugetul de stat a compensațiilor pentru angajații din sectorul public participanți în cadrul Programului de stat </w:t>
            </w:r>
            <w:r w:rsidRPr="00D35445">
              <w:rPr>
                <w:rFonts w:eastAsia="Calibri"/>
                <w:i/>
                <w:iCs/>
                <w:lang w:val="ro-RO"/>
              </w:rPr>
              <w:t>"Prima casă"</w:t>
            </w:r>
            <w:r w:rsidRPr="00D35445">
              <w:rPr>
                <w:rFonts w:eastAsia="Calibri"/>
                <w:iCs/>
                <w:lang w:val="ro-RO"/>
              </w:rPr>
              <w:t xml:space="preserve">, </w:t>
            </w:r>
          </w:p>
          <w:p w:rsidR="00CD5652" w:rsidRPr="00D35445" w:rsidRDefault="00CD5652" w:rsidP="00CD5652">
            <w:pPr>
              <w:spacing w:after="160" w:line="276" w:lineRule="auto"/>
              <w:jc w:val="both"/>
              <w:rPr>
                <w:rFonts w:eastAsia="Calibri"/>
                <w:iCs/>
                <w:lang w:val="en-GB"/>
              </w:rPr>
            </w:pPr>
            <w:r w:rsidRPr="00D35445">
              <w:rPr>
                <w:rFonts w:eastAsia="Calibri"/>
                <w:iCs/>
                <w:lang w:val="ro-RO"/>
              </w:rPr>
              <w:t xml:space="preserve">    considerăm necesar completarea dispozițiilor finale din cadrul </w:t>
            </w:r>
            <w:r w:rsidRPr="00D35445">
              <w:rPr>
                <w:rFonts w:eastAsia="Calibri"/>
                <w:b/>
                <w:iCs/>
                <w:lang w:val="ro-RO"/>
              </w:rPr>
              <w:t>Art.II</w:t>
            </w:r>
            <w:r w:rsidRPr="00D35445">
              <w:rPr>
                <w:rFonts w:eastAsia="Calibri"/>
                <w:iCs/>
                <w:lang w:val="ro-RO"/>
              </w:rPr>
              <w:t xml:space="preserve"> din proiect cu o normă nouă care să cuprindă termenul de ajustare a cadrului normativ cu proiectul propus. </w:t>
            </w:r>
          </w:p>
          <w:p w:rsidR="008638D5" w:rsidRPr="00D35445" w:rsidRDefault="008638D5" w:rsidP="007A06BD">
            <w:pPr>
              <w:jc w:val="both"/>
              <w:rPr>
                <w:lang w:val="en-GB"/>
              </w:rPr>
            </w:pPr>
          </w:p>
        </w:tc>
        <w:tc>
          <w:tcPr>
            <w:tcW w:w="5670" w:type="dxa"/>
          </w:tcPr>
          <w:p w:rsidR="00CD5652" w:rsidRPr="00D35445" w:rsidRDefault="00E10105" w:rsidP="00025ACD">
            <w:pPr>
              <w:pStyle w:val="Default"/>
              <w:rPr>
                <w:b/>
                <w:color w:val="auto"/>
                <w:lang w:val="ro-RO"/>
              </w:rPr>
            </w:pPr>
            <w:r w:rsidRPr="00D35445">
              <w:rPr>
                <w:b/>
                <w:color w:val="auto"/>
                <w:lang w:val="ro-RO"/>
              </w:rPr>
              <w:lastRenderedPageBreak/>
              <w:t>Se acceptă</w:t>
            </w:r>
          </w:p>
          <w:p w:rsidR="00CD5652" w:rsidRPr="00D35445" w:rsidRDefault="00213603" w:rsidP="00025ACD">
            <w:pPr>
              <w:pStyle w:val="Default"/>
              <w:rPr>
                <w:color w:val="auto"/>
                <w:lang w:val="ro-RO"/>
              </w:rPr>
            </w:pPr>
            <w:r>
              <w:rPr>
                <w:color w:val="auto"/>
                <w:lang w:val="ro-RO"/>
              </w:rPr>
              <w:t>Norma respectivă va avea conținutul:</w:t>
            </w:r>
          </w:p>
          <w:p w:rsidR="00213603" w:rsidRPr="00213603" w:rsidRDefault="00213603" w:rsidP="00213603">
            <w:pPr>
              <w:spacing w:line="360" w:lineRule="auto"/>
              <w:jc w:val="both"/>
              <w:rPr>
                <w:lang w:val="en-US"/>
              </w:rPr>
            </w:pPr>
            <w:r w:rsidRPr="00213603">
              <w:rPr>
                <w:lang w:val="en-US"/>
              </w:rPr>
              <w:t xml:space="preserve">II. </w:t>
            </w:r>
            <w:proofErr w:type="spellStart"/>
            <w:r w:rsidRPr="00213603">
              <w:rPr>
                <w:lang w:val="en-US"/>
              </w:rPr>
              <w:t>Prezenta</w:t>
            </w:r>
            <w:proofErr w:type="spellEnd"/>
            <w:r w:rsidRPr="00213603">
              <w:rPr>
                <w:lang w:val="en-US"/>
              </w:rPr>
              <w:t xml:space="preserve"> </w:t>
            </w:r>
            <w:proofErr w:type="spellStart"/>
            <w:r w:rsidRPr="00213603">
              <w:rPr>
                <w:lang w:val="en-US"/>
              </w:rPr>
              <w:t>lege</w:t>
            </w:r>
            <w:proofErr w:type="spellEnd"/>
            <w:r w:rsidRPr="00213603">
              <w:rPr>
                <w:lang w:val="en-US"/>
              </w:rPr>
              <w:t xml:space="preserve"> </w:t>
            </w:r>
            <w:proofErr w:type="spellStart"/>
            <w:r w:rsidRPr="00213603">
              <w:rPr>
                <w:lang w:val="en-US"/>
              </w:rPr>
              <w:t>intră</w:t>
            </w:r>
            <w:proofErr w:type="spellEnd"/>
            <w:r w:rsidRPr="00213603">
              <w:rPr>
                <w:lang w:val="en-US"/>
              </w:rPr>
              <w:t xml:space="preserve"> </w:t>
            </w:r>
            <w:proofErr w:type="spellStart"/>
            <w:r w:rsidRPr="00213603">
              <w:rPr>
                <w:lang w:val="en-US"/>
              </w:rPr>
              <w:t>în</w:t>
            </w:r>
            <w:proofErr w:type="spellEnd"/>
            <w:r w:rsidRPr="00213603">
              <w:rPr>
                <w:lang w:val="en-US"/>
              </w:rPr>
              <w:t xml:space="preserve"> </w:t>
            </w:r>
            <w:proofErr w:type="spellStart"/>
            <w:r w:rsidRPr="00213603">
              <w:rPr>
                <w:lang w:val="en-US"/>
              </w:rPr>
              <w:t>vigoare</w:t>
            </w:r>
            <w:proofErr w:type="spellEnd"/>
            <w:r w:rsidRPr="00213603">
              <w:rPr>
                <w:lang w:val="en-US"/>
              </w:rPr>
              <w:t xml:space="preserve"> </w:t>
            </w:r>
            <w:proofErr w:type="spellStart"/>
            <w:r w:rsidR="00204593">
              <w:rPr>
                <w:lang w:val="en-US"/>
              </w:rPr>
              <w:t>peste</w:t>
            </w:r>
            <w:proofErr w:type="spellEnd"/>
            <w:r w:rsidR="00204593">
              <w:rPr>
                <w:lang w:val="en-US"/>
              </w:rPr>
              <w:t xml:space="preserve"> o lună</w:t>
            </w:r>
            <w:r>
              <w:rPr>
                <w:lang w:val="en-US"/>
              </w:rPr>
              <w:t xml:space="preserve"> de la data </w:t>
            </w:r>
            <w:proofErr w:type="spellStart"/>
            <w:r w:rsidRPr="00213603">
              <w:rPr>
                <w:lang w:val="en-US"/>
              </w:rPr>
              <w:t>publicării</w:t>
            </w:r>
            <w:proofErr w:type="spellEnd"/>
            <w:r w:rsidRPr="00213603">
              <w:rPr>
                <w:lang w:val="en-US"/>
              </w:rPr>
              <w:t xml:space="preserve"> </w:t>
            </w:r>
            <w:proofErr w:type="spellStart"/>
            <w:r w:rsidRPr="00213603">
              <w:rPr>
                <w:lang w:val="en-US"/>
              </w:rPr>
              <w:t>în</w:t>
            </w:r>
            <w:proofErr w:type="spellEnd"/>
            <w:r w:rsidRPr="00213603">
              <w:rPr>
                <w:lang w:val="en-US"/>
              </w:rPr>
              <w:t xml:space="preserve"> </w:t>
            </w:r>
            <w:proofErr w:type="spellStart"/>
            <w:r w:rsidRPr="00213603">
              <w:rPr>
                <w:lang w:val="en-US"/>
              </w:rPr>
              <w:t>Monitorul</w:t>
            </w:r>
            <w:proofErr w:type="spellEnd"/>
            <w:r w:rsidRPr="00213603">
              <w:rPr>
                <w:lang w:val="en-US"/>
              </w:rPr>
              <w:t xml:space="preserve"> </w:t>
            </w:r>
            <w:proofErr w:type="spellStart"/>
            <w:r w:rsidRPr="00213603">
              <w:rPr>
                <w:lang w:val="en-US"/>
              </w:rPr>
              <w:t>Oficial</w:t>
            </w:r>
            <w:proofErr w:type="spellEnd"/>
            <w:r w:rsidRPr="00213603">
              <w:rPr>
                <w:lang w:val="en-US"/>
              </w:rPr>
              <w:t xml:space="preserve"> al </w:t>
            </w:r>
            <w:proofErr w:type="spellStart"/>
            <w:r w:rsidRPr="00213603">
              <w:rPr>
                <w:lang w:val="en-US"/>
              </w:rPr>
              <w:t>Republicii</w:t>
            </w:r>
            <w:proofErr w:type="spellEnd"/>
            <w:r w:rsidRPr="00213603">
              <w:rPr>
                <w:lang w:val="en-US"/>
              </w:rPr>
              <w:t xml:space="preserve"> Moldova.</w:t>
            </w:r>
          </w:p>
          <w:p w:rsidR="00CD5652" w:rsidRPr="00213603" w:rsidRDefault="00CD5652" w:rsidP="00025ACD">
            <w:pPr>
              <w:pStyle w:val="Default"/>
              <w:rPr>
                <w:color w:val="auto"/>
                <w:lang w:val="en-US"/>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CD5652" w:rsidRPr="00D35445" w:rsidRDefault="00CD5652" w:rsidP="00025ACD">
            <w:pPr>
              <w:pStyle w:val="Default"/>
              <w:rPr>
                <w:color w:val="auto"/>
                <w:lang w:val="ro-RO"/>
              </w:rPr>
            </w:pPr>
          </w:p>
          <w:p w:rsidR="00E96951" w:rsidRDefault="00E96951" w:rsidP="00025ACD">
            <w:pPr>
              <w:pStyle w:val="Default"/>
              <w:rPr>
                <w:color w:val="auto"/>
                <w:lang w:val="ro-RO"/>
              </w:rPr>
            </w:pPr>
          </w:p>
          <w:p w:rsidR="00204593" w:rsidRPr="00D35445" w:rsidRDefault="00204593" w:rsidP="00025ACD">
            <w:pPr>
              <w:pStyle w:val="Default"/>
              <w:rPr>
                <w:color w:val="auto"/>
                <w:lang w:val="ro-RO"/>
              </w:rPr>
            </w:pPr>
          </w:p>
          <w:p w:rsidR="00CD5652" w:rsidRPr="00D35445" w:rsidRDefault="00C1161A" w:rsidP="00025ACD">
            <w:pPr>
              <w:pStyle w:val="Default"/>
              <w:rPr>
                <w:b/>
                <w:color w:val="auto"/>
                <w:lang w:val="ro-RO"/>
              </w:rPr>
            </w:pPr>
            <w:r w:rsidRPr="00D35445">
              <w:rPr>
                <w:b/>
                <w:color w:val="auto"/>
                <w:lang w:val="ro-RO"/>
              </w:rPr>
              <w:lastRenderedPageBreak/>
              <w:t>Se acceptă parțial</w:t>
            </w:r>
          </w:p>
          <w:p w:rsidR="00B623F5" w:rsidRDefault="00CD5652" w:rsidP="004A3CB8">
            <w:pPr>
              <w:pStyle w:val="Default"/>
              <w:rPr>
                <w:color w:val="auto"/>
                <w:lang w:val="ro-RO"/>
              </w:rPr>
            </w:pPr>
            <w:r w:rsidRPr="00D35445">
              <w:rPr>
                <w:color w:val="auto"/>
                <w:lang w:val="ro-RO"/>
              </w:rPr>
              <w:t xml:space="preserve"> </w:t>
            </w:r>
          </w:p>
          <w:p w:rsidR="00213603" w:rsidRDefault="00213603" w:rsidP="004A3CB8">
            <w:pPr>
              <w:pStyle w:val="Default"/>
              <w:rPr>
                <w:color w:val="auto"/>
                <w:lang w:val="ro-RO"/>
              </w:rPr>
            </w:pPr>
          </w:p>
          <w:p w:rsidR="00213603" w:rsidRDefault="00213603" w:rsidP="004A3CB8">
            <w:pPr>
              <w:pStyle w:val="Default"/>
              <w:rPr>
                <w:color w:val="auto"/>
                <w:lang w:val="ro-RO"/>
              </w:rPr>
            </w:pPr>
          </w:p>
          <w:p w:rsidR="00654D9F" w:rsidRPr="00654D9F" w:rsidRDefault="00654D9F" w:rsidP="00E96951">
            <w:pPr>
              <w:pStyle w:val="Default"/>
              <w:numPr>
                <w:ilvl w:val="0"/>
                <w:numId w:val="7"/>
              </w:numPr>
              <w:ind w:left="1111" w:hanging="450"/>
              <w:rPr>
                <w:b/>
                <w:color w:val="auto"/>
                <w:lang w:val="ro-RO"/>
              </w:rPr>
            </w:pPr>
            <w:r>
              <w:rPr>
                <w:b/>
                <w:color w:val="auto"/>
                <w:lang w:val="ro-RO"/>
              </w:rPr>
              <w:t>Se acceptă</w:t>
            </w:r>
          </w:p>
          <w:p w:rsidR="00654D9F" w:rsidRDefault="00654D9F" w:rsidP="00213603">
            <w:pPr>
              <w:pStyle w:val="Default"/>
              <w:rPr>
                <w:b/>
                <w:color w:val="auto"/>
                <w:lang w:val="en-US"/>
              </w:rPr>
            </w:pPr>
          </w:p>
          <w:p w:rsidR="00213603" w:rsidRPr="00BB2B03" w:rsidRDefault="00213603" w:rsidP="00213603">
            <w:pPr>
              <w:pStyle w:val="Default"/>
              <w:rPr>
                <w:b/>
                <w:color w:val="auto"/>
                <w:lang w:val="en-US"/>
              </w:rPr>
            </w:pPr>
          </w:p>
          <w:p w:rsidR="00BB41E5" w:rsidRDefault="00BB41E5" w:rsidP="00654D9F">
            <w:pPr>
              <w:pStyle w:val="Default"/>
              <w:numPr>
                <w:ilvl w:val="0"/>
                <w:numId w:val="5"/>
              </w:numPr>
              <w:rPr>
                <w:b/>
                <w:color w:val="auto"/>
                <w:lang w:val="ro-RO"/>
              </w:rPr>
            </w:pPr>
            <w:r>
              <w:rPr>
                <w:b/>
                <w:color w:val="auto"/>
                <w:lang w:val="ro-RO"/>
              </w:rPr>
              <w:t>Nu se acceptă</w:t>
            </w:r>
          </w:p>
          <w:p w:rsidR="00C1161A" w:rsidRPr="00D35445" w:rsidRDefault="00C1161A" w:rsidP="00BB41E5">
            <w:pPr>
              <w:pStyle w:val="Default"/>
              <w:ind w:left="1080"/>
              <w:rPr>
                <w:b/>
                <w:color w:val="auto"/>
                <w:lang w:val="ro-RO"/>
              </w:rPr>
            </w:pPr>
            <w:r w:rsidRPr="00D35445">
              <w:rPr>
                <w:b/>
                <w:color w:val="auto"/>
                <w:lang w:val="ro-RO"/>
              </w:rPr>
              <w:t>Nu necesită ajustări la etapa implementării modificărilor din proiectul respectiv.</w:t>
            </w:r>
          </w:p>
          <w:p w:rsidR="009A6AB7" w:rsidRPr="00D35445" w:rsidRDefault="009A6AB7" w:rsidP="00654D9F">
            <w:pPr>
              <w:pStyle w:val="Default"/>
              <w:ind w:left="1080"/>
              <w:rPr>
                <w:color w:val="auto"/>
                <w:lang w:val="ro-RO"/>
              </w:rPr>
            </w:pPr>
            <w:r w:rsidRPr="00D35445">
              <w:rPr>
                <w:color w:val="auto"/>
                <w:lang w:val="ro-RO"/>
              </w:rPr>
              <w:t>Marja maximă aplicată de către băncile finanțatoare în cadrul programului se  precizează anual de Guvern, astfel pentru 2020 aceasta a fost stabilită în mărime de 2%. Următoarea ajustare a marjei se va efectua la finele 2020 pentru anul 2021.</w:t>
            </w:r>
          </w:p>
          <w:p w:rsidR="004A3CB8" w:rsidRPr="00D35445" w:rsidRDefault="004A3CB8" w:rsidP="004A3CB8">
            <w:pPr>
              <w:pStyle w:val="Default"/>
              <w:rPr>
                <w:color w:val="auto"/>
                <w:lang w:val="ro-RO"/>
              </w:rPr>
            </w:pPr>
          </w:p>
          <w:p w:rsidR="004A3CB8" w:rsidRPr="00D35445" w:rsidRDefault="004A3CB8" w:rsidP="004A3CB8">
            <w:pPr>
              <w:pStyle w:val="Default"/>
              <w:rPr>
                <w:color w:val="auto"/>
                <w:lang w:val="ro-RO"/>
              </w:rPr>
            </w:pPr>
          </w:p>
          <w:p w:rsidR="004A3CB8" w:rsidRPr="00BB41E5" w:rsidRDefault="00BB41E5" w:rsidP="00BB41E5">
            <w:pPr>
              <w:pStyle w:val="Default"/>
              <w:numPr>
                <w:ilvl w:val="0"/>
                <w:numId w:val="5"/>
              </w:numPr>
              <w:jc w:val="both"/>
              <w:rPr>
                <w:b/>
                <w:color w:val="auto"/>
                <w:lang w:val="ro-RO"/>
              </w:rPr>
            </w:pPr>
            <w:r w:rsidRPr="00BB41E5">
              <w:rPr>
                <w:b/>
                <w:color w:val="auto"/>
                <w:lang w:val="ro-RO"/>
              </w:rPr>
              <w:t>Se acceptă</w:t>
            </w:r>
          </w:p>
          <w:p w:rsidR="009A6AB7" w:rsidRDefault="009A6AB7" w:rsidP="004A3CB8">
            <w:pPr>
              <w:pStyle w:val="Default"/>
              <w:numPr>
                <w:ilvl w:val="0"/>
                <w:numId w:val="5"/>
              </w:numPr>
              <w:rPr>
                <w:color w:val="auto"/>
                <w:lang w:val="ro-RO"/>
              </w:rPr>
            </w:pPr>
            <w:r w:rsidRPr="00D35445">
              <w:rPr>
                <w:color w:val="auto"/>
                <w:lang w:val="ro-RO"/>
              </w:rPr>
              <w:t>HG nr 567/2018 se referă nemijlocit la programele de compensare desfășurate în cadrul Programului de stat „Prima casă”,  iar modificarea cadrului normativ aferent programel</w:t>
            </w:r>
            <w:r w:rsidR="004A3CB8" w:rsidRPr="00D35445">
              <w:rPr>
                <w:color w:val="auto"/>
                <w:lang w:val="ro-RO"/>
              </w:rPr>
              <w:t xml:space="preserve">or de compensare poate fi  realizată </w:t>
            </w:r>
            <w:r w:rsidRPr="00D35445">
              <w:rPr>
                <w:color w:val="auto"/>
                <w:lang w:val="ro-RO"/>
              </w:rPr>
              <w:t xml:space="preserve"> după </w:t>
            </w:r>
            <w:r w:rsidR="004A3CB8" w:rsidRPr="00D35445">
              <w:rPr>
                <w:color w:val="auto"/>
                <w:lang w:val="ro-RO"/>
              </w:rPr>
              <w:t>aprobarea proiectului respectiv si intrarea lui in vigoare.</w:t>
            </w:r>
          </w:p>
          <w:p w:rsidR="00204593" w:rsidRPr="00D35445" w:rsidRDefault="00204593" w:rsidP="00204593">
            <w:pPr>
              <w:pStyle w:val="Default"/>
              <w:ind w:left="720"/>
              <w:rPr>
                <w:color w:val="auto"/>
                <w:lang w:val="ro-RO"/>
              </w:rPr>
            </w:pPr>
            <w:bookmarkStart w:id="0" w:name="_GoBack"/>
            <w:bookmarkEnd w:id="0"/>
          </w:p>
        </w:tc>
      </w:tr>
    </w:tbl>
    <w:p w:rsidR="00104C7D" w:rsidRPr="00D35445" w:rsidRDefault="00104C7D">
      <w:pPr>
        <w:rPr>
          <w:lang w:val="ro-RO"/>
        </w:rPr>
      </w:pPr>
    </w:p>
    <w:sectPr w:rsidR="00104C7D" w:rsidRPr="00D35445" w:rsidSect="00A567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2C0E"/>
    <w:multiLevelType w:val="hybridMultilevel"/>
    <w:tmpl w:val="D4D69DB0"/>
    <w:lvl w:ilvl="0" w:tplc="F4A2B06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A9A6278"/>
    <w:multiLevelType w:val="hybridMultilevel"/>
    <w:tmpl w:val="D9D8B99A"/>
    <w:lvl w:ilvl="0" w:tplc="8C58929C">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685519"/>
    <w:multiLevelType w:val="hybridMultilevel"/>
    <w:tmpl w:val="01FA19BA"/>
    <w:lvl w:ilvl="0" w:tplc="E6F8527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E19FB"/>
    <w:multiLevelType w:val="hybridMultilevel"/>
    <w:tmpl w:val="93386FC8"/>
    <w:lvl w:ilvl="0" w:tplc="6DF4C8F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6AA34744"/>
    <w:multiLevelType w:val="hybridMultilevel"/>
    <w:tmpl w:val="42844D8E"/>
    <w:lvl w:ilvl="0" w:tplc="B7302536">
      <w:start w:val="5"/>
      <w:numFmt w:val="decimal"/>
      <w:lvlText w:val="%1."/>
      <w:lvlJc w:val="left"/>
      <w:pPr>
        <w:ind w:left="720" w:hanging="360"/>
      </w:pPr>
      <w:rPr>
        <w:rFonts w:eastAsiaTheme="minorHAnsi" w:cstheme="minorBidi"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73A1472C"/>
    <w:multiLevelType w:val="hybridMultilevel"/>
    <w:tmpl w:val="12C44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2C2FCE"/>
    <w:multiLevelType w:val="hybridMultilevel"/>
    <w:tmpl w:val="82BE4B40"/>
    <w:lvl w:ilvl="0" w:tplc="8C4257CC">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97"/>
    <w:rsid w:val="00025ACD"/>
    <w:rsid w:val="00104C7D"/>
    <w:rsid w:val="001251F9"/>
    <w:rsid w:val="001554E7"/>
    <w:rsid w:val="00186BC6"/>
    <w:rsid w:val="001F5F6B"/>
    <w:rsid w:val="00204593"/>
    <w:rsid w:val="00213603"/>
    <w:rsid w:val="004A3CB8"/>
    <w:rsid w:val="00654D9F"/>
    <w:rsid w:val="006E6A05"/>
    <w:rsid w:val="006F08C5"/>
    <w:rsid w:val="007A06BD"/>
    <w:rsid w:val="007C6AEB"/>
    <w:rsid w:val="008354AE"/>
    <w:rsid w:val="008638D5"/>
    <w:rsid w:val="00880E13"/>
    <w:rsid w:val="0094448B"/>
    <w:rsid w:val="009A5331"/>
    <w:rsid w:val="009A6AB7"/>
    <w:rsid w:val="00A56797"/>
    <w:rsid w:val="00A70C7B"/>
    <w:rsid w:val="00B623F5"/>
    <w:rsid w:val="00BA49F6"/>
    <w:rsid w:val="00BB2B03"/>
    <w:rsid w:val="00BB41E5"/>
    <w:rsid w:val="00C07D20"/>
    <w:rsid w:val="00C1161A"/>
    <w:rsid w:val="00CD5652"/>
    <w:rsid w:val="00D261F0"/>
    <w:rsid w:val="00D35445"/>
    <w:rsid w:val="00E10105"/>
    <w:rsid w:val="00E15181"/>
    <w:rsid w:val="00E602D0"/>
    <w:rsid w:val="00E96951"/>
    <w:rsid w:val="00F772AE"/>
    <w:rsid w:val="00F7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8C38"/>
  <w15:chartTrackingRefBased/>
  <w15:docId w15:val="{5138264F-BB52-4364-9780-F5CAB10A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797"/>
    <w:pPr>
      <w:spacing w:after="0" w:line="240" w:lineRule="auto"/>
    </w:pPr>
    <w:rPr>
      <w:rFonts w:ascii="Times New Roman" w:eastAsia="Times New Roman" w:hAnsi="Times New Roman" w:cs="Times New Roman"/>
      <w:sz w:val="24"/>
      <w:szCs w:val="24"/>
      <w:lang w:val="ru-RU" w:eastAsia="ru-RU"/>
    </w:rPr>
  </w:style>
  <w:style w:type="paragraph" w:styleId="Titlu4">
    <w:name w:val="heading 4"/>
    <w:basedOn w:val="Normal"/>
    <w:link w:val="Titlu4Caracter"/>
    <w:uiPriority w:val="9"/>
    <w:qFormat/>
    <w:rsid w:val="001554E7"/>
    <w:pPr>
      <w:spacing w:before="100" w:beforeAutospacing="1" w:after="100" w:afterAutospacing="1"/>
      <w:outlineLvl w:val="3"/>
    </w:pPr>
    <w:rPr>
      <w:b/>
      <w:bCs/>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A56797"/>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Tabelgril">
    <w:name w:val="Table Grid"/>
    <w:basedOn w:val="TabelNormal"/>
    <w:uiPriority w:val="59"/>
    <w:rsid w:val="00A5679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56797"/>
    <w:pPr>
      <w:ind w:left="720"/>
      <w:contextualSpacing/>
    </w:pPr>
  </w:style>
  <w:style w:type="paragraph" w:styleId="NormalWeb">
    <w:name w:val="Normal (Web)"/>
    <w:basedOn w:val="Normal"/>
    <w:uiPriority w:val="99"/>
    <w:semiHidden/>
    <w:unhideWhenUsed/>
    <w:rsid w:val="001F5F6B"/>
    <w:pPr>
      <w:spacing w:before="100" w:beforeAutospacing="1" w:after="100" w:afterAutospacing="1"/>
    </w:pPr>
    <w:rPr>
      <w:lang w:val="en-GB" w:eastAsia="en-GB"/>
    </w:rPr>
  </w:style>
  <w:style w:type="paragraph" w:styleId="TextnBalon">
    <w:name w:val="Balloon Text"/>
    <w:basedOn w:val="Normal"/>
    <w:link w:val="TextnBalonCaracter"/>
    <w:uiPriority w:val="99"/>
    <w:semiHidden/>
    <w:unhideWhenUsed/>
    <w:rsid w:val="007A06B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06BD"/>
    <w:rPr>
      <w:rFonts w:ascii="Segoe UI" w:eastAsia="Times New Roman" w:hAnsi="Segoe UI" w:cs="Segoe UI"/>
      <w:sz w:val="18"/>
      <w:szCs w:val="18"/>
      <w:lang w:val="ru-RU" w:eastAsia="ru-RU"/>
    </w:rPr>
  </w:style>
  <w:style w:type="character" w:customStyle="1" w:styleId="Titlu4Caracter">
    <w:name w:val="Titlu 4 Caracter"/>
    <w:basedOn w:val="Fontdeparagrafimplicit"/>
    <w:link w:val="Titlu4"/>
    <w:uiPriority w:val="9"/>
    <w:rsid w:val="001554E7"/>
    <w:rPr>
      <w:rFonts w:ascii="Times New Roman" w:eastAsia="Times New Roman" w:hAnsi="Times New Roman" w:cs="Times New Roman"/>
      <w:b/>
      <w:bCs/>
      <w:sz w:val="24"/>
      <w:szCs w:val="24"/>
      <w:lang w:eastAsia="en-GB"/>
    </w:rPr>
  </w:style>
  <w:style w:type="character" w:styleId="Robust">
    <w:name w:val="Strong"/>
    <w:basedOn w:val="Fontdeparagrafimplicit"/>
    <w:uiPriority w:val="22"/>
    <w:qFormat/>
    <w:rsid w:val="00155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2770">
      <w:bodyDiv w:val="1"/>
      <w:marLeft w:val="0"/>
      <w:marRight w:val="0"/>
      <w:marTop w:val="0"/>
      <w:marBottom w:val="0"/>
      <w:divBdr>
        <w:top w:val="none" w:sz="0" w:space="0" w:color="auto"/>
        <w:left w:val="none" w:sz="0" w:space="0" w:color="auto"/>
        <w:bottom w:val="none" w:sz="0" w:space="0" w:color="auto"/>
        <w:right w:val="none" w:sz="0" w:space="0" w:color="auto"/>
      </w:divBdr>
    </w:div>
    <w:div w:id="268242301">
      <w:bodyDiv w:val="1"/>
      <w:marLeft w:val="0"/>
      <w:marRight w:val="0"/>
      <w:marTop w:val="0"/>
      <w:marBottom w:val="0"/>
      <w:divBdr>
        <w:top w:val="none" w:sz="0" w:space="0" w:color="auto"/>
        <w:left w:val="none" w:sz="0" w:space="0" w:color="auto"/>
        <w:bottom w:val="none" w:sz="0" w:space="0" w:color="auto"/>
        <w:right w:val="none" w:sz="0" w:space="0" w:color="auto"/>
      </w:divBdr>
    </w:div>
    <w:div w:id="11881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7</Pages>
  <Words>1750</Words>
  <Characters>10153</Characters>
  <Application>Microsoft Office Word</Application>
  <DocSecurity>0</DocSecurity>
  <Lines>84</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Darii Ina</dc:creator>
  <cp:keywords/>
  <dc:description/>
  <cp:lastModifiedBy>Darii Ina</cp:lastModifiedBy>
  <cp:revision>17</cp:revision>
  <cp:lastPrinted>2020-05-12T10:12:00Z</cp:lastPrinted>
  <dcterms:created xsi:type="dcterms:W3CDTF">2020-05-11T04:53:00Z</dcterms:created>
  <dcterms:modified xsi:type="dcterms:W3CDTF">2020-05-20T12:11:00Z</dcterms:modified>
</cp:coreProperties>
</file>