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77" w:rsidRPr="00FE0F61" w:rsidRDefault="005A6977" w:rsidP="00FE0F6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E0F6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NOTĂ INFORMATIVĂ</w:t>
      </w:r>
    </w:p>
    <w:p w:rsidR="005A6977" w:rsidRPr="00FE0F61" w:rsidRDefault="005A6977" w:rsidP="00FE0F6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E0F6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la </w:t>
      </w:r>
      <w:r w:rsidR="00E06AA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proiectul </w:t>
      </w:r>
      <w:proofErr w:type="spellStart"/>
      <w:r w:rsidR="00E06AA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h</w:t>
      </w:r>
      <w:r w:rsidR="001622D3" w:rsidRPr="00FE0F6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otărîrii</w:t>
      </w:r>
      <w:proofErr w:type="spellEnd"/>
      <w:r w:rsidR="001622D3" w:rsidRPr="00FE0F6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Guvernului</w:t>
      </w:r>
    </w:p>
    <w:p w:rsidR="00917639" w:rsidRPr="00FB691E" w:rsidRDefault="00B47CF3" w:rsidP="0048743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E0F6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cu privire </w:t>
      </w:r>
      <w:r w:rsidR="00F16D23" w:rsidRPr="00FE0F61">
        <w:rPr>
          <w:rFonts w:ascii="Times New Roman" w:hAnsi="Times New Roman" w:cs="Times New Roman"/>
          <w:b/>
          <w:sz w:val="24"/>
          <w:szCs w:val="24"/>
          <w:lang w:val="ro-RO"/>
        </w:rPr>
        <w:t>la transmiterea unor bunuri</w:t>
      </w:r>
    </w:p>
    <w:tbl>
      <w:tblPr>
        <w:tblStyle w:val="a3"/>
        <w:tblW w:w="0" w:type="auto"/>
        <w:tblInd w:w="-318" w:type="dxa"/>
        <w:tblLook w:val="04A0"/>
      </w:tblPr>
      <w:tblGrid>
        <w:gridCol w:w="10206"/>
      </w:tblGrid>
      <w:tr w:rsidR="00025894" w:rsidRPr="00FE0F61" w:rsidTr="00C25662">
        <w:trPr>
          <w:trHeight w:val="620"/>
        </w:trPr>
        <w:tc>
          <w:tcPr>
            <w:tcW w:w="10206" w:type="dxa"/>
            <w:shd w:val="clear" w:color="auto" w:fill="DBDBDB" w:themeFill="accent3" w:themeFillTint="66"/>
          </w:tcPr>
          <w:p w:rsidR="005A6977" w:rsidRPr="00FE0F61" w:rsidRDefault="005A6977" w:rsidP="00FE0F61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autorului și, după caz, a participanților la elaborarea proiectului</w:t>
            </w:r>
          </w:p>
        </w:tc>
      </w:tr>
      <w:tr w:rsidR="00025894" w:rsidRPr="00E06AAA" w:rsidTr="00C25662">
        <w:tc>
          <w:tcPr>
            <w:tcW w:w="10206" w:type="dxa"/>
          </w:tcPr>
          <w:p w:rsidR="008D75E6" w:rsidRPr="00FE0F61" w:rsidRDefault="001622D3" w:rsidP="008B44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E06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proofErr w:type="spellStart"/>
            <w:r w:rsidR="00E06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</w:t>
            </w:r>
            <w:r w:rsidR="005A6977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otărîrii</w:t>
            </w:r>
            <w:proofErr w:type="spellEnd"/>
            <w:r w:rsidR="005A6977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Guvernului </w:t>
            </w:r>
            <w:r w:rsidR="00866FAE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 privire </w:t>
            </w:r>
            <w:r w:rsidR="00866FAE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="00601A4C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transmiterea unor bunuri </w:t>
            </w:r>
            <w:r w:rsidR="005A6977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este elaborat de către Ministerul Ed</w:t>
            </w:r>
            <w:r w:rsidR="008B4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ucației </w:t>
            </w:r>
            <w:r w:rsidR="00866FAE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și Cercetării</w:t>
            </w:r>
            <w:r w:rsidR="00D002ED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 prevede dotarea </w:t>
            </w:r>
            <w:r w:rsidR="00E06AAA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instituțiilor de învățământ cu predare în limbile minorităților naționale</w:t>
            </w:r>
            <w:r w:rsidR="00E06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D002ED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 </w:t>
            </w:r>
            <w:r w:rsidR="00E06AAA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tehnica de calcul </w:t>
            </w:r>
            <w:r w:rsidR="00E06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și </w:t>
            </w:r>
            <w:r w:rsidR="00E06AAA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materiale didactice pentru </w:t>
            </w:r>
            <w:r w:rsidR="00E06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predare-</w:t>
            </w:r>
            <w:r w:rsidR="00E06AAA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învățare</w:t>
            </w:r>
            <w:r w:rsidR="00E06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</w:t>
            </w:r>
            <w:r w:rsidR="00E06AAA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limbii român</w:t>
            </w:r>
            <w:r w:rsidR="00E06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  <w:r w:rsidR="00D93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  <w:r w:rsidR="00D002ED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025894" w:rsidRPr="00FE0F61" w:rsidTr="00C25662">
        <w:trPr>
          <w:trHeight w:val="591"/>
        </w:trPr>
        <w:tc>
          <w:tcPr>
            <w:tcW w:w="10206" w:type="dxa"/>
            <w:shd w:val="clear" w:color="auto" w:fill="DBDBDB" w:themeFill="accent3" w:themeFillTint="66"/>
          </w:tcPr>
          <w:p w:rsidR="005A6977" w:rsidRPr="00FE0F61" w:rsidRDefault="005A6977" w:rsidP="00FE0F61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Condițiile ce au impus elaborarea proiectului de act normativ și finalitățile urmărite</w:t>
            </w:r>
          </w:p>
        </w:tc>
      </w:tr>
      <w:tr w:rsidR="00025894" w:rsidRPr="00FE0F61" w:rsidTr="00C25662">
        <w:tc>
          <w:tcPr>
            <w:tcW w:w="10206" w:type="dxa"/>
          </w:tcPr>
          <w:p w:rsidR="00A904F0" w:rsidRPr="00FE0F61" w:rsidRDefault="0014175A" w:rsidP="00FE0F61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F16D23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Proiectului propus este </w:t>
            </w:r>
            <w:r w:rsidR="00A76AC3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condiționată</w:t>
            </w:r>
            <w:r w:rsidR="00F16D23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necesitatea creării condițiilor optime</w:t>
            </w:r>
            <w:r w:rsidR="00A76AC3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</w:t>
            </w:r>
            <w:r w:rsidR="00D93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predare-</w:t>
            </w:r>
            <w:r w:rsidR="00A76AC3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învățare</w:t>
            </w:r>
            <w:r w:rsidR="00671A17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limbii române în temeiul </w:t>
            </w:r>
            <w:proofErr w:type="spellStart"/>
            <w:r w:rsidR="00E06A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</w:t>
            </w:r>
            <w:r w:rsidR="00671A17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otărîrii</w:t>
            </w:r>
            <w:proofErr w:type="spellEnd"/>
            <w:r w:rsidR="00671A17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nr. 904/2015 </w:t>
            </w:r>
            <w:r w:rsidR="00671A17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cu privire la aprobarea </w:t>
            </w:r>
            <w:r w:rsidR="00671A17" w:rsidRPr="00FE0F6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Programului naţional pentru îmbunătăţirea calităţii învăţării limbii române în instituţiile de învăţământ general cu instruire în limbile minorităţilor naţionale (2016-2020).</w:t>
            </w:r>
            <w:r w:rsidR="00D002ED" w:rsidRPr="00FE0F6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="008B4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Astfel,</w:t>
            </w:r>
            <w:r w:rsidR="00D002ED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instituț</w:t>
            </w:r>
            <w:r w:rsidR="00226B85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ii</w:t>
            </w:r>
            <w:r w:rsidR="008B4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le</w:t>
            </w:r>
            <w:r w:rsidR="00226B85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D002ED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de învățământ general cu predare în limbile minorităților naționale </w:t>
            </w:r>
            <w:r w:rsidR="00D93E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vor beneficia</w:t>
            </w:r>
            <w:r w:rsidR="0095762A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de materiale didactice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pentru dotarea cabinetului de limba și literatura română și instituțiile de educație timpurie cu program în limbile minorităților naționale </w:t>
            </w:r>
            <w:r w:rsidR="00D93E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vor fi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dotate cu materiale didactice pentru predare-învățare a limbii române </w:t>
            </w:r>
            <w:r w:rsidR="00D93E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în grupa pregătitoare (6-7 ani), conform </w:t>
            </w:r>
            <w:proofErr w:type="spellStart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>articolului</w:t>
            </w:r>
            <w:proofErr w:type="spellEnd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 xml:space="preserve"> 140, </w:t>
            </w:r>
            <w:proofErr w:type="spellStart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 xml:space="preserve">. (1) </w:t>
            </w:r>
            <w:proofErr w:type="gramStart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proofErr w:type="gramEnd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>. g)</w:t>
            </w:r>
            <w:r w:rsidR="00D93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E4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93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E4B">
              <w:rPr>
                <w:rFonts w:ascii="Times New Roman" w:hAnsi="Times New Roman" w:cs="Times New Roman"/>
                <w:sz w:val="24"/>
                <w:szCs w:val="24"/>
              </w:rPr>
              <w:t>lit.v</w:t>
            </w:r>
            <w:proofErr w:type="spellEnd"/>
            <w:r w:rsidR="00D93E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>Educației</w:t>
            </w:r>
            <w:proofErr w:type="spellEnd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="00D93E4B" w:rsidRPr="00C47F19">
              <w:rPr>
                <w:rFonts w:ascii="Times New Roman" w:hAnsi="Times New Roman" w:cs="Times New Roman"/>
                <w:sz w:val="24"/>
                <w:szCs w:val="24"/>
              </w:rPr>
              <w:t xml:space="preserve"> Moldova nr. 152/2014.</w:t>
            </w:r>
          </w:p>
          <w:p w:rsidR="00671A17" w:rsidRPr="00FE0F61" w:rsidRDefault="00163E4F" w:rsidP="00FE0F61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</w:t>
            </w:r>
            <w:r w:rsidR="003117CB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Totodată, p</w:t>
            </w:r>
            <w:r w:rsidR="00C25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roiectul </w:t>
            </w:r>
            <w:proofErr w:type="spellStart"/>
            <w:r w:rsidR="00C25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</w:t>
            </w: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otărîrii</w:t>
            </w:r>
            <w:proofErr w:type="spellEnd"/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Guvernului cu privire la transmiterea u</w:t>
            </w:r>
            <w:r w:rsidR="00152812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nor bunuri prevede dotarea cabinete</w:t>
            </w: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</w:t>
            </w:r>
            <w:r w:rsidR="003117CB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 de limba și literatura română din instituțiile cu predare în limbile minorităților naționale cu tehnica de calcul, </w:t>
            </w: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în </w:t>
            </w:r>
            <w:r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corespundere cu </w:t>
            </w:r>
            <w:r w:rsidRPr="00FE0F6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Standardele de dotare minimă a cabinetelor la disciplinele școlare în instituțiile de învățământ secundar</w:t>
            </w:r>
            <w:r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, aprobate prin Ordinului ministrului Educației, Culturii și Cercetării nr. 193 din 26.02.19.</w:t>
            </w:r>
          </w:p>
          <w:p w:rsidR="00F16D23" w:rsidRPr="00FB691E" w:rsidRDefault="0014175A" w:rsidP="00D62EA5">
            <w:pPr>
              <w:tabs>
                <w:tab w:val="left" w:pos="9957"/>
              </w:tabs>
              <w:spacing w:line="276" w:lineRule="auto"/>
              <w:ind w:lef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0822E0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 beneficiare</w:t>
            </w:r>
            <w:r w:rsidR="003117CB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tehnica de calcul</w:t>
            </w:r>
            <w:r w:rsidR="000822E0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fost selectate de că</w:t>
            </w:r>
            <w:r w:rsidR="00152812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0822E0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Mini</w:t>
            </w:r>
            <w:r w:rsidR="008B4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sterul Educației și </w:t>
            </w:r>
            <w:r w:rsidR="000822E0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Cercetării, asigurând </w:t>
            </w:r>
            <w:r w:rsidR="003117CB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principiul transparenței, egalității și </w:t>
            </w:r>
            <w:r w:rsidR="000822E0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echit</w:t>
            </w:r>
            <w:r w:rsidR="003117CB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ății</w:t>
            </w:r>
            <w:r w:rsidR="000822E0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3117CB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vederea </w:t>
            </w:r>
            <w:r w:rsidR="005E58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îmbunătățirii procesului de studiere a limbii române în instituțiile de învățământ cu predare în limbile minorităților naționale</w:t>
            </w:r>
            <w:r w:rsidR="00226B8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ordinul ministrului</w:t>
            </w:r>
            <w:r w:rsidR="003117CB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fost</w:t>
            </w:r>
            <w:r w:rsidR="008B4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instituită Comisia de lucru</w:t>
            </w:r>
            <w:r w:rsidR="00226B8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(Ordin MECC nr.628 din 06.07.2020). </w:t>
            </w:r>
            <w:r w:rsidR="008B44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A904F0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baza selectării</w:t>
            </w:r>
            <w:r w:rsidR="00D62E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instituțiilor de învățământ general cu program în limbile minorităților naționale </w:t>
            </w:r>
            <w:r w:rsidR="00A904F0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s-a ținut cont de</w:t>
            </w:r>
            <w:r w:rsidR="000822E0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conceptele instituțiilor de învățământ cu privire la dezvoltarea unui program complex de promovare a învățării limbii române prin activităț</w:t>
            </w:r>
            <w:r w:rsidR="006F7D9C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educaționale și extrașcolare</w:t>
            </w:r>
            <w:r w:rsidR="00F515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51509" w:rsidRPr="00F515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proofErr w:type="spellStart"/>
            <w:r w:rsidR="00F51509" w:rsidRPr="00F5150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Proces-Verbal</w:t>
            </w:r>
            <w:proofErr w:type="spellEnd"/>
            <w:r w:rsidR="00F51509" w:rsidRPr="00F5150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nr.2 al ședinței din 04 august 2020</w:t>
            </w:r>
            <w:r w:rsidR="00F51509" w:rsidRPr="00F515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F515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0822E0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62E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 rezultat a</w:t>
            </w:r>
            <w:r w:rsidR="009176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D62E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examinării a</w:t>
            </w:r>
            <w:r w:rsidR="00D62EA5" w:rsidRPr="00F5150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 fost selectate 7 instituții de învățământ</w:t>
            </w:r>
            <w:r w:rsidR="00D62EA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general cu predare în limbile minorităților </w:t>
            </w:r>
            <w:r w:rsidR="009176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naționale</w:t>
            </w:r>
            <w:r w:rsidR="00D62EA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="00D002ED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Totodată, au fost luate în considerație </w:t>
            </w:r>
            <w:r w:rsidR="00D62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necesitățile și </w:t>
            </w:r>
            <w:r w:rsidR="000822E0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datele</w:t>
            </w:r>
            <w:r w:rsidR="00D002ED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instituțiilor de învățământ general</w:t>
            </w:r>
            <w:r w:rsidR="000822E0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despre dotarea</w:t>
            </w:r>
            <w:r w:rsidR="00D002ED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</w:t>
            </w:r>
            <w:r w:rsidR="000822E0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TIC stocate în Sistemul Informațional de Management în Educație (SIME)</w:t>
            </w:r>
            <w:r w:rsidR="003D4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. </w:t>
            </w:r>
          </w:p>
        </w:tc>
      </w:tr>
      <w:tr w:rsidR="001B11D2" w:rsidRPr="00FE0F61" w:rsidTr="00C25662">
        <w:tc>
          <w:tcPr>
            <w:tcW w:w="10206" w:type="dxa"/>
            <w:shd w:val="clear" w:color="auto" w:fill="D9D9D9" w:themeFill="background1" w:themeFillShade="D9"/>
          </w:tcPr>
          <w:p w:rsidR="001B11D2" w:rsidRPr="00FE0F61" w:rsidRDefault="001B11D2" w:rsidP="00FE0F61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3. Descrierea gradului de compatibilitate pentru proiectele care au ca scop armonizarea legislaţiei naţionale cu legislaţia Uniunii Europene</w:t>
            </w:r>
          </w:p>
        </w:tc>
      </w:tr>
      <w:tr w:rsidR="001B11D2" w:rsidRPr="00FE0F61" w:rsidTr="00C25662">
        <w:tc>
          <w:tcPr>
            <w:tcW w:w="10206" w:type="dxa"/>
          </w:tcPr>
          <w:p w:rsidR="001B11D2" w:rsidRPr="00FE0F61" w:rsidRDefault="001B11D2" w:rsidP="00FE0F61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se aplică.</w:t>
            </w:r>
          </w:p>
        </w:tc>
      </w:tr>
      <w:tr w:rsidR="00025894" w:rsidRPr="00FE0F61" w:rsidTr="00C25662">
        <w:tc>
          <w:tcPr>
            <w:tcW w:w="10206" w:type="dxa"/>
            <w:shd w:val="clear" w:color="auto" w:fill="DBDBDB" w:themeFill="accent3" w:themeFillTint="66"/>
          </w:tcPr>
          <w:p w:rsidR="005A6977" w:rsidRPr="00FE0F61" w:rsidRDefault="005A6977" w:rsidP="00FE0F61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Principalele prevederi ale proiectului și evidențierea elementelor noi</w:t>
            </w:r>
            <w:r w:rsidR="008D75E6"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br/>
            </w:r>
          </w:p>
        </w:tc>
      </w:tr>
      <w:tr w:rsidR="00025894" w:rsidRPr="00FE0F61" w:rsidTr="00C25662">
        <w:tc>
          <w:tcPr>
            <w:tcW w:w="10206" w:type="dxa"/>
          </w:tcPr>
          <w:p w:rsidR="00487431" w:rsidRDefault="008B2D82" w:rsidP="004874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972644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Potrivit proiectului</w:t>
            </w:r>
            <w:r w:rsidR="00A878E3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12841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 propune </w:t>
            </w:r>
            <w:r w:rsidR="001232D9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</w:t>
            </w:r>
            <w:r w:rsidR="00312841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erea</w:t>
            </w:r>
            <w:r w:rsidR="001232D9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cu acordul consiliilor locale,</w:t>
            </w:r>
            <w:r w:rsidR="00312841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bunurilor</w:t>
            </w:r>
            <w:r w:rsidR="001232D9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materiale din proprietatea</w:t>
            </w:r>
            <w:r w:rsidR="00312841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a statului, </w:t>
            </w:r>
            <w:r w:rsidR="001232D9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</w:t>
            </w:r>
            <w:r w:rsidR="00D62E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strarea Ministerului Educației </w:t>
            </w:r>
            <w:r w:rsidR="001232D9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Cercetării, în proprietatea publică a unităților administrativ-teritoriale,</w:t>
            </w:r>
            <w:r w:rsidR="00312841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232D9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gestiunea instituțiilor de învățământ aflate în subordinea a</w:t>
            </w:r>
            <w:r w:rsidR="00F22B34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dministrațiilor publice locale.</w:t>
            </w:r>
          </w:p>
          <w:p w:rsidR="00917639" w:rsidRDefault="00917639" w:rsidP="004874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       </w:t>
            </w:r>
            <w:r w:rsid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Astfel, 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instituții</w:t>
            </w:r>
            <w:r w:rsidR="00D62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le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de învățământ general cu predare în limbile minorităților naționale </w:t>
            </w:r>
            <w:r w:rsidR="00F5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vor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D62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fi dotate </w:t>
            </w:r>
            <w:r w:rsidR="00D62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lastRenderedPageBreak/>
              <w:t>cu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: dicționar rus-român/român-rus, dicționar explicativ, dicționar de sinonime, set de planșe </w:t>
            </w:r>
            <w:r w:rsidR="00D873D3" w:rsidRPr="00FE0F6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Republica Moldova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, set de planșe </w:t>
            </w:r>
            <w:r w:rsidR="00D873D3" w:rsidRPr="00FE0F6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>Alfabetul limbii române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, Set de portrete ale scriitorilor clasici și moderni.</w:t>
            </w:r>
            <w:r w:rsidR="00D62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0A5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Subsidiar,</w:t>
            </w:r>
            <w:r w:rsidR="00D62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0A5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</w:t>
            </w:r>
            <w:r w:rsidR="00D62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roiectul </w:t>
            </w:r>
            <w:proofErr w:type="spellStart"/>
            <w:r w:rsidR="00D62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</w:t>
            </w:r>
            <w:r w:rsidR="00D62EA5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otărîrii</w:t>
            </w:r>
            <w:proofErr w:type="spellEnd"/>
            <w:r w:rsidR="00D62EA5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Guvernului cu privire la transmiterea unor bunuri prevede transmiterea tehnic</w:t>
            </w:r>
            <w:r w:rsidR="000A5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ii de calcul pentru dotarea a 7 </w:t>
            </w:r>
            <w:r w:rsidR="00D62EA5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cabinete de limba și literatura română din instituțiile cu predare în limbile minorităților naționale</w:t>
            </w:r>
            <w:r w:rsidR="000A5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raionul Ocnița (</w:t>
            </w:r>
            <w:r w:rsidR="000A5B3C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Gimnaziul </w:t>
            </w:r>
            <w:r w:rsidR="000A5B3C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Vălcineț</w:t>
            </w:r>
            <w:r w:rsidR="000A5B3C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s. Vălcineț</w:t>
            </w:r>
            <w:r w:rsidR="000A5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)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Cantemir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0A5B3C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Gimnaziul </w:t>
            </w:r>
            <w:r w:rsidR="000A5B3C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Ivan </w:t>
            </w:r>
            <w:proofErr w:type="spellStart"/>
            <w:r w:rsidR="000A5B3C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Vazov</w:t>
            </w:r>
            <w:proofErr w:type="spellEnd"/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s. Stoianovca)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="00D62E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UTA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ăgăuzia (IP LT nr.2, mun. </w:t>
            </w:r>
            <w:proofErr w:type="spellStart"/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Ceadîr-Lunga</w:t>
            </w:r>
            <w:proofErr w:type="spellEnd"/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 Leova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0A5B3C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Gimnaziul </w:t>
            </w:r>
            <w:r w:rsidR="000A5B3C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Cneazevc</w:t>
            </w:r>
            <w:r w:rsidR="000A5B3C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a, s. Cneazevca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raionul Fălești (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LT </w:t>
            </w:r>
            <w:r w:rsidR="00D62EA5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Al. Pușkin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orașul Fălești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Edineț</w:t>
            </w:r>
            <w:proofErr w:type="spellEnd"/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LT </w:t>
            </w:r>
            <w:r w:rsidR="00D62EA5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Vasile </w:t>
            </w:r>
            <w:proofErr w:type="spellStart"/>
            <w:r w:rsidR="00D62EA5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Suhomlinski</w:t>
            </w:r>
            <w:proofErr w:type="spellEnd"/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orașul </w:t>
            </w:r>
            <w:proofErr w:type="spellStart"/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Edineț</w:t>
            </w:r>
            <w:proofErr w:type="spellEnd"/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="000A5B3C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="000A5B3C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Rîșcani</w:t>
            </w:r>
            <w:proofErr w:type="spellEnd"/>
            <w:r w:rsidR="000A5B3C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IP LT </w:t>
            </w:r>
            <w:r w:rsidR="00D62EA5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Constantin Popovici</w:t>
            </w:r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s. </w:t>
            </w:r>
            <w:proofErr w:type="spellStart"/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Nihoreni</w:t>
            </w:r>
            <w:proofErr w:type="spellEnd"/>
            <w:r w:rsidR="000A5B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D62EA5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87431" w:rsidRPr="00487431" w:rsidRDefault="00487431" w:rsidP="00F515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          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De asemenea, instituțiile de educație timpurie cu program în limbile minorităților naționale </w:t>
            </w:r>
            <w:r w:rsidR="00F5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vor fi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dotate cu </w:t>
            </w:r>
            <w:r w:rsidR="009176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suporturile curriculare pentru implementarea Curriculumului la limba română pentru instituțiile cu program în limbile minorităților naționale</w:t>
            </w:r>
            <w:r w:rsidR="00D873D3" w:rsidRPr="00FE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: </w:t>
            </w:r>
            <w:r w:rsidR="00D873D3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Manualul </w:t>
            </w:r>
            <w:r w:rsidR="00D873D3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Nicu și </w:t>
            </w:r>
            <w:proofErr w:type="spellStart"/>
            <w:r w:rsidR="00D873D3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Leanca</w:t>
            </w:r>
            <w:proofErr w:type="spellEnd"/>
            <w:r w:rsidR="00D873D3" w:rsidRPr="00FE0F6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învață limba română</w:t>
            </w:r>
            <w:r w:rsidR="0091763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. </w:t>
            </w:r>
            <w:r w:rsidR="00917639" w:rsidRPr="009176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Nivelul Pre-A1.3</w:t>
            </w:r>
            <w:r w:rsidR="00D873D3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Suport didactic privind predarea limbii române în instituțiile de educație timpurie cu program în limbile minorităților naționale. Nivelul Pre-A1; Caiet de exerciții pentru studierea limbii române. Nivelul Pre-A1.3; </w:t>
            </w:r>
            <w:r w:rsidR="00D873D3" w:rsidRPr="00FE0F61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</w:rPr>
              <w:t xml:space="preserve">Culegere de istorii si povești pentru studierea limbii române. Nivelul </w:t>
            </w:r>
            <w:r w:rsidR="00D873D3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Pre-A1.3;</w:t>
            </w:r>
            <w:r w:rsidR="00D873D3" w:rsidRPr="00FE0F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D873D3" w:rsidRPr="00FE0F61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</w:rPr>
              <w:t>Culegere de cântece și poezii pentru studierea limbii române.</w:t>
            </w:r>
            <w:r w:rsidR="00D873D3" w:rsidRPr="00FE0F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D873D3" w:rsidRPr="00FE0F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Nivelul Pre-A1.3.</w:t>
            </w:r>
            <w:r w:rsidR="00D873D3" w:rsidRPr="00FE0F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025894" w:rsidRPr="00FE0F61" w:rsidTr="00C25662">
        <w:tc>
          <w:tcPr>
            <w:tcW w:w="10206" w:type="dxa"/>
            <w:shd w:val="clear" w:color="auto" w:fill="DBDBDB" w:themeFill="accent3" w:themeFillTint="66"/>
          </w:tcPr>
          <w:p w:rsidR="005A6977" w:rsidRPr="00FE0F61" w:rsidRDefault="005A6977" w:rsidP="00FE0F61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Fundamentarea economico-financiară</w:t>
            </w:r>
          </w:p>
        </w:tc>
      </w:tr>
      <w:tr w:rsidR="00025894" w:rsidRPr="00FE0F61" w:rsidTr="00C25662">
        <w:trPr>
          <w:trHeight w:val="483"/>
        </w:trPr>
        <w:tc>
          <w:tcPr>
            <w:tcW w:w="10206" w:type="dxa"/>
          </w:tcPr>
          <w:p w:rsidR="00A2190A" w:rsidRPr="00FE0F61" w:rsidRDefault="00A2190A" w:rsidP="00FE0F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Prezentul proiect </w:t>
            </w:r>
            <w:r w:rsidR="00601A4C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 necesită cheltuieli suplimentare</w:t>
            </w:r>
            <w:r w:rsidR="00245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bugetul de stat</w:t>
            </w:r>
            <w:r w:rsidR="00601A4C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. </w:t>
            </w:r>
          </w:p>
        </w:tc>
      </w:tr>
      <w:tr w:rsidR="00025894" w:rsidRPr="00FE0F61" w:rsidTr="00C25662">
        <w:trPr>
          <w:trHeight w:val="345"/>
        </w:trPr>
        <w:tc>
          <w:tcPr>
            <w:tcW w:w="10206" w:type="dxa"/>
            <w:shd w:val="clear" w:color="auto" w:fill="DBDBDB" w:themeFill="accent3" w:themeFillTint="66"/>
          </w:tcPr>
          <w:p w:rsidR="005A6977" w:rsidRPr="00FE0F61" w:rsidRDefault="005A6977" w:rsidP="00FE0F61">
            <w:pPr>
              <w:pStyle w:val="a4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Modul de încorporare a actului în cadrul normativ în vigoare</w:t>
            </w:r>
            <w:r w:rsidR="008D75E6"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br/>
            </w:r>
          </w:p>
        </w:tc>
      </w:tr>
      <w:tr w:rsidR="00025894" w:rsidRPr="00FE0F61" w:rsidTr="00C25662">
        <w:tc>
          <w:tcPr>
            <w:tcW w:w="10206" w:type="dxa"/>
          </w:tcPr>
          <w:p w:rsidR="0002060C" w:rsidRPr="00FE0F61" w:rsidRDefault="00CF35CE" w:rsidP="00FE0F61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implementarea prezentului proiect nu va fi necesară modificarea altor</w:t>
            </w:r>
            <w:r w:rsidR="00F22B34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acte normative.</w:t>
            </w:r>
          </w:p>
        </w:tc>
      </w:tr>
      <w:tr w:rsidR="00025894" w:rsidRPr="00FE0F61" w:rsidTr="00C25662">
        <w:tc>
          <w:tcPr>
            <w:tcW w:w="10206" w:type="dxa"/>
            <w:shd w:val="clear" w:color="auto" w:fill="DBDBDB" w:themeFill="accent3" w:themeFillTint="66"/>
          </w:tcPr>
          <w:p w:rsidR="005A6977" w:rsidRPr="00FE0F61" w:rsidRDefault="005A6977" w:rsidP="00FE0F61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Avizarea și consultarea publică a proiectului</w:t>
            </w:r>
            <w:r w:rsidR="008D75E6"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br/>
            </w:r>
          </w:p>
        </w:tc>
      </w:tr>
      <w:tr w:rsidR="00025894" w:rsidRPr="00FE0F61" w:rsidTr="00C25662">
        <w:tc>
          <w:tcPr>
            <w:tcW w:w="10206" w:type="dxa"/>
          </w:tcPr>
          <w:p w:rsidR="00245922" w:rsidRPr="00FE0F61" w:rsidRDefault="008B2D82" w:rsidP="0091763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025894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În </w:t>
            </w:r>
            <w:r w:rsidR="00917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scopul reflectării</w:t>
            </w:r>
            <w:r w:rsidR="00F810B7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prevederil</w:t>
            </w:r>
            <w:r w:rsidR="00917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</w:t>
            </w:r>
            <w:r w:rsidR="00F810B7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Legii nr. 239/</w:t>
            </w:r>
            <w:r w:rsidR="00025894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2008 privind </w:t>
            </w: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transparența</w:t>
            </w:r>
            <w:r w:rsidR="00245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procesul decizional </w:t>
            </w:r>
            <w:r w:rsidR="00025894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 w:rsidR="00917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fost</w:t>
            </w:r>
            <w:r w:rsidR="00F22B34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plasat pe </w:t>
            </w:r>
            <w:r w:rsidR="00025894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pagina web oficială a </w:t>
            </w:r>
            <w:r w:rsidR="00917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Ministerului Educației </w:t>
            </w:r>
            <w:r w:rsidR="005A6977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și Cercetării </w:t>
            </w:r>
            <w:hyperlink r:id="rId7" w:history="1">
              <w:r w:rsidR="00F810B7" w:rsidRPr="00FE0F6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o-RO"/>
                </w:rPr>
                <w:t>www.mecc.gov.md</w:t>
              </w:r>
            </w:hyperlink>
            <w:r w:rsidR="00F810B7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5A6977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compartimentul Transparență, directoriul Transparență decizională, </w:t>
            </w:r>
            <w:r w:rsidR="00245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secțiunea Modul de participare</w:t>
            </w:r>
            <w:r w:rsidR="00245922" w:rsidRPr="00245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245922" w:rsidRPr="002459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precum și pe platforma guvernamentală </w:t>
            </w:r>
            <w:proofErr w:type="spellStart"/>
            <w:r w:rsidR="00245922" w:rsidRPr="002459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www.particip.gov.md</w:t>
            </w:r>
            <w:proofErr w:type="spellEnd"/>
            <w:r w:rsidR="00245922" w:rsidRPr="002459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930AB1" w:rsidRPr="00FE0F61" w:rsidTr="00C25662">
        <w:tc>
          <w:tcPr>
            <w:tcW w:w="10206" w:type="dxa"/>
            <w:shd w:val="clear" w:color="auto" w:fill="D9D9D9" w:themeFill="background1" w:themeFillShade="D9"/>
          </w:tcPr>
          <w:p w:rsidR="00930AB1" w:rsidRPr="00FE0F61" w:rsidRDefault="00FF1F35" w:rsidP="00FE0F61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Constatările expertizei </w:t>
            </w:r>
            <w:r w:rsidR="005C2AB3"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anticorupție</w:t>
            </w:r>
          </w:p>
          <w:p w:rsidR="00FF1F35" w:rsidRPr="00FE0F61" w:rsidRDefault="00FF1F35" w:rsidP="00FE0F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930AB1" w:rsidRPr="00FE0F61" w:rsidTr="00C25662">
        <w:tc>
          <w:tcPr>
            <w:tcW w:w="10206" w:type="dxa"/>
          </w:tcPr>
          <w:p w:rsidR="00FF1F35" w:rsidRPr="00FE0F61" w:rsidRDefault="00FF1F35" w:rsidP="00FE0F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6673D0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Potrivit art. 35 din Legea 100/2017 cu privire la actele normative, proiectul urmează a fi supus expertizei anticorupție de către Centru</w:t>
            </w:r>
            <w:r w:rsidR="00152812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</w:t>
            </w:r>
            <w:r w:rsidR="006673D0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Național Anticorupție, care urmează a fi efectuată în conformitate cu prevederile Legii 1104/2002  cu privire la Centrul Național Anticorupție. </w:t>
            </w:r>
          </w:p>
        </w:tc>
      </w:tr>
      <w:tr w:rsidR="00D137EB" w:rsidRPr="00FE0F61" w:rsidTr="00C25662">
        <w:tc>
          <w:tcPr>
            <w:tcW w:w="10206" w:type="dxa"/>
            <w:shd w:val="clear" w:color="auto" w:fill="D9D9D9" w:themeFill="background1" w:themeFillShade="D9"/>
          </w:tcPr>
          <w:p w:rsidR="00D137EB" w:rsidRPr="00FE0F61" w:rsidRDefault="00D137EB" w:rsidP="00E06A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9. Constatările expertizei de compatibilitate</w:t>
            </w:r>
            <w:r w:rsidR="00E06AA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cu legislația Uniunii Europene;</w:t>
            </w:r>
          </w:p>
        </w:tc>
      </w:tr>
      <w:tr w:rsidR="00D137EB" w:rsidRPr="00FE0F61" w:rsidTr="00C25662">
        <w:tc>
          <w:tcPr>
            <w:tcW w:w="10206" w:type="dxa"/>
          </w:tcPr>
          <w:p w:rsidR="00D137EB" w:rsidRPr="00FE0F61" w:rsidRDefault="00D137EB" w:rsidP="00FE0F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 se aplică.</w:t>
            </w:r>
          </w:p>
        </w:tc>
      </w:tr>
      <w:tr w:rsidR="00D137EB" w:rsidRPr="00FE0F61" w:rsidTr="00C25662">
        <w:tc>
          <w:tcPr>
            <w:tcW w:w="10206" w:type="dxa"/>
            <w:shd w:val="clear" w:color="auto" w:fill="D9D9D9" w:themeFill="background1" w:themeFillShade="D9"/>
          </w:tcPr>
          <w:p w:rsidR="00D137EB" w:rsidRPr="00FE0F61" w:rsidRDefault="00E06AAA" w:rsidP="00FE0F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      </w:t>
            </w:r>
            <w:r w:rsidR="00D137EB"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10. Constatările expertizei juridice</w:t>
            </w:r>
          </w:p>
        </w:tc>
      </w:tr>
      <w:tr w:rsidR="00D137EB" w:rsidRPr="00FE0F61" w:rsidTr="00C25662">
        <w:tc>
          <w:tcPr>
            <w:tcW w:w="10206" w:type="dxa"/>
          </w:tcPr>
          <w:p w:rsidR="00D137EB" w:rsidRPr="00FE0F61" w:rsidRDefault="00FE0F61" w:rsidP="00FE0F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</w:t>
            </w:r>
            <w:r w:rsidR="00D83554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conformitate cu art. 37 din Legea cu privire la actele normative,  proiectul urmează a fi supus expertizei</w:t>
            </w:r>
            <w:r w:rsidR="005C2AB3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juridice. Informația referitoare la concluziile expertizei juridice va fi inclusă în sinteză după recepționarea avizului respectiv din partea Ministerului Justiției. </w:t>
            </w:r>
            <w:r w:rsidR="00D83554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930AB1" w:rsidRPr="00FE0F61" w:rsidTr="00C25662">
        <w:tc>
          <w:tcPr>
            <w:tcW w:w="10206" w:type="dxa"/>
            <w:shd w:val="clear" w:color="auto" w:fill="D9D9D9" w:themeFill="background1" w:themeFillShade="D9"/>
          </w:tcPr>
          <w:p w:rsidR="00930AB1" w:rsidRPr="00FE0F61" w:rsidRDefault="00FF1F35" w:rsidP="00FE0F61">
            <w:pPr>
              <w:pStyle w:val="a4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0F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Constatările altor autorități/instituții ale căror avizare este necesară</w:t>
            </w:r>
          </w:p>
          <w:p w:rsidR="00FF1F35" w:rsidRPr="00FE0F61" w:rsidRDefault="00FF1F35" w:rsidP="00FE0F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930AB1" w:rsidRPr="00FE0F61" w:rsidTr="00C25662">
        <w:tc>
          <w:tcPr>
            <w:tcW w:w="10206" w:type="dxa"/>
          </w:tcPr>
          <w:p w:rsidR="00FF1F35" w:rsidRPr="00FE0F61" w:rsidRDefault="00ED0AE5" w:rsidP="00FE0F6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C2AB3" w:rsidRPr="00FE0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 se aplică.</w:t>
            </w:r>
          </w:p>
        </w:tc>
      </w:tr>
    </w:tbl>
    <w:p w:rsidR="00487431" w:rsidRDefault="00487431" w:rsidP="00487431">
      <w:pPr>
        <w:tabs>
          <w:tab w:val="left" w:pos="652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487431" w:rsidRDefault="00FB691E" w:rsidP="0048743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</w:t>
      </w:r>
      <w:r w:rsidR="00F44BB2" w:rsidRPr="00FE0F6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inistru </w:t>
      </w:r>
      <w:r w:rsidR="005A6977" w:rsidRPr="00FE0F6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</w:t>
      </w:r>
      <w:r w:rsidR="0048743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</w:t>
      </w:r>
      <w:r w:rsidR="005A6977" w:rsidRPr="00FE0F6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</w:t>
      </w:r>
      <w:r w:rsidR="0048743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Anatolie TOPALĂ</w:t>
      </w:r>
    </w:p>
    <w:p w:rsidR="00487431" w:rsidRDefault="00487431" w:rsidP="0048743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487431" w:rsidRPr="00487431" w:rsidRDefault="00E63660" w:rsidP="00487431">
      <w:pPr>
        <w:spacing w:after="0" w:line="276" w:lineRule="auto"/>
        <w:rPr>
          <w:rFonts w:ascii="Times New Roman" w:hAnsi="Times New Roman" w:cs="Times New Roman"/>
          <w:i/>
          <w:color w:val="000000" w:themeColor="text1"/>
          <w:sz w:val="18"/>
          <w:szCs w:val="24"/>
          <w:lang w:val="ro-RO"/>
        </w:rPr>
      </w:pPr>
      <w:r w:rsidRPr="00487431">
        <w:rPr>
          <w:rFonts w:ascii="Times New Roman" w:hAnsi="Times New Roman" w:cs="Times New Roman"/>
          <w:i/>
          <w:color w:val="000000" w:themeColor="text1"/>
          <w:sz w:val="18"/>
          <w:szCs w:val="24"/>
          <w:lang w:val="ro-RO"/>
        </w:rPr>
        <w:t xml:space="preserve">Ex. </w:t>
      </w:r>
      <w:r w:rsidR="006F7D9C" w:rsidRPr="00487431">
        <w:rPr>
          <w:rFonts w:ascii="Times New Roman" w:hAnsi="Times New Roman" w:cs="Times New Roman"/>
          <w:i/>
          <w:color w:val="000000" w:themeColor="text1"/>
          <w:sz w:val="18"/>
          <w:szCs w:val="24"/>
          <w:lang w:val="ro-RO"/>
        </w:rPr>
        <w:t xml:space="preserve">Iulia </w:t>
      </w:r>
      <w:proofErr w:type="spellStart"/>
      <w:r w:rsidR="006F7D9C" w:rsidRPr="00487431">
        <w:rPr>
          <w:rFonts w:ascii="Times New Roman" w:hAnsi="Times New Roman" w:cs="Times New Roman"/>
          <w:i/>
          <w:color w:val="000000" w:themeColor="text1"/>
          <w:sz w:val="18"/>
          <w:szCs w:val="24"/>
          <w:lang w:val="ro-RO"/>
        </w:rPr>
        <w:t>Belanciuc</w:t>
      </w:r>
      <w:proofErr w:type="spellEnd"/>
      <w:r w:rsidR="00FB691E" w:rsidRPr="00487431">
        <w:rPr>
          <w:rFonts w:ascii="Times New Roman" w:hAnsi="Times New Roman" w:cs="Times New Roman"/>
          <w:i/>
          <w:color w:val="000000" w:themeColor="text1"/>
          <w:sz w:val="18"/>
          <w:szCs w:val="24"/>
          <w:lang w:val="ro-RO"/>
        </w:rPr>
        <w:t>,</w:t>
      </w:r>
      <w:r w:rsidR="00487431" w:rsidRPr="00487431">
        <w:rPr>
          <w:rFonts w:ascii="Times New Roman" w:hAnsi="Times New Roman" w:cs="Times New Roman"/>
          <w:i/>
          <w:color w:val="000000" w:themeColor="text1"/>
          <w:sz w:val="18"/>
          <w:szCs w:val="24"/>
          <w:lang w:val="ro-RO"/>
        </w:rPr>
        <w:t xml:space="preserve"> tel. 0 22 238 539 </w:t>
      </w:r>
    </w:p>
    <w:sectPr w:rsidR="00487431" w:rsidRPr="00487431" w:rsidSect="00487431">
      <w:footerReference w:type="default" r:id="rId8"/>
      <w:pgSz w:w="11906" w:h="16838" w:code="9"/>
      <w:pgMar w:top="567" w:right="566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3FD" w:rsidRDefault="006163FD" w:rsidP="009139A1">
      <w:pPr>
        <w:spacing w:after="0" w:line="240" w:lineRule="auto"/>
      </w:pPr>
      <w:r>
        <w:separator/>
      </w:r>
    </w:p>
  </w:endnote>
  <w:endnote w:type="continuationSeparator" w:id="0">
    <w:p w:rsidR="006163FD" w:rsidRDefault="006163FD" w:rsidP="009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A1" w:rsidRDefault="009139A1">
    <w:pPr>
      <w:pStyle w:val="aa"/>
      <w:jc w:val="right"/>
    </w:pPr>
  </w:p>
  <w:p w:rsidR="009139A1" w:rsidRDefault="009139A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3FD" w:rsidRDefault="006163FD" w:rsidP="009139A1">
      <w:pPr>
        <w:spacing w:after="0" w:line="240" w:lineRule="auto"/>
      </w:pPr>
      <w:r>
        <w:separator/>
      </w:r>
    </w:p>
  </w:footnote>
  <w:footnote w:type="continuationSeparator" w:id="0">
    <w:p w:rsidR="006163FD" w:rsidRDefault="006163FD" w:rsidP="0091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3308"/>
    <w:multiLevelType w:val="hybridMultilevel"/>
    <w:tmpl w:val="77DCCA10"/>
    <w:lvl w:ilvl="0" w:tplc="7C322E4A">
      <w:start w:val="1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4D3201E"/>
    <w:multiLevelType w:val="hybridMultilevel"/>
    <w:tmpl w:val="426CB20E"/>
    <w:lvl w:ilvl="0" w:tplc="43685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56B95"/>
    <w:multiLevelType w:val="hybridMultilevel"/>
    <w:tmpl w:val="11148416"/>
    <w:lvl w:ilvl="0" w:tplc="DE48005C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D440BF"/>
    <w:multiLevelType w:val="hybridMultilevel"/>
    <w:tmpl w:val="57A2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A31C8"/>
    <w:multiLevelType w:val="hybridMultilevel"/>
    <w:tmpl w:val="10F015D8"/>
    <w:lvl w:ilvl="0" w:tplc="812A89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F7037"/>
    <w:multiLevelType w:val="hybridMultilevel"/>
    <w:tmpl w:val="B7B40E0A"/>
    <w:lvl w:ilvl="0" w:tplc="307A2CC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54595"/>
    <w:multiLevelType w:val="hybridMultilevel"/>
    <w:tmpl w:val="412EF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E49"/>
    <w:multiLevelType w:val="hybridMultilevel"/>
    <w:tmpl w:val="662CFEF6"/>
    <w:lvl w:ilvl="0" w:tplc="D4A0BA6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977"/>
    <w:rsid w:val="0002060C"/>
    <w:rsid w:val="00025894"/>
    <w:rsid w:val="00035FAE"/>
    <w:rsid w:val="00050127"/>
    <w:rsid w:val="000822E0"/>
    <w:rsid w:val="000A3872"/>
    <w:rsid w:val="000A5B3C"/>
    <w:rsid w:val="000E7F0D"/>
    <w:rsid w:val="001011EA"/>
    <w:rsid w:val="00110AAC"/>
    <w:rsid w:val="0011736A"/>
    <w:rsid w:val="001232D9"/>
    <w:rsid w:val="00132EEC"/>
    <w:rsid w:val="0013332C"/>
    <w:rsid w:val="00133A5A"/>
    <w:rsid w:val="00136656"/>
    <w:rsid w:val="001376BA"/>
    <w:rsid w:val="0014175A"/>
    <w:rsid w:val="00152812"/>
    <w:rsid w:val="00154BA7"/>
    <w:rsid w:val="001622D3"/>
    <w:rsid w:val="00163E4F"/>
    <w:rsid w:val="001B11D2"/>
    <w:rsid w:val="001C64D3"/>
    <w:rsid w:val="001D2277"/>
    <w:rsid w:val="001D3F6A"/>
    <w:rsid w:val="0020403C"/>
    <w:rsid w:val="0021225A"/>
    <w:rsid w:val="00226B85"/>
    <w:rsid w:val="00226E3E"/>
    <w:rsid w:val="00245922"/>
    <w:rsid w:val="002657AF"/>
    <w:rsid w:val="003117CB"/>
    <w:rsid w:val="00312841"/>
    <w:rsid w:val="00320339"/>
    <w:rsid w:val="00322B76"/>
    <w:rsid w:val="00345E5E"/>
    <w:rsid w:val="003575BD"/>
    <w:rsid w:val="00357B05"/>
    <w:rsid w:val="003646AE"/>
    <w:rsid w:val="00366EDA"/>
    <w:rsid w:val="00380EBC"/>
    <w:rsid w:val="00381F18"/>
    <w:rsid w:val="003914EE"/>
    <w:rsid w:val="00396FEC"/>
    <w:rsid w:val="003B77C3"/>
    <w:rsid w:val="003D34AA"/>
    <w:rsid w:val="003D41EA"/>
    <w:rsid w:val="00401EE2"/>
    <w:rsid w:val="00411F9F"/>
    <w:rsid w:val="004352A4"/>
    <w:rsid w:val="00437241"/>
    <w:rsid w:val="00451A97"/>
    <w:rsid w:val="004543A5"/>
    <w:rsid w:val="004726B7"/>
    <w:rsid w:val="004855E8"/>
    <w:rsid w:val="00487431"/>
    <w:rsid w:val="00490D36"/>
    <w:rsid w:val="004D1B32"/>
    <w:rsid w:val="004F131E"/>
    <w:rsid w:val="00505A7A"/>
    <w:rsid w:val="00512467"/>
    <w:rsid w:val="00535966"/>
    <w:rsid w:val="005409CC"/>
    <w:rsid w:val="00562191"/>
    <w:rsid w:val="0056548B"/>
    <w:rsid w:val="005A6977"/>
    <w:rsid w:val="005B215D"/>
    <w:rsid w:val="005C2AB3"/>
    <w:rsid w:val="005C3D40"/>
    <w:rsid w:val="005E580A"/>
    <w:rsid w:val="00601A4C"/>
    <w:rsid w:val="00603378"/>
    <w:rsid w:val="006163DA"/>
    <w:rsid w:val="006163FD"/>
    <w:rsid w:val="00621FC5"/>
    <w:rsid w:val="00651063"/>
    <w:rsid w:val="006673D0"/>
    <w:rsid w:val="00671A17"/>
    <w:rsid w:val="0068133C"/>
    <w:rsid w:val="00687323"/>
    <w:rsid w:val="006B110B"/>
    <w:rsid w:val="006B6FD1"/>
    <w:rsid w:val="006F7D9C"/>
    <w:rsid w:val="0079279F"/>
    <w:rsid w:val="007D1514"/>
    <w:rsid w:val="00834A40"/>
    <w:rsid w:val="00855940"/>
    <w:rsid w:val="008660C1"/>
    <w:rsid w:val="00866FAE"/>
    <w:rsid w:val="00874D9B"/>
    <w:rsid w:val="00884B4C"/>
    <w:rsid w:val="00885F88"/>
    <w:rsid w:val="008A4B05"/>
    <w:rsid w:val="008A5902"/>
    <w:rsid w:val="008B2A84"/>
    <w:rsid w:val="008B2D82"/>
    <w:rsid w:val="008B448C"/>
    <w:rsid w:val="008C1F30"/>
    <w:rsid w:val="008D75E6"/>
    <w:rsid w:val="008E56AB"/>
    <w:rsid w:val="0090518D"/>
    <w:rsid w:val="009071F5"/>
    <w:rsid w:val="009139A1"/>
    <w:rsid w:val="00917639"/>
    <w:rsid w:val="00930AB1"/>
    <w:rsid w:val="00942F3C"/>
    <w:rsid w:val="00951BFD"/>
    <w:rsid w:val="009545B3"/>
    <w:rsid w:val="0095762A"/>
    <w:rsid w:val="00972644"/>
    <w:rsid w:val="00985306"/>
    <w:rsid w:val="0099364C"/>
    <w:rsid w:val="009A4093"/>
    <w:rsid w:val="009F238F"/>
    <w:rsid w:val="009F271B"/>
    <w:rsid w:val="00A161C2"/>
    <w:rsid w:val="00A2190A"/>
    <w:rsid w:val="00A34618"/>
    <w:rsid w:val="00A406F9"/>
    <w:rsid w:val="00A40967"/>
    <w:rsid w:val="00A40A41"/>
    <w:rsid w:val="00A43EEC"/>
    <w:rsid w:val="00A61877"/>
    <w:rsid w:val="00A66131"/>
    <w:rsid w:val="00A6677E"/>
    <w:rsid w:val="00A76AC3"/>
    <w:rsid w:val="00A8540F"/>
    <w:rsid w:val="00A86E22"/>
    <w:rsid w:val="00A878E3"/>
    <w:rsid w:val="00A904F0"/>
    <w:rsid w:val="00A94E35"/>
    <w:rsid w:val="00AE4657"/>
    <w:rsid w:val="00B301FA"/>
    <w:rsid w:val="00B47CF3"/>
    <w:rsid w:val="00BB0B72"/>
    <w:rsid w:val="00BB0D73"/>
    <w:rsid w:val="00BE41DB"/>
    <w:rsid w:val="00C149D8"/>
    <w:rsid w:val="00C15397"/>
    <w:rsid w:val="00C25662"/>
    <w:rsid w:val="00C439C4"/>
    <w:rsid w:val="00C467A5"/>
    <w:rsid w:val="00C46B25"/>
    <w:rsid w:val="00C77F89"/>
    <w:rsid w:val="00C816BF"/>
    <w:rsid w:val="00C828A2"/>
    <w:rsid w:val="00C8790D"/>
    <w:rsid w:val="00C911F2"/>
    <w:rsid w:val="00C954D8"/>
    <w:rsid w:val="00CC09C6"/>
    <w:rsid w:val="00CC3EFF"/>
    <w:rsid w:val="00CC5248"/>
    <w:rsid w:val="00CD796F"/>
    <w:rsid w:val="00CE1AD4"/>
    <w:rsid w:val="00CF35CE"/>
    <w:rsid w:val="00D002ED"/>
    <w:rsid w:val="00D0691F"/>
    <w:rsid w:val="00D137EB"/>
    <w:rsid w:val="00D1773E"/>
    <w:rsid w:val="00D36043"/>
    <w:rsid w:val="00D62EA5"/>
    <w:rsid w:val="00D72948"/>
    <w:rsid w:val="00D74085"/>
    <w:rsid w:val="00D741F3"/>
    <w:rsid w:val="00D83554"/>
    <w:rsid w:val="00D873D3"/>
    <w:rsid w:val="00D87C6A"/>
    <w:rsid w:val="00D93E4B"/>
    <w:rsid w:val="00DA755E"/>
    <w:rsid w:val="00DB1872"/>
    <w:rsid w:val="00DE28B9"/>
    <w:rsid w:val="00DE7D74"/>
    <w:rsid w:val="00E06AAA"/>
    <w:rsid w:val="00E53469"/>
    <w:rsid w:val="00E561C1"/>
    <w:rsid w:val="00E60755"/>
    <w:rsid w:val="00E63660"/>
    <w:rsid w:val="00E9714D"/>
    <w:rsid w:val="00EB77AD"/>
    <w:rsid w:val="00EC557F"/>
    <w:rsid w:val="00ED0AE5"/>
    <w:rsid w:val="00F0552C"/>
    <w:rsid w:val="00F16D23"/>
    <w:rsid w:val="00F22B34"/>
    <w:rsid w:val="00F27F6D"/>
    <w:rsid w:val="00F329B9"/>
    <w:rsid w:val="00F44BB2"/>
    <w:rsid w:val="00F51509"/>
    <w:rsid w:val="00F8087F"/>
    <w:rsid w:val="00F810B7"/>
    <w:rsid w:val="00FA0274"/>
    <w:rsid w:val="00FB1690"/>
    <w:rsid w:val="00FB691E"/>
    <w:rsid w:val="00FE0F61"/>
    <w:rsid w:val="00FE3643"/>
    <w:rsid w:val="00FF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77"/>
    <w:pPr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977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 Paragraph 1,List Paragraph1,Абзац списка1,List Paragraph11,Абзац списка2"/>
    <w:basedOn w:val="a"/>
    <w:link w:val="a5"/>
    <w:uiPriority w:val="34"/>
    <w:qFormat/>
    <w:rsid w:val="005A6977"/>
    <w:pPr>
      <w:ind w:left="720"/>
      <w:contextualSpacing/>
    </w:pPr>
  </w:style>
  <w:style w:type="paragraph" w:customStyle="1" w:styleId="Default">
    <w:name w:val="Default"/>
    <w:rsid w:val="005A6977"/>
    <w:pPr>
      <w:autoSpaceDE w:val="0"/>
      <w:autoSpaceDN w:val="0"/>
      <w:adjustRightInd w:val="0"/>
      <w:spacing w:after="0" w:line="240" w:lineRule="auto"/>
      <w:jc w:val="left"/>
    </w:pPr>
    <w:rPr>
      <w:color w:val="000000"/>
      <w:lang w:val="ru-RU"/>
    </w:rPr>
  </w:style>
  <w:style w:type="character" w:customStyle="1" w:styleId="a5">
    <w:name w:val="Абзац списка Знак"/>
    <w:aliases w:val="List Paragraph 1 Знак,List Paragraph1 Знак,Абзац списка1 Знак,List Paragraph11 Знак,Абзац списка2 Знак"/>
    <w:basedOn w:val="a0"/>
    <w:link w:val="a4"/>
    <w:uiPriority w:val="34"/>
    <w:locked/>
    <w:rsid w:val="005A6977"/>
    <w:rPr>
      <w:rFonts w:asciiTheme="minorHAnsi" w:hAnsiTheme="minorHAnsi" w:cstheme="minorBidi"/>
      <w:sz w:val="22"/>
      <w:szCs w:val="22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9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11F2"/>
    <w:rPr>
      <w:rFonts w:ascii="Segoe UI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paragraph" w:styleId="aa">
    <w:name w:val="footer"/>
    <w:basedOn w:val="a"/>
    <w:link w:val="ab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character" w:styleId="ac">
    <w:name w:val="Hyperlink"/>
    <w:basedOn w:val="a0"/>
    <w:uiPriority w:val="99"/>
    <w:unhideWhenUsed/>
    <w:rsid w:val="00F810B7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A904F0"/>
    <w:rPr>
      <w:b/>
      <w:bCs/>
    </w:rPr>
  </w:style>
  <w:style w:type="paragraph" w:styleId="ae">
    <w:name w:val="No Spacing"/>
    <w:basedOn w:val="a"/>
    <w:uiPriority w:val="1"/>
    <w:qFormat/>
    <w:rsid w:val="00A904F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c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Serviciul Relații interetnice, MECC, Iulia</cp:lastModifiedBy>
  <cp:revision>6</cp:revision>
  <cp:lastPrinted>2021-08-12T07:18:00Z</cp:lastPrinted>
  <dcterms:created xsi:type="dcterms:W3CDTF">2021-07-05T12:26:00Z</dcterms:created>
  <dcterms:modified xsi:type="dcterms:W3CDTF">2021-08-12T07:19:00Z</dcterms:modified>
</cp:coreProperties>
</file>