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0DB31" w14:textId="77777777" w:rsidR="00F82509" w:rsidRDefault="00896558" w:rsidP="00896558">
      <w:pPr>
        <w:spacing w:after="0" w:line="240" w:lineRule="auto"/>
        <w:ind w:left="0" w:right="590"/>
        <w:jc w:val="center"/>
        <w:rPr>
          <w:rFonts w:ascii="Times New Roman" w:eastAsia="Times New Roman" w:hAnsi="Times New Roman"/>
          <w:b/>
          <w:sz w:val="28"/>
          <w:szCs w:val="28"/>
          <w:u w:val="single"/>
        </w:rPr>
      </w:pPr>
      <w:r>
        <w:rPr>
          <w:rFonts w:ascii="Times New Roman" w:eastAsia="Times New Roman" w:hAnsi="Times New Roman"/>
          <w:b/>
          <w:sz w:val="28"/>
          <w:szCs w:val="28"/>
          <w:u w:val="single"/>
        </w:rPr>
        <w:t>NOTĂ INFORMATIVĂ</w:t>
      </w:r>
    </w:p>
    <w:p w14:paraId="5A11F2E9" w14:textId="77777777" w:rsidR="009E79B0" w:rsidRDefault="009E79B0" w:rsidP="00896558">
      <w:pPr>
        <w:spacing w:after="0" w:line="240" w:lineRule="auto"/>
        <w:ind w:left="0" w:right="590"/>
        <w:jc w:val="center"/>
        <w:rPr>
          <w:rFonts w:ascii="Times New Roman" w:eastAsia="Times New Roman" w:hAnsi="Times New Roman"/>
          <w:b/>
          <w:sz w:val="28"/>
          <w:szCs w:val="28"/>
        </w:rPr>
      </w:pPr>
      <w:r>
        <w:rPr>
          <w:rFonts w:ascii="Times New Roman" w:eastAsia="Times New Roman" w:hAnsi="Times New Roman"/>
          <w:b/>
          <w:sz w:val="28"/>
          <w:szCs w:val="28"/>
        </w:rPr>
        <w:t xml:space="preserve">                  </w:t>
      </w:r>
      <w:r w:rsidR="00896558">
        <w:rPr>
          <w:rFonts w:ascii="Times New Roman" w:eastAsia="Times New Roman" w:hAnsi="Times New Roman"/>
          <w:b/>
          <w:sz w:val="28"/>
          <w:szCs w:val="28"/>
        </w:rPr>
        <w:t xml:space="preserve">pentru modificarea Anexei nr. 3 la Hotărârea Guvernului nr. 846/2015 </w:t>
      </w:r>
    </w:p>
    <w:p w14:paraId="1795C1D7" w14:textId="17D7200E" w:rsidR="00F82509" w:rsidRDefault="009E79B0" w:rsidP="009E79B0">
      <w:pPr>
        <w:spacing w:after="0" w:line="240" w:lineRule="auto"/>
        <w:ind w:left="0"/>
        <w:rPr>
          <w:rFonts w:ascii="Times New Roman" w:eastAsia="Times New Roman" w:hAnsi="Times New Roman"/>
          <w:b/>
          <w:sz w:val="28"/>
          <w:szCs w:val="28"/>
        </w:rPr>
      </w:pPr>
      <w:r>
        <w:rPr>
          <w:rFonts w:ascii="Times New Roman" w:eastAsia="Times New Roman" w:hAnsi="Times New Roman"/>
          <w:b/>
          <w:sz w:val="28"/>
          <w:szCs w:val="28"/>
        </w:rPr>
        <w:t xml:space="preserve">          </w:t>
      </w:r>
      <w:r w:rsidR="00896558">
        <w:rPr>
          <w:rFonts w:ascii="Times New Roman" w:eastAsia="Times New Roman" w:hAnsi="Times New Roman"/>
          <w:b/>
          <w:sz w:val="28"/>
          <w:szCs w:val="28"/>
        </w:rPr>
        <w:t>privind  punerea în aplicare a prevede</w:t>
      </w:r>
      <w:r>
        <w:rPr>
          <w:rFonts w:ascii="Times New Roman" w:eastAsia="Times New Roman" w:hAnsi="Times New Roman"/>
          <w:b/>
          <w:sz w:val="28"/>
          <w:szCs w:val="28"/>
        </w:rPr>
        <w:t xml:space="preserve">rilor Legii cinematografiei nr. </w:t>
      </w:r>
      <w:r w:rsidR="00896558">
        <w:rPr>
          <w:rFonts w:ascii="Times New Roman" w:eastAsia="Times New Roman" w:hAnsi="Times New Roman"/>
          <w:b/>
          <w:sz w:val="28"/>
          <w:szCs w:val="28"/>
        </w:rPr>
        <w:t>116/2014</w:t>
      </w:r>
    </w:p>
    <w:p w14:paraId="673A232E" w14:textId="77777777" w:rsidR="00F82509" w:rsidRDefault="00F82509" w:rsidP="00896558">
      <w:pPr>
        <w:spacing w:after="0" w:line="240" w:lineRule="auto"/>
        <w:ind w:left="0" w:right="590"/>
        <w:jc w:val="both"/>
        <w:rPr>
          <w:rFonts w:ascii="Times New Roman" w:eastAsia="Times New Roman" w:hAnsi="Times New Roman"/>
          <w:b/>
          <w:sz w:val="28"/>
          <w:szCs w:val="28"/>
        </w:rPr>
      </w:pPr>
    </w:p>
    <w:p w14:paraId="3C647FE4" w14:textId="77777777" w:rsidR="00F82509" w:rsidRDefault="00F82509" w:rsidP="00896558">
      <w:pPr>
        <w:spacing w:after="0" w:line="240" w:lineRule="auto"/>
        <w:ind w:left="0" w:right="590"/>
        <w:jc w:val="both"/>
        <w:rPr>
          <w:rFonts w:ascii="Times New Roman" w:eastAsia="Times New Roman" w:hAnsi="Times New Roman"/>
          <w:b/>
          <w:sz w:val="28"/>
          <w:szCs w:val="28"/>
        </w:rPr>
      </w:pPr>
    </w:p>
    <w:tbl>
      <w:tblPr>
        <w:tblStyle w:val="a6"/>
        <w:tblW w:w="1016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60"/>
      </w:tblGrid>
      <w:tr w:rsidR="00F82509" w14:paraId="52A6067E" w14:textId="77777777" w:rsidTr="009E79B0">
        <w:tc>
          <w:tcPr>
            <w:tcW w:w="10160" w:type="dxa"/>
          </w:tcPr>
          <w:p w14:paraId="768B220B" w14:textId="77777777" w:rsidR="00F82509" w:rsidRDefault="00896558" w:rsidP="00896558">
            <w:pPr>
              <w:tabs>
                <w:tab w:val="left" w:pos="284"/>
                <w:tab w:val="left" w:pos="360"/>
              </w:tabs>
              <w:spacing w:after="0" w:line="240" w:lineRule="auto"/>
              <w:ind w:left="0" w:right="590"/>
              <w:jc w:val="both"/>
              <w:rPr>
                <w:rFonts w:ascii="Times New Roman" w:eastAsia="Times New Roman" w:hAnsi="Times New Roman"/>
                <w:b/>
                <w:sz w:val="28"/>
                <w:szCs w:val="28"/>
              </w:rPr>
            </w:pPr>
            <w:r>
              <w:rPr>
                <w:rFonts w:ascii="Times New Roman" w:eastAsia="Times New Roman" w:hAnsi="Times New Roman"/>
                <w:b/>
                <w:sz w:val="28"/>
                <w:szCs w:val="28"/>
              </w:rPr>
              <w:t>1. Denumirea autorului şi după caz, a participanţilor la elaborarea proiectului</w:t>
            </w:r>
          </w:p>
        </w:tc>
      </w:tr>
      <w:tr w:rsidR="00F82509" w14:paraId="1C7AFA9B" w14:textId="77777777" w:rsidTr="009E79B0">
        <w:tc>
          <w:tcPr>
            <w:tcW w:w="10160" w:type="dxa"/>
          </w:tcPr>
          <w:p w14:paraId="4653EB69" w14:textId="77777777" w:rsidR="00F82509" w:rsidRDefault="00896558" w:rsidP="009E79B0">
            <w:pPr>
              <w:tabs>
                <w:tab w:val="left" w:pos="884"/>
                <w:tab w:val="left" w:pos="1196"/>
              </w:tabs>
              <w:spacing w:after="0" w:line="240" w:lineRule="auto"/>
              <w:ind w:left="0" w:right="27"/>
              <w:jc w:val="both"/>
              <w:rPr>
                <w:rFonts w:ascii="Times New Roman" w:eastAsia="Times New Roman" w:hAnsi="Times New Roman"/>
                <w:sz w:val="28"/>
                <w:szCs w:val="28"/>
              </w:rPr>
            </w:pPr>
            <w:r>
              <w:rPr>
                <w:rFonts w:ascii="Times New Roman" w:eastAsia="Times New Roman" w:hAnsi="Times New Roman"/>
                <w:sz w:val="28"/>
                <w:szCs w:val="28"/>
              </w:rPr>
              <w:t>Prezentul proiect este elaborat de către Centrul Național al Cinematografiei (CNC),  instituție publică în subordinea Ministerului Culturii.</w:t>
            </w:r>
          </w:p>
        </w:tc>
      </w:tr>
      <w:tr w:rsidR="00F82509" w14:paraId="7BE1F888" w14:textId="77777777" w:rsidTr="009E79B0">
        <w:tc>
          <w:tcPr>
            <w:tcW w:w="10160" w:type="dxa"/>
          </w:tcPr>
          <w:p w14:paraId="34ECCF85" w14:textId="77777777" w:rsidR="00F82509" w:rsidRDefault="00896558" w:rsidP="00896558">
            <w:pPr>
              <w:tabs>
                <w:tab w:val="left" w:pos="884"/>
                <w:tab w:val="left" w:pos="1196"/>
              </w:tabs>
              <w:spacing w:after="0" w:line="240" w:lineRule="auto"/>
              <w:ind w:left="0" w:right="590"/>
              <w:jc w:val="both"/>
              <w:rPr>
                <w:rFonts w:ascii="Times New Roman" w:eastAsia="Times New Roman" w:hAnsi="Times New Roman"/>
                <w:b/>
                <w:sz w:val="28"/>
                <w:szCs w:val="28"/>
              </w:rPr>
            </w:pPr>
            <w:r>
              <w:rPr>
                <w:rFonts w:ascii="Times New Roman" w:eastAsia="Times New Roman" w:hAnsi="Times New Roman"/>
                <w:b/>
                <w:sz w:val="28"/>
                <w:szCs w:val="28"/>
              </w:rPr>
              <w:t>2. Condiţiile ce au impus elaborarea proiectului de act normativ şi finalităţile urmărite</w:t>
            </w:r>
          </w:p>
        </w:tc>
      </w:tr>
      <w:tr w:rsidR="00F82509" w14:paraId="07E6CD2F" w14:textId="77777777" w:rsidTr="009E79B0">
        <w:tc>
          <w:tcPr>
            <w:tcW w:w="10160" w:type="dxa"/>
          </w:tcPr>
          <w:p w14:paraId="270863BB" w14:textId="156532FE" w:rsidR="00F82509" w:rsidRDefault="00896558" w:rsidP="009E79B0">
            <w:pPr>
              <w:tabs>
                <w:tab w:val="left" w:pos="9930"/>
              </w:tabs>
              <w:spacing w:after="0" w:line="240" w:lineRule="auto"/>
              <w:ind w:left="0"/>
              <w:jc w:val="both"/>
              <w:rPr>
                <w:rFonts w:ascii="Times New Roman" w:eastAsia="Times New Roman" w:hAnsi="Times New Roman"/>
                <w:sz w:val="28"/>
                <w:szCs w:val="28"/>
              </w:rPr>
            </w:pPr>
            <w:r>
              <w:rPr>
                <w:rFonts w:ascii="Times New Roman" w:eastAsia="Times New Roman" w:hAnsi="Times New Roman"/>
                <w:sz w:val="28"/>
                <w:szCs w:val="28"/>
              </w:rPr>
              <w:t>În procesul implementării Legii cinematografiei nr. 116/2014 și Anexei 3  s-au developat carențele regulamentului de finanțare, dar și necesitatea de a fi racordat la practicile internaționale din domeniu, în particular ținând cont de a) experiența țărilor europene, b) diagnostica efectuată în cadrul proiectului de asistență tehnică oferit de Consiliul Europei și c) raportul de evaluare ex-post de impact a Legii cinematografiei nr.116/2014 elaborat de Comisia cultură, educație, cercetare, tineret, sport și mass-media a Parlamentului Republicii Moldova.</w:t>
            </w:r>
          </w:p>
        </w:tc>
      </w:tr>
      <w:tr w:rsidR="00F82509" w14:paraId="6F286A54" w14:textId="77777777" w:rsidTr="009E79B0">
        <w:tc>
          <w:tcPr>
            <w:tcW w:w="10160" w:type="dxa"/>
          </w:tcPr>
          <w:p w14:paraId="3C5A4C28" w14:textId="77777777" w:rsidR="00F82509" w:rsidRDefault="00896558" w:rsidP="00896558">
            <w:pPr>
              <w:tabs>
                <w:tab w:val="left" w:pos="884"/>
                <w:tab w:val="left" w:pos="1196"/>
                <w:tab w:val="left" w:pos="9870"/>
              </w:tabs>
              <w:spacing w:after="0" w:line="240" w:lineRule="auto"/>
              <w:ind w:left="0" w:right="590"/>
              <w:jc w:val="both"/>
              <w:rPr>
                <w:rFonts w:ascii="Times New Roman" w:eastAsia="Times New Roman" w:hAnsi="Times New Roman"/>
                <w:b/>
                <w:sz w:val="28"/>
                <w:szCs w:val="28"/>
              </w:rPr>
            </w:pPr>
            <w:r>
              <w:rPr>
                <w:rFonts w:ascii="Times New Roman" w:eastAsia="Times New Roman" w:hAnsi="Times New Roman"/>
                <w:b/>
                <w:sz w:val="28"/>
                <w:szCs w:val="28"/>
              </w:rPr>
              <w:t>3. Descrierea gradului de compatibilitate pentru proiectele care au ca scop armonizarea legislaţiei naţionale cu legislaţia Uniunii Europene</w:t>
            </w:r>
          </w:p>
        </w:tc>
      </w:tr>
      <w:tr w:rsidR="00F82509" w14:paraId="6F87A11D" w14:textId="77777777" w:rsidTr="009E79B0">
        <w:tc>
          <w:tcPr>
            <w:tcW w:w="10160" w:type="dxa"/>
          </w:tcPr>
          <w:p w14:paraId="7C840383" w14:textId="77777777" w:rsidR="00F82509" w:rsidRDefault="00896558" w:rsidP="009E79B0">
            <w:pPr>
              <w:tabs>
                <w:tab w:val="left" w:pos="884"/>
                <w:tab w:val="left" w:pos="1196"/>
              </w:tabs>
              <w:spacing w:after="0" w:line="240" w:lineRule="auto"/>
              <w:ind w:left="0"/>
              <w:jc w:val="both"/>
              <w:rPr>
                <w:rFonts w:ascii="Times New Roman" w:eastAsia="Times New Roman" w:hAnsi="Times New Roman"/>
                <w:b/>
                <w:sz w:val="28"/>
                <w:szCs w:val="28"/>
              </w:rPr>
            </w:pPr>
            <w:r>
              <w:rPr>
                <w:rFonts w:ascii="Times New Roman" w:eastAsia="Times New Roman" w:hAnsi="Times New Roman"/>
                <w:sz w:val="28"/>
                <w:szCs w:val="28"/>
              </w:rPr>
              <w:t>Proiectul conține norme privind armonizarea legislației naționale cu legislaţia Uniunii Europene precum Convenția Europeană pe Coproducții, privind cotă minimă de participare, caracterul proiectelor și principiile de finanțare.</w:t>
            </w:r>
          </w:p>
        </w:tc>
      </w:tr>
      <w:tr w:rsidR="00F82509" w14:paraId="525FADC1" w14:textId="77777777" w:rsidTr="009E79B0">
        <w:tc>
          <w:tcPr>
            <w:tcW w:w="10160" w:type="dxa"/>
          </w:tcPr>
          <w:p w14:paraId="413CBE5C" w14:textId="77777777" w:rsidR="00F82509" w:rsidRDefault="00896558" w:rsidP="00896558">
            <w:pPr>
              <w:tabs>
                <w:tab w:val="left" w:pos="884"/>
                <w:tab w:val="left" w:pos="1196"/>
              </w:tabs>
              <w:spacing w:after="0" w:line="240" w:lineRule="auto"/>
              <w:ind w:left="0" w:right="590"/>
              <w:jc w:val="both"/>
              <w:rPr>
                <w:rFonts w:ascii="Times New Roman" w:eastAsia="Times New Roman" w:hAnsi="Times New Roman"/>
                <w:b/>
                <w:sz w:val="28"/>
                <w:szCs w:val="28"/>
              </w:rPr>
            </w:pPr>
            <w:r>
              <w:rPr>
                <w:rFonts w:ascii="Times New Roman" w:eastAsia="Times New Roman" w:hAnsi="Times New Roman"/>
                <w:b/>
                <w:sz w:val="28"/>
                <w:szCs w:val="28"/>
              </w:rPr>
              <w:t>4.Principalele prevederi ale proiectului şi evidenţierea elementelor noi</w:t>
            </w:r>
          </w:p>
        </w:tc>
      </w:tr>
      <w:tr w:rsidR="00F82509" w14:paraId="44914F52" w14:textId="77777777" w:rsidTr="009E79B0">
        <w:tc>
          <w:tcPr>
            <w:tcW w:w="10160" w:type="dxa"/>
          </w:tcPr>
          <w:p w14:paraId="3B99B941" w14:textId="77777777" w:rsidR="00F82509" w:rsidRDefault="00896558" w:rsidP="009E79B0">
            <w:pPr>
              <w:spacing w:after="0" w:line="240" w:lineRule="auto"/>
              <w:ind w:left="0"/>
              <w:jc w:val="both"/>
              <w:rPr>
                <w:rFonts w:ascii="Times New Roman" w:eastAsia="Times New Roman" w:hAnsi="Times New Roman"/>
                <w:sz w:val="28"/>
                <w:szCs w:val="28"/>
              </w:rPr>
            </w:pPr>
            <w:r>
              <w:rPr>
                <w:rFonts w:ascii="Times New Roman" w:eastAsia="Times New Roman" w:hAnsi="Times New Roman"/>
                <w:sz w:val="28"/>
                <w:szCs w:val="28"/>
              </w:rPr>
              <w:t>Prezentul proiect propune operarea unor modificări în modul și desfășurarea concursului de finanțare și finanțarea producției cinematografice. Principalele prevederi şi elemente noi integrate în proiect sunt următoarele:</w:t>
            </w:r>
          </w:p>
          <w:p w14:paraId="1364BAEC" w14:textId="77777777" w:rsidR="00F82509" w:rsidRDefault="00F82509" w:rsidP="009E79B0">
            <w:pPr>
              <w:spacing w:after="0" w:line="240" w:lineRule="auto"/>
              <w:ind w:left="0"/>
              <w:jc w:val="both"/>
              <w:rPr>
                <w:rFonts w:ascii="Times New Roman" w:eastAsia="Times New Roman" w:hAnsi="Times New Roman"/>
                <w:sz w:val="28"/>
                <w:szCs w:val="28"/>
              </w:rPr>
            </w:pPr>
          </w:p>
          <w:p w14:paraId="1A63AE14" w14:textId="77777777" w:rsidR="00F82509" w:rsidRDefault="00896558" w:rsidP="009E79B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sz w:val="28"/>
                <w:szCs w:val="28"/>
              </w:rPr>
            </w:pPr>
            <w:r>
              <w:rPr>
                <w:rFonts w:ascii="Times New Roman" w:eastAsia="Times New Roman" w:hAnsi="Times New Roman"/>
                <w:sz w:val="28"/>
                <w:szCs w:val="28"/>
              </w:rPr>
              <w:t>O  expunere structurată ale prevederilor regulamentului într-un mod clar, inteligibil și accesibil, care să aibă un caracter funcțional și aplicabil al Legii Cinematografiei nr. 116/2014.</w:t>
            </w:r>
          </w:p>
          <w:p w14:paraId="7D19ED89" w14:textId="6661EDF9" w:rsidR="00F82509" w:rsidRDefault="00896558" w:rsidP="009E79B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sz w:val="28"/>
                <w:szCs w:val="28"/>
              </w:rPr>
            </w:pPr>
            <w:r>
              <w:rPr>
                <w:rFonts w:ascii="Times New Roman" w:eastAsia="Times New Roman" w:hAnsi="Times New Roman"/>
                <w:sz w:val="28"/>
                <w:szCs w:val="28"/>
              </w:rPr>
              <w:t>Delimitarea clară a celor două etape ale concursului de proiecte cinematografice pentru fluidizarea procesului și micșorarea volumului de documente atât pentru participanți, cât și pentru  CNC. Astfel, dacă anterior participanții la concurs depuneau două dosare pentru concurs, dintre care unul era deschis doar după finalizarea primei etape a concursului, în redacția nouă participanții vor depune al doilea dosar  numai în cazul în care au fost promovați în cea de a doua etapă a concursului.</w:t>
            </w:r>
          </w:p>
          <w:p w14:paraId="66BA8A6B" w14:textId="77777777" w:rsidR="00F82509" w:rsidRDefault="00896558" w:rsidP="009E79B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sz w:val="28"/>
                <w:szCs w:val="28"/>
              </w:rPr>
            </w:pPr>
            <w:r>
              <w:rPr>
                <w:rFonts w:ascii="Times New Roman" w:eastAsia="Times New Roman" w:hAnsi="Times New Roman"/>
                <w:sz w:val="28"/>
                <w:szCs w:val="28"/>
              </w:rPr>
              <w:t>Introducerea Prezentării Publice a Proiectelor, practică utilizată pe larg în competițiile similare din domeniu în țările europene, care asigură vizibilitate și transparență a proiectelor care urmează să fie finanțate din bani publici.</w:t>
            </w:r>
          </w:p>
          <w:p w14:paraId="1D5D0935" w14:textId="77777777" w:rsidR="00F82509" w:rsidRDefault="00896558" w:rsidP="009E79B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Detalierea și perfectarea modalității  de finanțare în scopul implementării  </w:t>
            </w:r>
            <w:bookmarkStart w:id="0" w:name="_GoBack"/>
            <w:bookmarkEnd w:id="0"/>
            <w:r>
              <w:rPr>
                <w:rFonts w:ascii="Times New Roman" w:eastAsia="Times New Roman" w:hAnsi="Times New Roman"/>
                <w:sz w:val="28"/>
                <w:szCs w:val="28"/>
              </w:rPr>
              <w:t>proiectelor finanțate conform procesului de producție specific domeniului, dar și securizarea banilor publici și  asigurare gestionări eficiente a surselor bugetare. Astfel finanțarea proiectelor are loc în avans, CNC fiind lipsit de garanția unei gestionări eficiente a sprijinului acordat și posibilitatea de a  stopa investițiile în cazul unor producții ineficiente sau ratate. Prin introducerea unui cont dedicat de tip escrow, beneficiarii vor avea garanția finanțării în procesul de negocieri și atragere a partenerilor și finanțatorilor în proiect, iar CNC va avea instrumentul necesar de a controla resursele financiare alocate și a asigura o gestionare eficientă a banilor publici.</w:t>
            </w:r>
          </w:p>
          <w:p w14:paraId="15370408" w14:textId="77777777" w:rsidR="00F82509" w:rsidRDefault="00896558" w:rsidP="009E79B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sz w:val="28"/>
                <w:szCs w:val="28"/>
              </w:rPr>
            </w:pPr>
            <w:r>
              <w:rPr>
                <w:rFonts w:ascii="Times New Roman" w:eastAsia="Times New Roman" w:hAnsi="Times New Roman"/>
                <w:sz w:val="28"/>
                <w:szCs w:val="28"/>
              </w:rPr>
              <w:t>Perfectarea modalității de raportare a resurselor financiare accesate de beneficiari</w:t>
            </w:r>
          </w:p>
          <w:p w14:paraId="7AA26F35" w14:textId="77777777" w:rsidR="00F82509" w:rsidRDefault="00896558" w:rsidP="009E79B0">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olor w:val="000000"/>
                <w:sz w:val="28"/>
                <w:szCs w:val="28"/>
              </w:rPr>
            </w:pPr>
            <w:r>
              <w:rPr>
                <w:rFonts w:ascii="Times New Roman" w:eastAsia="Times New Roman" w:hAnsi="Times New Roman"/>
                <w:sz w:val="28"/>
                <w:szCs w:val="28"/>
              </w:rPr>
              <w:t>Precizarea atribuțiilor decizionale a Conciliului CNC în termeni de strategie și mod de gestionare a alocațiilor bugetare, inclusiv conform Legii cu privire la cinematografie nr. 116/2014, unde este stipulată activitatea, competențele și atribuțiile Centrului.</w:t>
            </w:r>
          </w:p>
        </w:tc>
      </w:tr>
      <w:tr w:rsidR="00F82509" w14:paraId="3D9AA7E2" w14:textId="77777777" w:rsidTr="009E79B0">
        <w:tc>
          <w:tcPr>
            <w:tcW w:w="10160" w:type="dxa"/>
          </w:tcPr>
          <w:p w14:paraId="159CDB6D" w14:textId="77777777" w:rsidR="00F82509" w:rsidRDefault="00896558" w:rsidP="009E79B0">
            <w:pPr>
              <w:tabs>
                <w:tab w:val="left" w:pos="884"/>
                <w:tab w:val="left" w:pos="1196"/>
              </w:tabs>
              <w:spacing w:after="0" w:line="240" w:lineRule="auto"/>
              <w:ind w:left="0"/>
              <w:jc w:val="both"/>
              <w:rPr>
                <w:rFonts w:ascii="Times New Roman" w:eastAsia="Times New Roman" w:hAnsi="Times New Roman"/>
                <w:b/>
                <w:sz w:val="28"/>
                <w:szCs w:val="28"/>
              </w:rPr>
            </w:pPr>
            <w:r>
              <w:rPr>
                <w:rFonts w:ascii="Times New Roman" w:eastAsia="Times New Roman" w:hAnsi="Times New Roman"/>
                <w:b/>
                <w:sz w:val="28"/>
                <w:szCs w:val="28"/>
              </w:rPr>
              <w:lastRenderedPageBreak/>
              <w:t>5. Fundamentarea economico-financiară</w:t>
            </w:r>
          </w:p>
        </w:tc>
      </w:tr>
      <w:tr w:rsidR="00F82509" w14:paraId="0FB241BA" w14:textId="77777777" w:rsidTr="009E79B0">
        <w:tc>
          <w:tcPr>
            <w:tcW w:w="10160" w:type="dxa"/>
          </w:tcPr>
          <w:p w14:paraId="71276749" w14:textId="77777777" w:rsidR="00F82509" w:rsidRDefault="00896558" w:rsidP="009E79B0">
            <w:pPr>
              <w:spacing w:line="240" w:lineRule="auto"/>
              <w:ind w:left="0"/>
              <w:jc w:val="both"/>
              <w:rPr>
                <w:rFonts w:ascii="Times New Roman" w:eastAsia="Times New Roman" w:hAnsi="Times New Roman"/>
                <w:color w:val="002060"/>
                <w:sz w:val="28"/>
                <w:szCs w:val="28"/>
              </w:rPr>
            </w:pPr>
            <w:r>
              <w:rPr>
                <w:rFonts w:ascii="Times New Roman" w:eastAsia="Times New Roman" w:hAnsi="Times New Roman"/>
                <w:sz w:val="28"/>
                <w:szCs w:val="28"/>
              </w:rPr>
              <w:t>Planul de acțiuni va fi realizat din contul și în limita bugetului alocat și veniturile din taxele de participare</w:t>
            </w:r>
          </w:p>
        </w:tc>
      </w:tr>
      <w:tr w:rsidR="00F82509" w14:paraId="692B9E11" w14:textId="77777777" w:rsidTr="009E79B0">
        <w:tc>
          <w:tcPr>
            <w:tcW w:w="10160" w:type="dxa"/>
          </w:tcPr>
          <w:p w14:paraId="449026C1" w14:textId="77777777" w:rsidR="00F82509" w:rsidRDefault="00896558" w:rsidP="009E79B0">
            <w:pPr>
              <w:tabs>
                <w:tab w:val="left" w:pos="884"/>
                <w:tab w:val="left" w:pos="1196"/>
              </w:tabs>
              <w:spacing w:after="0" w:line="240" w:lineRule="auto"/>
              <w:ind w:left="0"/>
              <w:jc w:val="both"/>
              <w:rPr>
                <w:rFonts w:ascii="Times New Roman" w:eastAsia="Times New Roman" w:hAnsi="Times New Roman"/>
                <w:b/>
                <w:sz w:val="28"/>
                <w:szCs w:val="28"/>
              </w:rPr>
            </w:pPr>
            <w:r>
              <w:rPr>
                <w:rFonts w:ascii="Times New Roman" w:eastAsia="Times New Roman" w:hAnsi="Times New Roman"/>
                <w:b/>
                <w:sz w:val="28"/>
                <w:szCs w:val="28"/>
              </w:rPr>
              <w:t>6. Modul de încorporare a actului în cadrul normativ în vigoare</w:t>
            </w:r>
          </w:p>
        </w:tc>
      </w:tr>
      <w:tr w:rsidR="00F82509" w14:paraId="6374B2B1" w14:textId="77777777" w:rsidTr="009E79B0">
        <w:tc>
          <w:tcPr>
            <w:tcW w:w="10160" w:type="dxa"/>
          </w:tcPr>
          <w:p w14:paraId="495BD7DA" w14:textId="77777777" w:rsidR="00F82509" w:rsidRDefault="00896558" w:rsidP="009E79B0">
            <w:pPr>
              <w:tabs>
                <w:tab w:val="left" w:pos="884"/>
                <w:tab w:val="left" w:pos="1196"/>
              </w:tabs>
              <w:spacing w:after="0" w:line="240" w:lineRule="auto"/>
              <w:ind w:left="0"/>
              <w:jc w:val="both"/>
              <w:rPr>
                <w:rFonts w:ascii="Times New Roman" w:eastAsia="Times New Roman" w:hAnsi="Times New Roman"/>
                <w:sz w:val="28"/>
                <w:szCs w:val="28"/>
              </w:rPr>
            </w:pPr>
            <w:r>
              <w:rPr>
                <w:rFonts w:ascii="Times New Roman" w:eastAsia="Times New Roman" w:hAnsi="Times New Roman"/>
                <w:sz w:val="28"/>
                <w:szCs w:val="28"/>
              </w:rPr>
              <w:t>Aprobarea proiectului de hotărâre a Guvernului nu implică modificarea, abrogarea sau aprobarea altor acte normative.</w:t>
            </w:r>
          </w:p>
        </w:tc>
      </w:tr>
      <w:tr w:rsidR="00F82509" w14:paraId="5CC0D7B7" w14:textId="77777777" w:rsidTr="009E79B0">
        <w:tc>
          <w:tcPr>
            <w:tcW w:w="10160" w:type="dxa"/>
          </w:tcPr>
          <w:p w14:paraId="0EF80ABE" w14:textId="77777777" w:rsidR="00F82509" w:rsidRDefault="00896558" w:rsidP="009E79B0">
            <w:pPr>
              <w:tabs>
                <w:tab w:val="left" w:pos="884"/>
                <w:tab w:val="left" w:pos="1196"/>
              </w:tabs>
              <w:spacing w:after="0" w:line="240" w:lineRule="auto"/>
              <w:ind w:left="0"/>
              <w:jc w:val="both"/>
              <w:rPr>
                <w:rFonts w:ascii="Times New Roman" w:eastAsia="Times New Roman" w:hAnsi="Times New Roman"/>
                <w:b/>
                <w:sz w:val="28"/>
                <w:szCs w:val="28"/>
              </w:rPr>
            </w:pPr>
            <w:r>
              <w:rPr>
                <w:rFonts w:ascii="Times New Roman" w:eastAsia="Times New Roman" w:hAnsi="Times New Roman"/>
                <w:b/>
                <w:sz w:val="28"/>
                <w:szCs w:val="28"/>
              </w:rPr>
              <w:t>7. Avizarea şi consultarea publică a proiectului</w:t>
            </w:r>
          </w:p>
        </w:tc>
      </w:tr>
      <w:tr w:rsidR="00F82509" w14:paraId="2C19DF96" w14:textId="77777777" w:rsidTr="009E79B0">
        <w:tc>
          <w:tcPr>
            <w:tcW w:w="10160" w:type="dxa"/>
          </w:tcPr>
          <w:p w14:paraId="6D206643" w14:textId="77777777" w:rsidR="00F82509" w:rsidRDefault="00896558" w:rsidP="009E79B0">
            <w:pPr>
              <w:tabs>
                <w:tab w:val="left" w:pos="884"/>
                <w:tab w:val="left" w:pos="1196"/>
              </w:tabs>
              <w:spacing w:after="0" w:line="240" w:lineRule="auto"/>
              <w:ind w:left="0"/>
              <w:jc w:val="both"/>
              <w:rPr>
                <w:rFonts w:ascii="Times New Roman" w:eastAsia="Times New Roman" w:hAnsi="Times New Roman"/>
                <w:sz w:val="28"/>
                <w:szCs w:val="28"/>
              </w:rPr>
            </w:pPr>
            <w:r>
              <w:rPr>
                <w:rFonts w:ascii="Times New Roman" w:eastAsia="Times New Roman" w:hAnsi="Times New Roman"/>
                <w:sz w:val="28"/>
                <w:szCs w:val="28"/>
              </w:rPr>
              <w:t>În conformitate cu prevederile Legii nr. 100/2017 cu privire la actele normative șii ale Regulamentului aprobat prin Hotărârea Guvernului nr. 610/2018, prezentul proiect urmează a fi avizat de instituțiile de resort.</w:t>
            </w:r>
          </w:p>
          <w:p w14:paraId="0F000FEE" w14:textId="77777777" w:rsidR="00F82509" w:rsidRDefault="00896558" w:rsidP="009E79B0">
            <w:pPr>
              <w:tabs>
                <w:tab w:val="left" w:pos="884"/>
                <w:tab w:val="left" w:pos="1196"/>
              </w:tabs>
              <w:spacing w:after="0" w:line="240" w:lineRule="auto"/>
              <w:ind w:left="0"/>
              <w:jc w:val="both"/>
              <w:rPr>
                <w:rFonts w:ascii="Times New Roman" w:eastAsia="Times New Roman" w:hAnsi="Times New Roman"/>
                <w:sz w:val="28"/>
                <w:szCs w:val="28"/>
              </w:rPr>
            </w:pPr>
            <w:r>
              <w:rPr>
                <w:rFonts w:ascii="Times New Roman" w:eastAsia="Times New Roman" w:hAnsi="Times New Roman"/>
                <w:sz w:val="28"/>
                <w:szCs w:val="28"/>
              </w:rPr>
              <w:t>Pentru asigurarea transparenței în procesul decizional, proiectul va fi plasat pe site-ul oficial al Centrului Național al Cinematografiei și al Ministerului Culturii.</w:t>
            </w:r>
          </w:p>
          <w:p w14:paraId="106FCD0B" w14:textId="77777777" w:rsidR="00F82509" w:rsidRDefault="00F82509" w:rsidP="009E79B0">
            <w:pPr>
              <w:tabs>
                <w:tab w:val="left" w:pos="884"/>
                <w:tab w:val="left" w:pos="1196"/>
              </w:tabs>
              <w:spacing w:after="0" w:line="240" w:lineRule="auto"/>
              <w:ind w:left="0"/>
              <w:jc w:val="both"/>
              <w:rPr>
                <w:rFonts w:ascii="Times New Roman" w:eastAsia="Times New Roman" w:hAnsi="Times New Roman"/>
                <w:sz w:val="28"/>
                <w:szCs w:val="28"/>
              </w:rPr>
            </w:pPr>
          </w:p>
        </w:tc>
      </w:tr>
    </w:tbl>
    <w:p w14:paraId="77A346FE" w14:textId="77777777" w:rsidR="00F82509" w:rsidRDefault="00F82509" w:rsidP="00896558">
      <w:pPr>
        <w:spacing w:line="240" w:lineRule="auto"/>
        <w:ind w:left="0" w:right="590"/>
        <w:jc w:val="both"/>
        <w:rPr>
          <w:rFonts w:ascii="Times New Roman" w:eastAsia="Times New Roman" w:hAnsi="Times New Roman"/>
          <w:sz w:val="28"/>
          <w:szCs w:val="28"/>
        </w:rPr>
      </w:pPr>
    </w:p>
    <w:p w14:paraId="4092B867" w14:textId="77777777" w:rsidR="009E79B0" w:rsidRDefault="009E79B0">
      <w:pPr>
        <w:spacing w:line="240" w:lineRule="auto"/>
        <w:ind w:left="0" w:right="590"/>
        <w:jc w:val="both"/>
        <w:rPr>
          <w:rFonts w:ascii="Times New Roman" w:eastAsia="Times New Roman" w:hAnsi="Times New Roman"/>
          <w:sz w:val="28"/>
          <w:szCs w:val="28"/>
        </w:rPr>
      </w:pPr>
    </w:p>
    <w:sectPr w:rsidR="009E79B0" w:rsidSect="009E79B0">
      <w:pgSz w:w="12240" w:h="15840"/>
      <w:pgMar w:top="1440" w:right="900" w:bottom="1440" w:left="85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54DF5"/>
    <w:multiLevelType w:val="multilevel"/>
    <w:tmpl w:val="06DEE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509"/>
    <w:rsid w:val="00896558"/>
    <w:rsid w:val="009E79B0"/>
    <w:rsid w:val="00F82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2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Georgia" w:hAnsi="Georgia" w:cs="Georgia"/>
        <w:sz w:val="24"/>
        <w:szCs w:val="24"/>
        <w:lang w:val="ro-RO" w:eastAsia="en-US" w:bidi="ar-SA"/>
      </w:rPr>
    </w:rPrDefault>
    <w:pPrDefault>
      <w:pPr>
        <w:spacing w:after="120" w:line="360" w:lineRule="auto"/>
        <w:ind w:left="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63D"/>
    <w:rPr>
      <w:rFonts w:eastAsia="Calibri" w:cs="Times New Roman"/>
    </w:rPr>
  </w:style>
  <w:style w:type="paragraph" w:styleId="1">
    <w:name w:val="heading 1"/>
    <w:basedOn w:val="a"/>
    <w:next w:val="a"/>
    <w:uiPriority w:val="9"/>
    <w:qFormat/>
    <w:pPr>
      <w:keepNext/>
      <w:keepLines/>
      <w:spacing w:before="48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pPr>
    <w:rPr>
      <w:b/>
      <w:sz w:val="72"/>
      <w:szCs w:val="72"/>
    </w:rPr>
  </w:style>
  <w:style w:type="paragraph" w:styleId="a4">
    <w:name w:val="List Paragraph"/>
    <w:basedOn w:val="a"/>
    <w:uiPriority w:val="34"/>
    <w:qFormat/>
    <w:rsid w:val="0017140A"/>
    <w:pPr>
      <w:ind w:left="720"/>
      <w:contextualSpacing/>
    </w:pPr>
  </w:style>
  <w:style w:type="paragraph" w:styleId="a5">
    <w:name w:val="Subtitle"/>
    <w:basedOn w:val="a"/>
    <w:next w:val="a"/>
    <w:uiPriority w:val="11"/>
    <w:qFormat/>
    <w:pPr>
      <w:keepNext/>
      <w:keepLines/>
      <w:spacing w:before="360" w:after="80"/>
    </w:pPr>
    <w:rPr>
      <w:rFonts w:eastAsia="Georgia" w:cs="Georgia"/>
      <w:i/>
      <w:color w:val="666666"/>
      <w:sz w:val="48"/>
      <w:szCs w:val="48"/>
    </w:rPr>
  </w:style>
  <w:style w:type="table" w:customStyle="1" w:styleId="a6">
    <w:basedOn w:val="a1"/>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Georgia" w:hAnsi="Georgia" w:cs="Georgia"/>
        <w:sz w:val="24"/>
        <w:szCs w:val="24"/>
        <w:lang w:val="ro-RO" w:eastAsia="en-US" w:bidi="ar-SA"/>
      </w:rPr>
    </w:rPrDefault>
    <w:pPrDefault>
      <w:pPr>
        <w:spacing w:after="120" w:line="360" w:lineRule="auto"/>
        <w:ind w:left="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63D"/>
    <w:rPr>
      <w:rFonts w:eastAsia="Calibri" w:cs="Times New Roman"/>
    </w:rPr>
  </w:style>
  <w:style w:type="paragraph" w:styleId="1">
    <w:name w:val="heading 1"/>
    <w:basedOn w:val="a"/>
    <w:next w:val="a"/>
    <w:uiPriority w:val="9"/>
    <w:qFormat/>
    <w:pPr>
      <w:keepNext/>
      <w:keepLines/>
      <w:spacing w:before="48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pPr>
    <w:rPr>
      <w:b/>
      <w:sz w:val="72"/>
      <w:szCs w:val="72"/>
    </w:rPr>
  </w:style>
  <w:style w:type="paragraph" w:styleId="a4">
    <w:name w:val="List Paragraph"/>
    <w:basedOn w:val="a"/>
    <w:uiPriority w:val="34"/>
    <w:qFormat/>
    <w:rsid w:val="0017140A"/>
    <w:pPr>
      <w:ind w:left="720"/>
      <w:contextualSpacing/>
    </w:pPr>
  </w:style>
  <w:style w:type="paragraph" w:styleId="a5">
    <w:name w:val="Subtitle"/>
    <w:basedOn w:val="a"/>
    <w:next w:val="a"/>
    <w:uiPriority w:val="11"/>
    <w:qFormat/>
    <w:pPr>
      <w:keepNext/>
      <w:keepLines/>
      <w:spacing w:before="360" w:after="80"/>
    </w:pPr>
    <w:rPr>
      <w:rFonts w:eastAsia="Georgia" w:cs="Georgia"/>
      <w:i/>
      <w:color w:val="666666"/>
      <w:sz w:val="48"/>
      <w:szCs w:val="48"/>
    </w:rPr>
  </w:style>
  <w:style w:type="table" w:customStyle="1" w:styleId="a6">
    <w:basedOn w:val="a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6Xm2rDxfuiwaM5I+JQuVpr/QnQ==">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678</Words>
  <Characters>3869</Characters>
  <Application>Microsoft Office Word</Application>
  <DocSecurity>0</DocSecurity>
  <Lines>32</Lines>
  <Paragraphs>9</Paragraphs>
  <ScaleCrop>false</ScaleCrop>
  <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User_F</dc:creator>
  <cp:lastModifiedBy>Sergiu Botolin</cp:lastModifiedBy>
  <cp:revision>4</cp:revision>
  <dcterms:created xsi:type="dcterms:W3CDTF">2021-11-08T09:59:00Z</dcterms:created>
  <dcterms:modified xsi:type="dcterms:W3CDTF">2021-11-08T10:31:00Z</dcterms:modified>
</cp:coreProperties>
</file>