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214" w:rsidRPr="00C66287" w:rsidRDefault="00F94214" w:rsidP="00F94214">
      <w:pPr>
        <w:spacing w:after="0" w:line="240" w:lineRule="auto"/>
        <w:jc w:val="center"/>
        <w:rPr>
          <w:rFonts w:ascii="Times New Roman" w:eastAsia="Calibri" w:hAnsi="Times New Roman" w:cs="Times New Roman"/>
          <w:b/>
          <w:sz w:val="26"/>
          <w:szCs w:val="26"/>
        </w:rPr>
      </w:pPr>
      <w:r w:rsidRPr="00C66287">
        <w:rPr>
          <w:rFonts w:ascii="Times New Roman" w:eastAsia="Calibri" w:hAnsi="Times New Roman" w:cs="Times New Roman"/>
          <w:b/>
          <w:sz w:val="26"/>
          <w:szCs w:val="26"/>
        </w:rPr>
        <w:t>Notă informativă</w:t>
      </w:r>
    </w:p>
    <w:p w:rsidR="00F94214" w:rsidRPr="00C66287" w:rsidRDefault="00F94214" w:rsidP="00F94214">
      <w:pPr>
        <w:tabs>
          <w:tab w:val="left" w:pos="884"/>
          <w:tab w:val="left" w:pos="1196"/>
        </w:tabs>
        <w:spacing w:after="0" w:line="240" w:lineRule="auto"/>
        <w:jc w:val="center"/>
        <w:rPr>
          <w:rFonts w:ascii="Times New Roman" w:eastAsia="Calibri" w:hAnsi="Times New Roman" w:cs="Times New Roman"/>
          <w:b/>
          <w:sz w:val="26"/>
          <w:szCs w:val="26"/>
        </w:rPr>
      </w:pPr>
      <w:r w:rsidRPr="00C66287">
        <w:rPr>
          <w:rFonts w:ascii="Times New Roman" w:eastAsia="Calibri" w:hAnsi="Times New Roman" w:cs="Times New Roman"/>
          <w:b/>
          <w:sz w:val="26"/>
          <w:szCs w:val="26"/>
        </w:rPr>
        <w:t xml:space="preserve">la proiectul hotărârii de Guvern pentru aprobarea </w:t>
      </w:r>
      <w:r w:rsidRPr="00A2459E">
        <w:rPr>
          <w:rFonts w:ascii="Times New Roman" w:eastAsia="Calibri" w:hAnsi="Times New Roman" w:cs="Times New Roman"/>
          <w:b/>
          <w:sz w:val="26"/>
          <w:szCs w:val="26"/>
        </w:rPr>
        <w:t>privind aprobarea proiectului de lege pentru modificarea</w:t>
      </w:r>
      <w:r>
        <w:rPr>
          <w:rFonts w:ascii="Times New Roman" w:eastAsia="Calibri" w:hAnsi="Times New Roman" w:cs="Times New Roman"/>
          <w:b/>
          <w:sz w:val="26"/>
          <w:szCs w:val="26"/>
        </w:rPr>
        <w:t xml:space="preserve"> </w:t>
      </w:r>
      <w:r w:rsidRPr="00A2459E">
        <w:rPr>
          <w:rFonts w:ascii="Times New Roman" w:eastAsia="Calibri" w:hAnsi="Times New Roman" w:cs="Times New Roman"/>
          <w:b/>
          <w:sz w:val="26"/>
          <w:szCs w:val="26"/>
        </w:rPr>
        <w:t>Legii nr. 68/2013 despre semințe</w:t>
      </w:r>
    </w:p>
    <w:p w:rsidR="00F94214" w:rsidRPr="00C66287" w:rsidRDefault="00F94214" w:rsidP="00F94214">
      <w:pPr>
        <w:tabs>
          <w:tab w:val="left" w:pos="884"/>
          <w:tab w:val="left" w:pos="1196"/>
        </w:tabs>
        <w:spacing w:after="0" w:line="240" w:lineRule="auto"/>
        <w:jc w:val="center"/>
        <w:rPr>
          <w:rFonts w:ascii="Times New Roman" w:eastAsia="Calibri" w:hAnsi="Times New Roman" w:cs="Times New Roman"/>
          <w:sz w:val="26"/>
          <w:szCs w:val="26"/>
        </w:rPr>
      </w:pPr>
    </w:p>
    <w:tbl>
      <w:tblPr>
        <w:tblStyle w:val="TableGrid"/>
        <w:tblW w:w="0" w:type="auto"/>
        <w:tblInd w:w="137" w:type="dxa"/>
        <w:tblLook w:val="04A0" w:firstRow="1" w:lastRow="0" w:firstColumn="1" w:lastColumn="0" w:noHBand="0" w:noVBand="1"/>
      </w:tblPr>
      <w:tblGrid>
        <w:gridCol w:w="9209"/>
      </w:tblGrid>
      <w:tr w:rsidR="00F94214" w:rsidRPr="00C66287" w:rsidTr="00986EE6">
        <w:tc>
          <w:tcPr>
            <w:tcW w:w="9209" w:type="dxa"/>
          </w:tcPr>
          <w:p w:rsidR="00F94214" w:rsidRPr="00C66287" w:rsidRDefault="00F94214" w:rsidP="00986EE6">
            <w:pPr>
              <w:rPr>
                <w:rFonts w:ascii="Times New Roman" w:eastAsia="Calibri" w:hAnsi="Times New Roman" w:cs="Times New Roman"/>
                <w:sz w:val="26"/>
                <w:szCs w:val="26"/>
              </w:rPr>
            </w:pPr>
            <w:r w:rsidRPr="00C66287">
              <w:rPr>
                <w:rFonts w:ascii="Times New Roman" w:eastAsia="Calibri" w:hAnsi="Times New Roman" w:cs="Times New Roman"/>
                <w:b/>
                <w:sz w:val="26"/>
                <w:szCs w:val="26"/>
                <w:lang w:val="ro-MD"/>
              </w:rPr>
              <w:t>1. Denumirea autorului și, după caz, a participanților la elaborarea proiectului</w:t>
            </w:r>
          </w:p>
        </w:tc>
      </w:tr>
      <w:tr w:rsidR="00F94214" w:rsidRPr="00C66287" w:rsidTr="00986EE6">
        <w:tc>
          <w:tcPr>
            <w:tcW w:w="9209" w:type="dxa"/>
          </w:tcPr>
          <w:p w:rsidR="00F94214" w:rsidRPr="00C66287" w:rsidRDefault="00F94214" w:rsidP="00986EE6">
            <w:pPr>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Ministerul Agriculturii și Industriei Alimentare</w:t>
            </w:r>
          </w:p>
        </w:tc>
      </w:tr>
      <w:tr w:rsidR="00F94214" w:rsidRPr="00C66287" w:rsidTr="00986EE6">
        <w:tc>
          <w:tcPr>
            <w:tcW w:w="9209" w:type="dxa"/>
          </w:tcPr>
          <w:p w:rsidR="00F94214" w:rsidRPr="00C66287" w:rsidRDefault="00F94214" w:rsidP="00986EE6">
            <w:pPr>
              <w:numPr>
                <w:ilvl w:val="0"/>
                <w:numId w:val="1"/>
              </w:numPr>
              <w:ind w:left="317" w:hanging="283"/>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Condițiile ce au impus elaborarea proiectului de act normativ și finalitățile urmărite</w:t>
            </w:r>
          </w:p>
        </w:tc>
      </w:tr>
      <w:tr w:rsidR="00F94214" w:rsidRPr="00C66287" w:rsidTr="00986EE6">
        <w:tc>
          <w:tcPr>
            <w:tcW w:w="9209" w:type="dxa"/>
          </w:tcPr>
          <w:p w:rsidR="00F94214" w:rsidRPr="00986EE6" w:rsidRDefault="00F94214" w:rsidP="00986EE6">
            <w:pPr>
              <w:ind w:firstLine="567"/>
              <w:jc w:val="both"/>
              <w:rPr>
                <w:rFonts w:ascii="Times New Roman" w:eastAsia="Calibri" w:hAnsi="Times New Roman" w:cs="Times New Roman"/>
                <w:sz w:val="28"/>
                <w:szCs w:val="28"/>
              </w:rPr>
            </w:pPr>
            <w:r w:rsidRPr="00986EE6">
              <w:rPr>
                <w:rFonts w:ascii="Times New Roman" w:eastAsia="Calibri" w:hAnsi="Times New Roman" w:cs="Times New Roman"/>
                <w:sz w:val="28"/>
                <w:szCs w:val="28"/>
              </w:rPr>
              <w:t>În procesul de executare a prevederilor Legii nr 68/2013 despre semințe, dea lungul anilor au parvenit numeroase interpelări, privind unele lacune ce țin de eliberarea unor certificate cu caracter obligatoriu, care de fapt poartă caracter facultativ și trebuie eliberate doar la cererea agentului economic. Totodată, prevederile actuale creează ambiguități în procesul import, export, comercializare și certificare a semințelor, în compartimentul ce ține de termeni stabiliți și descrierea proceselor neclar.</w:t>
            </w:r>
          </w:p>
          <w:p w:rsidR="00F94214" w:rsidRPr="00986EE6" w:rsidRDefault="00F94214" w:rsidP="00986EE6">
            <w:pPr>
              <w:ind w:firstLine="567"/>
              <w:jc w:val="both"/>
              <w:rPr>
                <w:rFonts w:ascii="Times New Roman" w:eastAsia="Calibri" w:hAnsi="Times New Roman" w:cs="Times New Roman"/>
                <w:sz w:val="28"/>
                <w:szCs w:val="28"/>
              </w:rPr>
            </w:pPr>
            <w:r w:rsidRPr="00986EE6">
              <w:rPr>
                <w:rFonts w:ascii="Times New Roman" w:eastAsia="Calibri" w:hAnsi="Times New Roman" w:cs="Times New Roman"/>
                <w:sz w:val="28"/>
                <w:szCs w:val="28"/>
              </w:rPr>
              <w:t xml:space="preserve">O altă problemă, este neacoperirea sectoarelor mici de producere a semințelor, ce stagnează ramura de producere a semințelor autohtone. Republica Moldova are un necesar de cca 25 mii tone de semințe pentru semănatul culturilor de câmp de primăvară și cca 51 mii tone de culturi legumicole. </w:t>
            </w:r>
          </w:p>
          <w:p w:rsidR="00F94214" w:rsidRPr="00986EE6" w:rsidRDefault="00F94214" w:rsidP="00986EE6">
            <w:pPr>
              <w:ind w:firstLine="567"/>
              <w:jc w:val="both"/>
              <w:rPr>
                <w:rFonts w:ascii="Times New Roman" w:eastAsia="Calibri" w:hAnsi="Times New Roman" w:cs="Times New Roman"/>
                <w:sz w:val="28"/>
                <w:szCs w:val="28"/>
              </w:rPr>
            </w:pPr>
            <w:r w:rsidRPr="00986EE6">
              <w:rPr>
                <w:rFonts w:ascii="Times New Roman" w:eastAsia="Calibri" w:hAnsi="Times New Roman" w:cs="Times New Roman"/>
                <w:sz w:val="28"/>
                <w:szCs w:val="28"/>
              </w:rPr>
              <w:t>Din cantitatea totală de semințe, în ultimii ani, peste 70% din semințe sunt de import, mai mult ca atât, stocul de primăvară nu permanent acoperă necesarul intern, fiind spre exemplu în primăvara anului  2023 în jurul cifrei de 77 % pentru culturile de câmp și cca 44% pentru culturile legumicole.</w:t>
            </w:r>
          </w:p>
          <w:p w:rsidR="00F94214" w:rsidRPr="00A2459E" w:rsidRDefault="00F94214" w:rsidP="00986EE6">
            <w:pPr>
              <w:autoSpaceDE w:val="0"/>
              <w:autoSpaceDN w:val="0"/>
              <w:adjustRightInd w:val="0"/>
              <w:ind w:right="141" w:firstLine="601"/>
              <w:jc w:val="both"/>
              <w:rPr>
                <w:rFonts w:ascii="Times New Roman" w:eastAsia="Times New Roman" w:hAnsi="Times New Roman" w:cs="Times New Roman"/>
                <w:spacing w:val="-3"/>
                <w:sz w:val="28"/>
                <w:szCs w:val="28"/>
                <w:lang w:eastAsia="ru-RU"/>
              </w:rPr>
            </w:pPr>
            <w:r w:rsidRPr="00A2459E">
              <w:rPr>
                <w:rFonts w:ascii="Times New Roman" w:eastAsia="Times New Roman" w:hAnsi="Times New Roman" w:cs="Times New Roman"/>
                <w:spacing w:val="-3"/>
                <w:sz w:val="28"/>
                <w:szCs w:val="28"/>
                <w:lang w:eastAsia="ru-RU"/>
              </w:rPr>
              <w:t>La fel, proiectul de lege prevede armonizarea legislației UE și aproximarea legislației naționale la standardele internaționale, ce țin de echivalența controalelor selecțiilor conservative la soiurile erodate.</w:t>
            </w:r>
          </w:p>
          <w:p w:rsidR="00F94214" w:rsidRPr="00A2459E" w:rsidRDefault="00F94214" w:rsidP="00986EE6">
            <w:pPr>
              <w:autoSpaceDE w:val="0"/>
              <w:autoSpaceDN w:val="0"/>
              <w:adjustRightInd w:val="0"/>
              <w:ind w:right="141" w:firstLine="601"/>
              <w:jc w:val="both"/>
              <w:rPr>
                <w:rFonts w:ascii="Times New Roman" w:eastAsia="Times New Roman" w:hAnsi="Times New Roman" w:cs="Times New Roman"/>
                <w:spacing w:val="-3"/>
                <w:sz w:val="28"/>
                <w:szCs w:val="28"/>
                <w:lang w:eastAsia="ru-RU"/>
              </w:rPr>
            </w:pPr>
            <w:r w:rsidRPr="00A2459E">
              <w:rPr>
                <w:rFonts w:ascii="Times New Roman" w:eastAsia="Times New Roman" w:hAnsi="Times New Roman" w:cs="Times New Roman"/>
                <w:spacing w:val="-3"/>
                <w:sz w:val="28"/>
                <w:szCs w:val="28"/>
                <w:lang w:eastAsia="ru-RU"/>
              </w:rPr>
              <w:t xml:space="preserve">Prin Hotărârea Guvernului nr. 730/2022 au fost aprobate cerințe privind admiterea și comercializarea semințelor soiurilor locale/varietăților primitive </w:t>
            </w:r>
            <w:proofErr w:type="spellStart"/>
            <w:r w:rsidRPr="00A2459E">
              <w:rPr>
                <w:rFonts w:ascii="Times New Roman" w:eastAsia="Times New Roman" w:hAnsi="Times New Roman" w:cs="Times New Roman"/>
                <w:spacing w:val="-3"/>
                <w:sz w:val="28"/>
                <w:szCs w:val="28"/>
                <w:lang w:eastAsia="ru-RU"/>
              </w:rPr>
              <w:t>şi</w:t>
            </w:r>
            <w:proofErr w:type="spellEnd"/>
            <w:r w:rsidRPr="00A2459E">
              <w:rPr>
                <w:rFonts w:ascii="Times New Roman" w:eastAsia="Times New Roman" w:hAnsi="Times New Roman" w:cs="Times New Roman"/>
                <w:spacing w:val="-3"/>
                <w:sz w:val="28"/>
                <w:szCs w:val="28"/>
                <w:lang w:eastAsia="ru-RU"/>
              </w:rPr>
              <w:t xml:space="preserve"> agricole adaptate la condițiile locale și a </w:t>
            </w:r>
            <w:proofErr w:type="spellStart"/>
            <w:r w:rsidRPr="00A2459E">
              <w:rPr>
                <w:rFonts w:ascii="Times New Roman" w:eastAsia="Times New Roman" w:hAnsi="Times New Roman" w:cs="Times New Roman"/>
                <w:spacing w:val="-3"/>
                <w:sz w:val="28"/>
                <w:szCs w:val="28"/>
                <w:lang w:eastAsia="ru-RU"/>
              </w:rPr>
              <w:t>soiu</w:t>
            </w:r>
            <w:proofErr w:type="spellEnd"/>
            <w:r w:rsidRPr="00A2459E">
              <w:rPr>
                <w:rFonts w:ascii="Times New Roman" w:eastAsia="Times New Roman" w:hAnsi="Times New Roman" w:cs="Times New Roman"/>
                <w:spacing w:val="-3"/>
                <w:sz w:val="28"/>
                <w:szCs w:val="28"/>
                <w:lang w:eastAsia="ru-RU"/>
              </w:rPr>
              <w:t>. Prezentele Cerințe transpun Directiva 2008/62/CE a Comisiei din 20 iunie 2008 de stabilire a anumitor derogări pentru acceptarea soiurilor locale și a varietăților agricole adaptate natural la condițiile locale și regionale și amenințate de eroziunea genetică și pentru comercializarea semințelor și cartofilor de sămânță ale acestor soiuri locale și varietăți (text cu relevanță pentru SEE), publicată în Jurnalul Oficial al Uniunii Europene L 162 din 21 iunie 2008, p. 13, cu rectificarea publicată în Jurnalul Oficial al Uniunii Europene L 111 din 5 mai 2009, p. 51 (08/62).</w:t>
            </w:r>
          </w:p>
          <w:p w:rsidR="00F94214" w:rsidRPr="00A2459E" w:rsidRDefault="00F94214" w:rsidP="00986EE6">
            <w:pPr>
              <w:autoSpaceDE w:val="0"/>
              <w:autoSpaceDN w:val="0"/>
              <w:adjustRightInd w:val="0"/>
              <w:ind w:right="141" w:firstLine="601"/>
              <w:jc w:val="both"/>
              <w:rPr>
                <w:rFonts w:ascii="Times New Roman" w:eastAsia="Times New Roman" w:hAnsi="Times New Roman" w:cs="Times New Roman"/>
                <w:bCs/>
                <w:color w:val="000000" w:themeColor="text1"/>
                <w:sz w:val="28"/>
                <w:szCs w:val="28"/>
              </w:rPr>
            </w:pPr>
            <w:r w:rsidRPr="00A2459E">
              <w:rPr>
                <w:rFonts w:ascii="Times New Roman" w:eastAsia="Times New Roman" w:hAnsi="Times New Roman" w:cs="Times New Roman"/>
                <w:spacing w:val="-3"/>
                <w:sz w:val="28"/>
                <w:szCs w:val="28"/>
                <w:lang w:eastAsia="ru-RU"/>
              </w:rPr>
              <w:t xml:space="preserve">De menționat că, </w:t>
            </w:r>
            <w:r w:rsidRPr="00A2459E">
              <w:rPr>
                <w:rFonts w:ascii="Times New Roman" w:eastAsia="Times New Roman" w:hAnsi="Times New Roman" w:cs="Times New Roman"/>
                <w:bCs/>
                <w:color w:val="000000" w:themeColor="text1"/>
                <w:sz w:val="28"/>
                <w:szCs w:val="28"/>
              </w:rPr>
              <w:t>Decizia 2005/834/CE a Consiliului European din 8 noiembrie 2005 privind echivalența controalelor selecțiilor conservative realizate în anumite țări terțe și de modificare a Deciziei 2003/17/CE nu a fost transpusă în actul normativ sus menționat, constituind la moment o restanță în procesul de aderare a RM la UE.</w:t>
            </w:r>
          </w:p>
          <w:p w:rsidR="00F94214" w:rsidRPr="00A2459E" w:rsidRDefault="00F94214" w:rsidP="00986EE6">
            <w:pPr>
              <w:autoSpaceDE w:val="0"/>
              <w:autoSpaceDN w:val="0"/>
              <w:adjustRightInd w:val="0"/>
              <w:ind w:right="141" w:firstLine="601"/>
              <w:jc w:val="both"/>
              <w:rPr>
                <w:rFonts w:ascii="Times New Roman" w:eastAsia="Times New Roman" w:hAnsi="Times New Roman" w:cs="Times New Roman"/>
                <w:spacing w:val="-3"/>
                <w:sz w:val="28"/>
                <w:szCs w:val="28"/>
                <w:lang w:eastAsia="ru-RU"/>
              </w:rPr>
            </w:pPr>
            <w:r w:rsidRPr="00A2459E">
              <w:rPr>
                <w:rFonts w:ascii="Times New Roman" w:eastAsia="Times New Roman" w:hAnsi="Times New Roman" w:cs="Times New Roman"/>
                <w:bCs/>
                <w:color w:val="000000" w:themeColor="text1"/>
                <w:sz w:val="28"/>
                <w:szCs w:val="28"/>
              </w:rPr>
              <w:t xml:space="preserve">Astfel, proiectul de lege prevede și transpunerea parțială a Deciziei 2005/834/CE, asigurând astfel </w:t>
            </w:r>
            <w:bookmarkStart w:id="0" w:name="_GoBack"/>
            <w:bookmarkEnd w:id="0"/>
            <w:r w:rsidRPr="00A2459E">
              <w:rPr>
                <w:rFonts w:ascii="Times New Roman" w:eastAsia="Times New Roman" w:hAnsi="Times New Roman" w:cs="Times New Roman"/>
                <w:bCs/>
                <w:color w:val="000000" w:themeColor="text1"/>
                <w:sz w:val="28"/>
                <w:szCs w:val="28"/>
              </w:rPr>
              <w:t>recunoașterea drept echivalente și oferirea acelorași garanții cu prevederile cadrului normativ inspecțiilor oficiale ale selecțiilor conservative la culturile producătoare de semințe</w:t>
            </w:r>
            <w:r>
              <w:rPr>
                <w:rFonts w:ascii="Times New Roman" w:eastAsia="Times New Roman" w:hAnsi="Times New Roman" w:cs="Times New Roman"/>
                <w:bCs/>
                <w:color w:val="000000" w:themeColor="text1"/>
                <w:sz w:val="28"/>
                <w:szCs w:val="28"/>
              </w:rPr>
              <w:t>.</w:t>
            </w:r>
          </w:p>
          <w:p w:rsidR="00F94214" w:rsidRDefault="00F94214" w:rsidP="00986EE6">
            <w:pPr>
              <w:autoSpaceDE w:val="0"/>
              <w:autoSpaceDN w:val="0"/>
              <w:adjustRightInd w:val="0"/>
              <w:ind w:right="141" w:firstLine="601"/>
              <w:jc w:val="both"/>
              <w:rPr>
                <w:rFonts w:ascii="Times New Roman" w:eastAsia="Times New Roman" w:hAnsi="Times New Roman" w:cs="Times New Roman"/>
                <w:spacing w:val="-3"/>
                <w:sz w:val="28"/>
                <w:szCs w:val="28"/>
                <w:lang w:eastAsia="ru-RU"/>
              </w:rPr>
            </w:pPr>
            <w:r w:rsidRPr="00A2459E">
              <w:rPr>
                <w:rFonts w:ascii="Times New Roman" w:eastAsia="Times New Roman" w:hAnsi="Times New Roman" w:cs="Times New Roman"/>
                <w:spacing w:val="-3"/>
                <w:sz w:val="28"/>
                <w:szCs w:val="28"/>
                <w:lang w:eastAsia="ru-RU"/>
              </w:rPr>
              <w:t xml:space="preserve">Totodată, modificarea legii vine contextul excluderii normelor secundare din Lege și precizării acestora în procedurile interne ale ANSA, care sunt aprobate prin Ordinul intern al Directorului. </w:t>
            </w:r>
          </w:p>
          <w:p w:rsidR="00F94214" w:rsidRDefault="00F94214" w:rsidP="00986EE6">
            <w:pPr>
              <w:autoSpaceDE w:val="0"/>
              <w:autoSpaceDN w:val="0"/>
              <w:adjustRightInd w:val="0"/>
              <w:ind w:right="141" w:firstLine="601"/>
              <w:jc w:val="both"/>
              <w:rPr>
                <w:rFonts w:ascii="Times New Roman" w:eastAsia="Times New Roman" w:hAnsi="Times New Roman" w:cs="Times New Roman"/>
                <w:spacing w:val="-3"/>
                <w:sz w:val="28"/>
                <w:szCs w:val="28"/>
                <w:lang w:eastAsia="ru-RU"/>
              </w:rPr>
            </w:pPr>
            <w:r w:rsidRPr="00A2459E">
              <w:rPr>
                <w:rFonts w:ascii="Times New Roman" w:eastAsia="Times New Roman" w:hAnsi="Times New Roman" w:cs="Times New Roman"/>
                <w:spacing w:val="-3"/>
                <w:sz w:val="28"/>
                <w:szCs w:val="28"/>
                <w:lang w:eastAsia="ru-RU"/>
              </w:rPr>
              <w:lastRenderedPageBreak/>
              <w:t>La fel, Ministerul, urmează să coordoneze în prealabil procedurile interne ale ANSA, or în procesul de implementare a acestora sunt stabilite diverse impedimente la producerea, importul, exportul, comercializarea și testarea semințelor, inspectorii ANSA fiind în unele cazuri în lipsă de competențe pe anumite domenii, cum ar fi stabilirea precisă a soiurilor și portaltoaielor de material săditor, soiurilor de semințe și altele, făcând astfel premise înso</w:t>
            </w:r>
            <w:r>
              <w:rPr>
                <w:rFonts w:ascii="Times New Roman" w:eastAsia="Times New Roman" w:hAnsi="Times New Roman" w:cs="Times New Roman"/>
                <w:spacing w:val="-3"/>
                <w:sz w:val="28"/>
                <w:szCs w:val="28"/>
                <w:lang w:eastAsia="ru-RU"/>
              </w:rPr>
              <w:t>ț</w:t>
            </w:r>
            <w:r w:rsidRPr="00A2459E">
              <w:rPr>
                <w:rFonts w:ascii="Times New Roman" w:eastAsia="Times New Roman" w:hAnsi="Times New Roman" w:cs="Times New Roman"/>
                <w:spacing w:val="-3"/>
                <w:sz w:val="28"/>
                <w:szCs w:val="28"/>
                <w:lang w:eastAsia="ru-RU"/>
              </w:rPr>
              <w:t xml:space="preserve">ite de riscuri ulterioare ce pot fi asumate de agenți economici care pot procura semințe ce nu corespund </w:t>
            </w:r>
            <w:r>
              <w:rPr>
                <w:rFonts w:ascii="Times New Roman" w:eastAsia="Times New Roman" w:hAnsi="Times New Roman" w:cs="Times New Roman"/>
                <w:spacing w:val="-3"/>
                <w:sz w:val="28"/>
                <w:szCs w:val="28"/>
                <w:lang w:eastAsia="ru-RU"/>
              </w:rPr>
              <w:t>certificatelor eliberate</w:t>
            </w:r>
            <w:r w:rsidRPr="00A2459E">
              <w:rPr>
                <w:rFonts w:ascii="Times New Roman" w:eastAsia="Times New Roman" w:hAnsi="Times New Roman" w:cs="Times New Roman"/>
                <w:spacing w:val="-3"/>
                <w:sz w:val="28"/>
                <w:szCs w:val="28"/>
                <w:lang w:eastAsia="ru-RU"/>
              </w:rPr>
              <w:t xml:space="preserve">. </w:t>
            </w:r>
          </w:p>
          <w:p w:rsidR="00F94214" w:rsidRDefault="00F94214" w:rsidP="00986EE6">
            <w:pPr>
              <w:autoSpaceDE w:val="0"/>
              <w:autoSpaceDN w:val="0"/>
              <w:adjustRightInd w:val="0"/>
              <w:ind w:right="141" w:firstLine="601"/>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La fel, în acest proces</w:t>
            </w:r>
            <w:r w:rsidRPr="00A2459E">
              <w:rPr>
                <w:rFonts w:ascii="Times New Roman" w:eastAsia="Times New Roman" w:hAnsi="Times New Roman" w:cs="Times New Roman"/>
                <w:spacing w:val="-3"/>
                <w:sz w:val="28"/>
                <w:szCs w:val="28"/>
                <w:lang w:eastAsia="ru-RU"/>
              </w:rPr>
              <w:t xml:space="preserve"> și reprezentanții instituțiilor științifice vor participa în procesul de implementare a procedurilor interne, astfel încât a diminua la maxim riscurile agentului economic.</w:t>
            </w:r>
          </w:p>
          <w:p w:rsidR="00F94214" w:rsidRPr="00F94214" w:rsidRDefault="00F94214" w:rsidP="00F94214">
            <w:pPr>
              <w:tabs>
                <w:tab w:val="left" w:pos="9214"/>
              </w:tabs>
              <w:ind w:left="-108" w:right="141" w:firstLine="709"/>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Odată cu aprobarea </w:t>
            </w:r>
            <w:r>
              <w:rPr>
                <w:rFonts w:ascii="Times New Roman" w:eastAsia="Calibri" w:hAnsi="Times New Roman" w:cs="Times New Roman"/>
                <w:bCs/>
                <w:sz w:val="28"/>
                <w:szCs w:val="28"/>
                <w:lang w:eastAsia="ja-JP"/>
              </w:rPr>
              <w:t>legii</w:t>
            </w:r>
            <w:r w:rsidRPr="00BB73F1">
              <w:rPr>
                <w:rFonts w:ascii="Times New Roman" w:eastAsia="Calibri" w:hAnsi="Times New Roman" w:cs="Times New Roman"/>
                <w:sz w:val="28"/>
                <w:szCs w:val="28"/>
              </w:rPr>
              <w:t xml:space="preserve">, cadrul normativ va fi unul univoc </w:t>
            </w:r>
            <w:proofErr w:type="spellStart"/>
            <w:r w:rsidRPr="00BB73F1">
              <w:rPr>
                <w:rFonts w:ascii="Times New Roman" w:eastAsia="Calibri" w:hAnsi="Times New Roman" w:cs="Times New Roman"/>
                <w:sz w:val="28"/>
                <w:szCs w:val="28"/>
              </w:rPr>
              <w:t>şi</w:t>
            </w:r>
            <w:proofErr w:type="spellEnd"/>
            <w:r w:rsidRPr="00BB73F1">
              <w:rPr>
                <w:rFonts w:ascii="Times New Roman" w:eastAsia="Calibri" w:hAnsi="Times New Roman" w:cs="Times New Roman"/>
                <w:sz w:val="28"/>
                <w:szCs w:val="28"/>
              </w:rPr>
              <w:t xml:space="preserve"> coerent, lipsit de birocrație, va contribui la dinamizarea activităților din sectorul </w:t>
            </w:r>
            <w:r>
              <w:rPr>
                <w:rFonts w:ascii="Times New Roman" w:eastAsia="Calibri" w:hAnsi="Times New Roman" w:cs="Times New Roman"/>
                <w:sz w:val="28"/>
                <w:szCs w:val="28"/>
              </w:rPr>
              <w:t>aferent semințelor</w:t>
            </w:r>
            <w:r w:rsidRPr="00BB73F1">
              <w:rPr>
                <w:rFonts w:ascii="Times New Roman" w:eastAsia="Calibri" w:hAnsi="Times New Roman" w:cs="Times New Roman"/>
                <w:sz w:val="28"/>
                <w:szCs w:val="28"/>
              </w:rPr>
              <w:t xml:space="preserve">, precum și la majorarea ponderii de piață a </w:t>
            </w:r>
            <w:r>
              <w:rPr>
                <w:rFonts w:ascii="Times New Roman" w:eastAsia="Calibri" w:hAnsi="Times New Roman" w:cs="Times New Roman"/>
                <w:sz w:val="28"/>
                <w:szCs w:val="28"/>
              </w:rPr>
              <w:t>semințelor</w:t>
            </w:r>
            <w:r w:rsidRPr="00BB73F1">
              <w:rPr>
                <w:rFonts w:ascii="Times New Roman" w:eastAsia="Calibri" w:hAnsi="Times New Roman" w:cs="Times New Roman"/>
                <w:sz w:val="28"/>
                <w:szCs w:val="28"/>
              </w:rPr>
              <w:t xml:space="preserve"> autohtone, dar nu în ultimul rând, la crearea premiselor pentru exportul </w:t>
            </w:r>
            <w:r>
              <w:rPr>
                <w:rFonts w:ascii="Times New Roman" w:eastAsia="Calibri" w:hAnsi="Times New Roman" w:cs="Times New Roman"/>
                <w:sz w:val="28"/>
                <w:szCs w:val="28"/>
              </w:rPr>
              <w:t>acestora</w:t>
            </w:r>
            <w:r w:rsidRPr="00BB73F1">
              <w:rPr>
                <w:rFonts w:ascii="Times New Roman" w:eastAsia="Calibri" w:hAnsi="Times New Roman" w:cs="Times New Roman"/>
                <w:sz w:val="28"/>
                <w:szCs w:val="28"/>
              </w:rPr>
              <w:t>.</w:t>
            </w:r>
          </w:p>
        </w:tc>
      </w:tr>
      <w:tr w:rsidR="00F94214" w:rsidRPr="00C66287" w:rsidTr="00986EE6">
        <w:tc>
          <w:tcPr>
            <w:tcW w:w="9209" w:type="dxa"/>
          </w:tcPr>
          <w:p w:rsidR="00F94214" w:rsidRPr="00C66287" w:rsidRDefault="00F94214" w:rsidP="00986EE6">
            <w:pPr>
              <w:numPr>
                <w:ilvl w:val="0"/>
                <w:numId w:val="1"/>
              </w:numPr>
              <w:ind w:left="176" w:firstLine="0"/>
              <w:contextualSpacing/>
              <w:jc w:val="both"/>
              <w:rPr>
                <w:rFonts w:ascii="Times New Roman" w:eastAsia="Calibri" w:hAnsi="Times New Roman" w:cs="Times New Roman"/>
                <w:sz w:val="26"/>
                <w:szCs w:val="26"/>
              </w:rPr>
            </w:pPr>
            <w:r w:rsidRPr="00C66287">
              <w:rPr>
                <w:rFonts w:ascii="Times New Roman" w:eastAsia="Calibri" w:hAnsi="Times New Roman" w:cs="Times New Roman"/>
                <w:b/>
                <w:sz w:val="26"/>
                <w:szCs w:val="26"/>
              </w:rPr>
              <w:lastRenderedPageBreak/>
              <w:t>Descrierea gradului de compatibilitate pentru proiectele care au ca scop armonizarea legislației naționale cu legislația Uniunii Europene</w:t>
            </w:r>
          </w:p>
        </w:tc>
      </w:tr>
      <w:tr w:rsidR="00F94214" w:rsidRPr="00C66287" w:rsidTr="00986EE6">
        <w:tc>
          <w:tcPr>
            <w:tcW w:w="9209" w:type="dxa"/>
          </w:tcPr>
          <w:p w:rsidR="00F94214" w:rsidRPr="005615B0" w:rsidRDefault="00F94214" w:rsidP="00986EE6">
            <w:pPr>
              <w:ind w:firstLine="567"/>
              <w:jc w:val="both"/>
              <w:rPr>
                <w:rFonts w:ascii="Times New Roman" w:eastAsia="Calibri" w:hAnsi="Times New Roman" w:cs="Times New Roman"/>
                <w:sz w:val="28"/>
                <w:szCs w:val="28"/>
                <w:lang w:bidi="ro-RO"/>
              </w:rPr>
            </w:pPr>
            <w:r w:rsidRPr="005615B0">
              <w:rPr>
                <w:rFonts w:ascii="Times New Roman" w:eastAsia="Calibri" w:hAnsi="Times New Roman" w:cs="Times New Roman"/>
                <w:sz w:val="28"/>
                <w:szCs w:val="28"/>
              </w:rPr>
              <w:t xml:space="preserve">Proiectul nominalizat </w:t>
            </w:r>
            <w:r w:rsidRPr="005615B0">
              <w:rPr>
                <w:rFonts w:ascii="Times New Roman" w:eastAsia="Calibri" w:hAnsi="Times New Roman" w:cs="Times New Roman"/>
                <w:sz w:val="28"/>
                <w:szCs w:val="28"/>
                <w:lang w:bidi="ro-RO"/>
              </w:rPr>
              <w:t>conține norme privind armonizarea legislației naționale cu legislația Uniunii Europene</w:t>
            </w:r>
          </w:p>
          <w:p w:rsidR="00F94214" w:rsidRPr="00F94214" w:rsidRDefault="00F94214" w:rsidP="00F94214">
            <w:pPr>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Proiectul prevede transpunerea art. 1 și 4 </w:t>
            </w:r>
            <w:r w:rsidRPr="00666610">
              <w:rPr>
                <w:rFonts w:ascii="Times New Roman" w:eastAsia="Times New Roman" w:hAnsi="Times New Roman" w:cs="Times New Roman"/>
                <w:bCs/>
                <w:color w:val="000000" w:themeColor="text1"/>
                <w:sz w:val="28"/>
                <w:szCs w:val="28"/>
              </w:rPr>
              <w:t>Decizia 2005/834/CE a Consiliului European din 8 noiembrie 2005 privind echivalența controalelor selecțiilor conservative realizate în anumite țări terțe și de modificare a Deciziei 2003/17/CE nu a fost transpusă în actul normativ sus menționat, constituind la moment o restanță în procesul de aderare a RM la UE.</w:t>
            </w:r>
          </w:p>
        </w:tc>
      </w:tr>
      <w:tr w:rsidR="00F94214" w:rsidRPr="00C66287" w:rsidTr="00986EE6">
        <w:tc>
          <w:tcPr>
            <w:tcW w:w="9209" w:type="dxa"/>
          </w:tcPr>
          <w:p w:rsidR="00F94214" w:rsidRPr="00C66287" w:rsidRDefault="00F94214" w:rsidP="00986EE6">
            <w:pPr>
              <w:numPr>
                <w:ilvl w:val="0"/>
                <w:numId w:val="1"/>
              </w:numPr>
              <w:ind w:left="34" w:firstLine="142"/>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Principalele prevederi ale proiectului și evidențierea elementelor noi</w:t>
            </w:r>
          </w:p>
        </w:tc>
      </w:tr>
      <w:tr w:rsidR="00F94214" w:rsidRPr="00C66287" w:rsidTr="00986EE6">
        <w:tc>
          <w:tcPr>
            <w:tcW w:w="9209" w:type="dxa"/>
          </w:tcPr>
          <w:p w:rsidR="00F94214" w:rsidRPr="00F94214" w:rsidRDefault="00F94214" w:rsidP="00986EE6">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Proiectul transpune parțial Decizia 2005/834/CE a Consiliului din 8 noiembrie 2005 privind echivalența controalelor selecțiilor conservative realizate în anumite țări terțe și de modificare a Deciziei 2003/17/CE.</w:t>
            </w:r>
          </w:p>
          <w:p w:rsidR="00F94214" w:rsidRPr="00F94214" w:rsidRDefault="00F94214" w:rsidP="00986EE6">
            <w:pPr>
              <w:autoSpaceDE w:val="0"/>
              <w:autoSpaceDN w:val="0"/>
              <w:adjustRightInd w:val="0"/>
              <w:ind w:right="141" w:firstLine="601"/>
              <w:jc w:val="both"/>
              <w:rPr>
                <w:rFonts w:ascii="Times New Roman" w:eastAsia="Times New Roman" w:hAnsi="Times New Roman" w:cs="Times New Roman"/>
                <w:bCs/>
                <w:color w:val="000000" w:themeColor="text1"/>
                <w:sz w:val="28"/>
                <w:szCs w:val="28"/>
              </w:rPr>
            </w:pPr>
            <w:r w:rsidRPr="00F94214">
              <w:rPr>
                <w:rFonts w:ascii="Times New Roman" w:eastAsia="Times New Roman" w:hAnsi="Times New Roman" w:cs="Times New Roman"/>
                <w:bCs/>
                <w:color w:val="000000" w:themeColor="text1"/>
                <w:sz w:val="28"/>
                <w:szCs w:val="28"/>
              </w:rPr>
              <w:t>Transpunerea asigură astfel că recunoașterea drept echivalente și oferirea acelorași garanții cu prevederile cadrului normativ inspecțiilor oficiale ale selecțiilor conservative la culturile producătoare de semințe, cu condiția ca acestea:</w:t>
            </w:r>
          </w:p>
          <w:p w:rsidR="00F94214" w:rsidRPr="00F94214" w:rsidRDefault="00F94214" w:rsidP="00986EE6">
            <w:pPr>
              <w:autoSpaceDE w:val="0"/>
              <w:autoSpaceDN w:val="0"/>
              <w:adjustRightInd w:val="0"/>
              <w:ind w:right="141" w:firstLine="601"/>
              <w:jc w:val="both"/>
              <w:rPr>
                <w:rFonts w:ascii="Times New Roman" w:eastAsia="Times New Roman" w:hAnsi="Times New Roman" w:cs="Times New Roman"/>
                <w:bCs/>
                <w:color w:val="000000" w:themeColor="text1"/>
                <w:sz w:val="28"/>
                <w:szCs w:val="28"/>
              </w:rPr>
            </w:pPr>
            <w:r w:rsidRPr="00F94214">
              <w:rPr>
                <w:rFonts w:ascii="Times New Roman" w:eastAsia="Times New Roman" w:hAnsi="Times New Roman" w:cs="Times New Roman"/>
                <w:bCs/>
                <w:color w:val="000000" w:themeColor="text1"/>
                <w:sz w:val="28"/>
                <w:szCs w:val="28"/>
              </w:rPr>
              <w:t>1)</w:t>
            </w:r>
            <w:r w:rsidRPr="00F94214">
              <w:rPr>
                <w:rFonts w:ascii="Times New Roman" w:eastAsia="Times New Roman" w:hAnsi="Times New Roman" w:cs="Times New Roman"/>
                <w:bCs/>
                <w:color w:val="000000" w:themeColor="text1"/>
                <w:sz w:val="28"/>
                <w:szCs w:val="28"/>
              </w:rPr>
              <w:tab/>
              <w:t>să fie realizate în mod oficial de către autoritățile aprobate prin Ordinul Agenției Naționale pentru Siguranța Alimentelor;</w:t>
            </w:r>
          </w:p>
          <w:p w:rsidR="00F94214" w:rsidRPr="00F94214" w:rsidRDefault="00F94214" w:rsidP="00986EE6">
            <w:pPr>
              <w:ind w:left="34" w:firstLine="567"/>
              <w:jc w:val="both"/>
              <w:rPr>
                <w:rFonts w:ascii="Times New Roman" w:eastAsia="Times New Roman" w:hAnsi="Times New Roman" w:cs="Times New Roman"/>
                <w:bCs/>
                <w:color w:val="000000" w:themeColor="text1"/>
                <w:sz w:val="28"/>
                <w:szCs w:val="28"/>
              </w:rPr>
            </w:pPr>
            <w:r w:rsidRPr="00F94214">
              <w:rPr>
                <w:rFonts w:ascii="Times New Roman" w:eastAsia="Times New Roman" w:hAnsi="Times New Roman" w:cs="Times New Roman"/>
                <w:bCs/>
                <w:color w:val="000000" w:themeColor="text1"/>
                <w:sz w:val="28"/>
                <w:szCs w:val="28"/>
              </w:rPr>
              <w:t>2)</w:t>
            </w:r>
            <w:r w:rsidRPr="00F94214">
              <w:rPr>
                <w:rFonts w:ascii="Times New Roman" w:eastAsia="Times New Roman" w:hAnsi="Times New Roman" w:cs="Times New Roman"/>
                <w:bCs/>
                <w:color w:val="000000" w:themeColor="text1"/>
                <w:sz w:val="28"/>
                <w:szCs w:val="28"/>
              </w:rPr>
              <w:tab/>
              <w:t>să îndeplinească condițiile stabilite în actele normative enumerate în  Ordinul Agenției Naționale pentru Siguranța Alimentelor.</w:t>
            </w:r>
          </w:p>
          <w:p w:rsidR="00F94214" w:rsidRPr="00F94214" w:rsidRDefault="00F94214" w:rsidP="00986EE6">
            <w:pPr>
              <w:ind w:left="34" w:firstLine="567"/>
              <w:jc w:val="both"/>
              <w:rPr>
                <w:rFonts w:ascii="Times New Roman" w:eastAsia="Times New Roman" w:hAnsi="Times New Roman" w:cs="Times New Roman"/>
                <w:bCs/>
                <w:color w:val="000000" w:themeColor="text1"/>
                <w:sz w:val="28"/>
                <w:szCs w:val="28"/>
              </w:rPr>
            </w:pPr>
            <w:r w:rsidRPr="00F94214">
              <w:rPr>
                <w:rFonts w:ascii="Times New Roman" w:eastAsia="Times New Roman" w:hAnsi="Times New Roman" w:cs="Times New Roman"/>
                <w:bCs/>
                <w:color w:val="000000" w:themeColor="text1"/>
                <w:sz w:val="28"/>
                <w:szCs w:val="28"/>
              </w:rPr>
              <w:t xml:space="preserve">La fel, în scopul sporii transparenței și reducerii unor riscuri în procesul de import, export și certificare a semințelor ANSA va coordona în prealabil cu Ministerul Agriculturii și Industriei Alimentare Procedurile, Ghidurile și Instrucțiunile elaborate și aplicate de către inspectorii teritoriali, iar reprezentanții instituțiilor științifice urmează să fie incluși în GL responsabile de inspectarea câmpurilor </w:t>
            </w:r>
            <w:proofErr w:type="spellStart"/>
            <w:r w:rsidRPr="00F94214">
              <w:rPr>
                <w:rFonts w:ascii="Times New Roman" w:eastAsia="Times New Roman" w:hAnsi="Times New Roman" w:cs="Times New Roman"/>
                <w:bCs/>
                <w:color w:val="000000" w:themeColor="text1"/>
                <w:sz w:val="28"/>
                <w:szCs w:val="28"/>
              </w:rPr>
              <w:t>semincere</w:t>
            </w:r>
            <w:proofErr w:type="spellEnd"/>
            <w:r w:rsidRPr="00F94214">
              <w:rPr>
                <w:rFonts w:ascii="Times New Roman" w:eastAsia="Times New Roman" w:hAnsi="Times New Roman" w:cs="Times New Roman"/>
                <w:bCs/>
                <w:color w:val="000000" w:themeColor="text1"/>
                <w:sz w:val="28"/>
                <w:szCs w:val="28"/>
              </w:rPr>
              <w:t>, pentru a spori calitatea inspectării și atribuirii corecte a soiurilor și portaltoaielor, pentru a reduce riscurile producătorilor agricoli la însămânțare și nu a admite însămânțarea/plantarea neconformă, întrucât ANSA nu dispune de specialiști calificați în acest sens.</w:t>
            </w:r>
          </w:p>
          <w:p w:rsidR="00F94214" w:rsidRPr="00F94214" w:rsidRDefault="00F94214" w:rsidP="00986EE6">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 xml:space="preserve">Concomitent, ANSA eliberează la moment certificatul de calitate a semințelor a </w:t>
            </w:r>
            <w:proofErr w:type="spellStart"/>
            <w:r w:rsidRPr="00F94214">
              <w:rPr>
                <w:rFonts w:ascii="Times New Roman" w:eastAsia="Calibri" w:hAnsi="Times New Roman" w:cs="Times New Roman"/>
                <w:sz w:val="28"/>
                <w:szCs w:val="28"/>
              </w:rPr>
              <w:t>Asociaţiei</w:t>
            </w:r>
            <w:proofErr w:type="spellEnd"/>
            <w:r w:rsidRPr="00F94214">
              <w:rPr>
                <w:rFonts w:ascii="Times New Roman" w:eastAsia="Calibri" w:hAnsi="Times New Roman" w:cs="Times New Roman"/>
                <w:sz w:val="28"/>
                <w:szCs w:val="28"/>
              </w:rPr>
              <w:t xml:space="preserve"> </w:t>
            </w:r>
            <w:proofErr w:type="spellStart"/>
            <w:r w:rsidRPr="00F94214">
              <w:rPr>
                <w:rFonts w:ascii="Times New Roman" w:eastAsia="Calibri" w:hAnsi="Times New Roman" w:cs="Times New Roman"/>
                <w:sz w:val="28"/>
                <w:szCs w:val="28"/>
              </w:rPr>
              <w:t>Internaţionale</w:t>
            </w:r>
            <w:proofErr w:type="spellEnd"/>
            <w:r w:rsidRPr="00F94214">
              <w:rPr>
                <w:rFonts w:ascii="Times New Roman" w:eastAsia="Calibri" w:hAnsi="Times New Roman" w:cs="Times New Roman"/>
                <w:sz w:val="28"/>
                <w:szCs w:val="28"/>
              </w:rPr>
              <w:t xml:space="preserve"> de Testare a </w:t>
            </w:r>
            <w:proofErr w:type="spellStart"/>
            <w:r w:rsidRPr="00F94214">
              <w:rPr>
                <w:rFonts w:ascii="Times New Roman" w:eastAsia="Calibri" w:hAnsi="Times New Roman" w:cs="Times New Roman"/>
                <w:sz w:val="28"/>
                <w:szCs w:val="28"/>
              </w:rPr>
              <w:t>Seminţelor</w:t>
            </w:r>
            <w:proofErr w:type="spellEnd"/>
            <w:r w:rsidRPr="00F94214">
              <w:rPr>
                <w:rFonts w:ascii="Times New Roman" w:eastAsia="Calibri" w:hAnsi="Times New Roman" w:cs="Times New Roman"/>
                <w:sz w:val="28"/>
                <w:szCs w:val="28"/>
              </w:rPr>
              <w:t xml:space="preserve"> și certificatului de varietate biologică a </w:t>
            </w:r>
            <w:proofErr w:type="spellStart"/>
            <w:r w:rsidRPr="00F94214">
              <w:rPr>
                <w:rFonts w:ascii="Times New Roman" w:eastAsia="Calibri" w:hAnsi="Times New Roman" w:cs="Times New Roman"/>
                <w:sz w:val="28"/>
                <w:szCs w:val="28"/>
              </w:rPr>
              <w:t>Organizaţiei</w:t>
            </w:r>
            <w:proofErr w:type="spellEnd"/>
            <w:r w:rsidRPr="00F94214">
              <w:rPr>
                <w:rFonts w:ascii="Times New Roman" w:eastAsia="Calibri" w:hAnsi="Times New Roman" w:cs="Times New Roman"/>
                <w:sz w:val="28"/>
                <w:szCs w:val="28"/>
              </w:rPr>
              <w:t xml:space="preserve"> pentru Cooperare </w:t>
            </w:r>
            <w:proofErr w:type="spellStart"/>
            <w:r w:rsidRPr="00F94214">
              <w:rPr>
                <w:rFonts w:ascii="Times New Roman" w:eastAsia="Calibri" w:hAnsi="Times New Roman" w:cs="Times New Roman"/>
                <w:sz w:val="28"/>
                <w:szCs w:val="28"/>
              </w:rPr>
              <w:t>şi</w:t>
            </w:r>
            <w:proofErr w:type="spellEnd"/>
            <w:r w:rsidRPr="00F94214">
              <w:rPr>
                <w:rFonts w:ascii="Times New Roman" w:eastAsia="Calibri" w:hAnsi="Times New Roman" w:cs="Times New Roman"/>
                <w:sz w:val="28"/>
                <w:szCs w:val="28"/>
              </w:rPr>
              <w:t xml:space="preserve"> Dezvoltare Economică, </w:t>
            </w:r>
            <w:r w:rsidRPr="00F94214">
              <w:rPr>
                <w:rFonts w:ascii="Times New Roman" w:eastAsia="Calibri" w:hAnsi="Times New Roman" w:cs="Times New Roman"/>
                <w:sz w:val="28"/>
                <w:szCs w:val="28"/>
              </w:rPr>
              <w:lastRenderedPageBreak/>
              <w:t xml:space="preserve">însă neavând reglementare în vreun careva act normativ, proiectul prevede posibilitatea eliberării acestor certificate la comercializarea semințelor. </w:t>
            </w:r>
          </w:p>
          <w:p w:rsidR="00F94214" w:rsidRPr="00F94214" w:rsidRDefault="00F94214" w:rsidP="00986EE6">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 xml:space="preserve">În același timp, în scopul producerii </w:t>
            </w:r>
            <w:proofErr w:type="spellStart"/>
            <w:r w:rsidRPr="00F94214">
              <w:rPr>
                <w:rFonts w:ascii="Times New Roman" w:eastAsia="Calibri" w:hAnsi="Times New Roman" w:cs="Times New Roman"/>
                <w:sz w:val="28"/>
                <w:szCs w:val="28"/>
              </w:rPr>
              <w:t>şi</w:t>
            </w:r>
            <w:proofErr w:type="spellEnd"/>
            <w:r w:rsidRPr="00F94214">
              <w:rPr>
                <w:rFonts w:ascii="Times New Roman" w:eastAsia="Calibri" w:hAnsi="Times New Roman" w:cs="Times New Roman"/>
                <w:sz w:val="28"/>
                <w:szCs w:val="28"/>
              </w:rPr>
              <w:t xml:space="preserve">/sau prelucrării, </w:t>
            </w:r>
            <w:proofErr w:type="spellStart"/>
            <w:r w:rsidRPr="00F94214">
              <w:rPr>
                <w:rFonts w:ascii="Times New Roman" w:eastAsia="Calibri" w:hAnsi="Times New Roman" w:cs="Times New Roman"/>
                <w:sz w:val="28"/>
                <w:szCs w:val="28"/>
              </w:rPr>
              <w:t>şi</w:t>
            </w:r>
            <w:proofErr w:type="spellEnd"/>
            <w:r w:rsidRPr="00F94214">
              <w:rPr>
                <w:rFonts w:ascii="Times New Roman" w:eastAsia="Calibri" w:hAnsi="Times New Roman" w:cs="Times New Roman"/>
                <w:sz w:val="28"/>
                <w:szCs w:val="28"/>
              </w:rPr>
              <w:t xml:space="preserve">/sau comercializării </w:t>
            </w:r>
            <w:proofErr w:type="spellStart"/>
            <w:r w:rsidRPr="00F94214">
              <w:rPr>
                <w:rFonts w:ascii="Times New Roman" w:eastAsia="Calibri" w:hAnsi="Times New Roman" w:cs="Times New Roman"/>
                <w:sz w:val="28"/>
                <w:szCs w:val="28"/>
              </w:rPr>
              <w:t>seminţelor</w:t>
            </w:r>
            <w:proofErr w:type="spellEnd"/>
            <w:r w:rsidRPr="00F94214">
              <w:rPr>
                <w:rFonts w:ascii="Times New Roman" w:eastAsia="Calibri" w:hAnsi="Times New Roman" w:cs="Times New Roman"/>
                <w:sz w:val="28"/>
                <w:szCs w:val="28"/>
              </w:rPr>
              <w:t xml:space="preserve"> e </w:t>
            </w:r>
            <w:proofErr w:type="spellStart"/>
            <w:r w:rsidRPr="00F94214">
              <w:rPr>
                <w:rFonts w:ascii="Times New Roman" w:eastAsia="Calibri" w:hAnsi="Times New Roman" w:cs="Times New Roman"/>
                <w:sz w:val="28"/>
                <w:szCs w:val="28"/>
              </w:rPr>
              <w:t>agenţii</w:t>
            </w:r>
            <w:proofErr w:type="spellEnd"/>
            <w:r w:rsidRPr="00F94214">
              <w:rPr>
                <w:rFonts w:ascii="Times New Roman" w:eastAsia="Calibri" w:hAnsi="Times New Roman" w:cs="Times New Roman"/>
                <w:sz w:val="28"/>
                <w:szCs w:val="28"/>
              </w:rPr>
              <w:t xml:space="preserve"> economici </w:t>
            </w:r>
            <w:proofErr w:type="spellStart"/>
            <w:r w:rsidRPr="00F94214">
              <w:rPr>
                <w:rFonts w:ascii="Times New Roman" w:eastAsia="Calibri" w:hAnsi="Times New Roman" w:cs="Times New Roman"/>
                <w:sz w:val="28"/>
                <w:szCs w:val="28"/>
              </w:rPr>
              <w:t>înregistraţi</w:t>
            </w:r>
            <w:proofErr w:type="spellEnd"/>
            <w:r w:rsidRPr="00F94214">
              <w:rPr>
                <w:rFonts w:ascii="Times New Roman" w:eastAsia="Calibri" w:hAnsi="Times New Roman" w:cs="Times New Roman"/>
                <w:sz w:val="28"/>
                <w:szCs w:val="28"/>
              </w:rPr>
              <w:t xml:space="preserve"> de </w:t>
            </w:r>
            <w:proofErr w:type="spellStart"/>
            <w:r w:rsidRPr="00F94214">
              <w:rPr>
                <w:rFonts w:ascii="Times New Roman" w:eastAsia="Calibri" w:hAnsi="Times New Roman" w:cs="Times New Roman"/>
                <w:sz w:val="28"/>
                <w:szCs w:val="28"/>
              </w:rPr>
              <w:t>Agenţia</w:t>
            </w:r>
            <w:proofErr w:type="spellEnd"/>
            <w:r w:rsidRPr="00F94214">
              <w:rPr>
                <w:rFonts w:ascii="Times New Roman" w:eastAsia="Calibri" w:hAnsi="Times New Roman" w:cs="Times New Roman"/>
                <w:sz w:val="28"/>
                <w:szCs w:val="28"/>
              </w:rPr>
              <w:t xml:space="preserve"> </w:t>
            </w:r>
            <w:proofErr w:type="spellStart"/>
            <w:r w:rsidRPr="00F94214">
              <w:rPr>
                <w:rFonts w:ascii="Times New Roman" w:eastAsia="Calibri" w:hAnsi="Times New Roman" w:cs="Times New Roman"/>
                <w:sz w:val="28"/>
                <w:szCs w:val="28"/>
              </w:rPr>
              <w:t>Naţională</w:t>
            </w:r>
            <w:proofErr w:type="spellEnd"/>
            <w:r w:rsidRPr="00F94214">
              <w:rPr>
                <w:rFonts w:ascii="Times New Roman" w:eastAsia="Calibri" w:hAnsi="Times New Roman" w:cs="Times New Roman"/>
                <w:sz w:val="28"/>
                <w:szCs w:val="28"/>
              </w:rPr>
              <w:t xml:space="preserve"> pentru </w:t>
            </w:r>
            <w:proofErr w:type="spellStart"/>
            <w:r w:rsidRPr="00F94214">
              <w:rPr>
                <w:rFonts w:ascii="Times New Roman" w:eastAsia="Calibri" w:hAnsi="Times New Roman" w:cs="Times New Roman"/>
                <w:sz w:val="28"/>
                <w:szCs w:val="28"/>
              </w:rPr>
              <w:t>Siguranţa</w:t>
            </w:r>
            <w:proofErr w:type="spellEnd"/>
            <w:r w:rsidRPr="00F94214">
              <w:rPr>
                <w:rFonts w:ascii="Times New Roman" w:eastAsia="Calibri" w:hAnsi="Times New Roman" w:cs="Times New Roman"/>
                <w:sz w:val="28"/>
                <w:szCs w:val="28"/>
              </w:rPr>
              <w:t xml:space="preserve"> Alimentelor în Registru, în baza Legii nr. 68/2013 despre semințe  pentru producerea </w:t>
            </w:r>
            <w:proofErr w:type="spellStart"/>
            <w:r w:rsidRPr="00F94214">
              <w:rPr>
                <w:rFonts w:ascii="Times New Roman" w:eastAsia="Calibri" w:hAnsi="Times New Roman" w:cs="Times New Roman"/>
                <w:sz w:val="28"/>
                <w:szCs w:val="28"/>
              </w:rPr>
              <w:t>seminţelor</w:t>
            </w:r>
            <w:proofErr w:type="spellEnd"/>
            <w:r w:rsidRPr="00F94214">
              <w:rPr>
                <w:rFonts w:ascii="Times New Roman" w:eastAsia="Calibri" w:hAnsi="Times New Roman" w:cs="Times New Roman"/>
                <w:sz w:val="28"/>
                <w:szCs w:val="28"/>
              </w:rPr>
              <w:t xml:space="preserve"> trebuie să </w:t>
            </w:r>
            <w:proofErr w:type="spellStart"/>
            <w:r w:rsidRPr="00F94214">
              <w:rPr>
                <w:rFonts w:ascii="Times New Roman" w:eastAsia="Calibri" w:hAnsi="Times New Roman" w:cs="Times New Roman"/>
                <w:sz w:val="28"/>
                <w:szCs w:val="28"/>
              </w:rPr>
              <w:t>să</w:t>
            </w:r>
            <w:proofErr w:type="spellEnd"/>
            <w:r w:rsidRPr="00F94214">
              <w:rPr>
                <w:rFonts w:ascii="Times New Roman" w:eastAsia="Calibri" w:hAnsi="Times New Roman" w:cs="Times New Roman"/>
                <w:sz w:val="28"/>
                <w:szCs w:val="28"/>
              </w:rPr>
              <w:t xml:space="preserve"> dispună, cu drept de posesie </w:t>
            </w:r>
            <w:proofErr w:type="spellStart"/>
            <w:r w:rsidRPr="00F94214">
              <w:rPr>
                <w:rFonts w:ascii="Times New Roman" w:eastAsia="Calibri" w:hAnsi="Times New Roman" w:cs="Times New Roman"/>
                <w:sz w:val="28"/>
                <w:szCs w:val="28"/>
              </w:rPr>
              <w:t>şi</w:t>
            </w:r>
            <w:proofErr w:type="spellEnd"/>
            <w:r w:rsidRPr="00F94214">
              <w:rPr>
                <w:rFonts w:ascii="Times New Roman" w:eastAsia="Calibri" w:hAnsi="Times New Roman" w:cs="Times New Roman"/>
                <w:sz w:val="28"/>
                <w:szCs w:val="28"/>
              </w:rPr>
              <w:t xml:space="preserve">/sau de </w:t>
            </w:r>
            <w:proofErr w:type="spellStart"/>
            <w:r w:rsidRPr="00F94214">
              <w:rPr>
                <w:rFonts w:ascii="Times New Roman" w:eastAsia="Calibri" w:hAnsi="Times New Roman" w:cs="Times New Roman"/>
                <w:sz w:val="28"/>
                <w:szCs w:val="28"/>
              </w:rPr>
              <w:t>folosinţă</w:t>
            </w:r>
            <w:proofErr w:type="spellEnd"/>
            <w:r w:rsidRPr="00F94214">
              <w:rPr>
                <w:rFonts w:ascii="Times New Roman" w:eastAsia="Calibri" w:hAnsi="Times New Roman" w:cs="Times New Roman"/>
                <w:sz w:val="28"/>
                <w:szCs w:val="28"/>
              </w:rPr>
              <w:t>, de terenuri agricole:</w:t>
            </w:r>
          </w:p>
          <w:p w:rsidR="00F94214" w:rsidRPr="00F94214" w:rsidRDefault="00F94214" w:rsidP="00986EE6">
            <w:pPr>
              <w:ind w:left="3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94214">
              <w:rPr>
                <w:rFonts w:ascii="Times New Roman" w:eastAsia="Calibri" w:hAnsi="Times New Roman" w:cs="Times New Roman"/>
                <w:sz w:val="28"/>
                <w:szCs w:val="28"/>
              </w:rPr>
              <w:t xml:space="preserve">– pentru culturile de </w:t>
            </w:r>
            <w:proofErr w:type="spellStart"/>
            <w:r w:rsidRPr="00F94214">
              <w:rPr>
                <w:rFonts w:ascii="Times New Roman" w:eastAsia="Calibri" w:hAnsi="Times New Roman" w:cs="Times New Roman"/>
                <w:sz w:val="28"/>
                <w:szCs w:val="28"/>
              </w:rPr>
              <w:t>cîmp</w:t>
            </w:r>
            <w:proofErr w:type="spellEnd"/>
            <w:r w:rsidRPr="00F94214">
              <w:rPr>
                <w:rFonts w:ascii="Times New Roman" w:eastAsia="Calibri" w:hAnsi="Times New Roman" w:cs="Times New Roman"/>
                <w:sz w:val="28"/>
                <w:szCs w:val="28"/>
              </w:rPr>
              <w:t xml:space="preserve"> – cel </w:t>
            </w:r>
            <w:proofErr w:type="spellStart"/>
            <w:r w:rsidRPr="00F94214">
              <w:rPr>
                <w:rFonts w:ascii="Times New Roman" w:eastAsia="Calibri" w:hAnsi="Times New Roman" w:cs="Times New Roman"/>
                <w:sz w:val="28"/>
                <w:szCs w:val="28"/>
              </w:rPr>
              <w:t>puţin</w:t>
            </w:r>
            <w:proofErr w:type="spellEnd"/>
            <w:r w:rsidRPr="00F94214">
              <w:rPr>
                <w:rFonts w:ascii="Times New Roman" w:eastAsia="Calibri" w:hAnsi="Times New Roman" w:cs="Times New Roman"/>
                <w:sz w:val="28"/>
                <w:szCs w:val="28"/>
              </w:rPr>
              <w:t xml:space="preserve"> 300 ha; </w:t>
            </w:r>
          </w:p>
          <w:p w:rsidR="00F94214" w:rsidRPr="00F94214" w:rsidRDefault="00F94214" w:rsidP="00986EE6">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 xml:space="preserve"> – pentru culturile legumicole, bostănoase </w:t>
            </w:r>
            <w:proofErr w:type="spellStart"/>
            <w:r w:rsidRPr="00F94214">
              <w:rPr>
                <w:rFonts w:ascii="Times New Roman" w:eastAsia="Calibri" w:hAnsi="Times New Roman" w:cs="Times New Roman"/>
                <w:sz w:val="28"/>
                <w:szCs w:val="28"/>
              </w:rPr>
              <w:t>şi</w:t>
            </w:r>
            <w:proofErr w:type="spellEnd"/>
            <w:r w:rsidRPr="00F94214">
              <w:rPr>
                <w:rFonts w:ascii="Times New Roman" w:eastAsia="Calibri" w:hAnsi="Times New Roman" w:cs="Times New Roman"/>
                <w:sz w:val="28"/>
                <w:szCs w:val="28"/>
              </w:rPr>
              <w:t xml:space="preserve"> de cartof în sol deschis</w:t>
            </w:r>
          </w:p>
          <w:p w:rsidR="00F94214" w:rsidRPr="00F94214" w:rsidRDefault="00F94214" w:rsidP="00986EE6">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 xml:space="preserve"> – cel </w:t>
            </w:r>
            <w:proofErr w:type="spellStart"/>
            <w:r w:rsidRPr="00F94214">
              <w:rPr>
                <w:rFonts w:ascii="Times New Roman" w:eastAsia="Calibri" w:hAnsi="Times New Roman" w:cs="Times New Roman"/>
                <w:sz w:val="28"/>
                <w:szCs w:val="28"/>
              </w:rPr>
              <w:t>puţin</w:t>
            </w:r>
            <w:proofErr w:type="spellEnd"/>
            <w:r w:rsidRPr="00F94214">
              <w:rPr>
                <w:rFonts w:ascii="Times New Roman" w:eastAsia="Calibri" w:hAnsi="Times New Roman" w:cs="Times New Roman"/>
                <w:sz w:val="28"/>
                <w:szCs w:val="28"/>
              </w:rPr>
              <w:t xml:space="preserve"> 30 ha, iar pentru producerea formelor parentale în </w:t>
            </w:r>
            <w:proofErr w:type="spellStart"/>
            <w:r w:rsidRPr="00F94214">
              <w:rPr>
                <w:rFonts w:ascii="Times New Roman" w:eastAsia="Calibri" w:hAnsi="Times New Roman" w:cs="Times New Roman"/>
                <w:sz w:val="28"/>
                <w:szCs w:val="28"/>
              </w:rPr>
              <w:t>spaţii</w:t>
            </w:r>
            <w:proofErr w:type="spellEnd"/>
            <w:r w:rsidRPr="00F94214">
              <w:rPr>
                <w:rFonts w:ascii="Times New Roman" w:eastAsia="Calibri" w:hAnsi="Times New Roman" w:cs="Times New Roman"/>
                <w:sz w:val="28"/>
                <w:szCs w:val="28"/>
              </w:rPr>
              <w:t xml:space="preserve"> protejate – cel </w:t>
            </w:r>
            <w:proofErr w:type="spellStart"/>
            <w:r w:rsidRPr="00F94214">
              <w:rPr>
                <w:rFonts w:ascii="Times New Roman" w:eastAsia="Calibri" w:hAnsi="Times New Roman" w:cs="Times New Roman"/>
                <w:sz w:val="28"/>
                <w:szCs w:val="28"/>
              </w:rPr>
              <w:t>puţin</w:t>
            </w:r>
            <w:proofErr w:type="spellEnd"/>
            <w:r w:rsidRPr="00F94214">
              <w:rPr>
                <w:rFonts w:ascii="Times New Roman" w:eastAsia="Calibri" w:hAnsi="Times New Roman" w:cs="Times New Roman"/>
                <w:sz w:val="28"/>
                <w:szCs w:val="28"/>
              </w:rPr>
              <w:t xml:space="preserve"> 180 m²;</w:t>
            </w:r>
          </w:p>
          <w:p w:rsidR="00F94214" w:rsidRPr="00F94214" w:rsidRDefault="00F94214" w:rsidP="00986EE6">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Astfel, pentru producătorii mai mici acesta constituie un impediment, de aceea aceste suprafețe au fost revizuite și micșorate de la 300 la 100 ha și de la 30 la 10 ha, astfel încât să acordăm posibilitatea producătorilor mai mici să producă, prelucreze sau comercializeze semințe.</w:t>
            </w:r>
          </w:p>
          <w:p w:rsidR="00F94214" w:rsidRPr="00F94214" w:rsidRDefault="00F94214" w:rsidP="00986EE6">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Totodată, articolul 13 litera a) s-a completat cu o nouă liniuță, cu următorul conținut: „-pentru răsadurile de culturi legumicole în spații protejate – cel puțin 70 m</w:t>
            </w:r>
            <w:r w:rsidRPr="00F94214">
              <w:rPr>
                <w:rFonts w:ascii="Times New Roman" w:eastAsia="Calibri" w:hAnsi="Times New Roman" w:cs="Times New Roman"/>
                <w:sz w:val="28"/>
                <w:szCs w:val="28"/>
                <w:vertAlign w:val="superscript"/>
              </w:rPr>
              <w:t>2</w:t>
            </w:r>
            <w:r w:rsidRPr="00F94214">
              <w:rPr>
                <w:rFonts w:ascii="Times New Roman" w:eastAsia="Calibri" w:hAnsi="Times New Roman" w:cs="Times New Roman"/>
                <w:sz w:val="28"/>
                <w:szCs w:val="28"/>
              </w:rPr>
              <w:t>;”, unde se va acorda posibilitatea producătorilor mici, neînregistrați care produc răsaduri de legume să certifice la ANSA producția și să poată fi plasată pe piața însoțită de actele necesare.</w:t>
            </w:r>
          </w:p>
          <w:p w:rsidR="00F94214" w:rsidRPr="00F94214" w:rsidRDefault="00F94214" w:rsidP="00F94214">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La fel de important constituie specificarea facultativă a unor certificate, inclusiv certificatul de calitate a semințelor ISTA (blanchetă de culoare oranj), eliberat de un laborator acreditat, care urmează a fi eliberate de ANSA sau un laborator acreditat doar în cazul când este solicitat de țara importatoare, agentul economic importator, sau solicitant. Astfel, reducem din cheltuielile agenților economici și specificăm clar, în dependență de legislația internațională și cea UE, care certificate sunt obliga</w:t>
            </w:r>
            <w:r>
              <w:rPr>
                <w:rFonts w:ascii="Times New Roman" w:eastAsia="Calibri" w:hAnsi="Times New Roman" w:cs="Times New Roman"/>
                <w:sz w:val="28"/>
                <w:szCs w:val="28"/>
              </w:rPr>
              <w:t>torii și care sunt facultative.</w:t>
            </w:r>
          </w:p>
        </w:tc>
      </w:tr>
      <w:tr w:rsidR="00F94214" w:rsidRPr="00C66287" w:rsidTr="00986EE6">
        <w:trPr>
          <w:trHeight w:val="426"/>
        </w:trPr>
        <w:tc>
          <w:tcPr>
            <w:tcW w:w="9209" w:type="dxa"/>
            <w:vAlign w:val="center"/>
          </w:tcPr>
          <w:p w:rsidR="00F94214" w:rsidRPr="00C66287" w:rsidRDefault="00F94214" w:rsidP="00986EE6">
            <w:pPr>
              <w:numPr>
                <w:ilvl w:val="0"/>
                <w:numId w:val="1"/>
              </w:numPr>
              <w:ind w:left="34" w:firstLine="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lastRenderedPageBreak/>
              <w:t xml:space="preserve">Fundamentarea </w:t>
            </w:r>
            <w:proofErr w:type="spellStart"/>
            <w:r w:rsidRPr="00C66287">
              <w:rPr>
                <w:rFonts w:ascii="Times New Roman" w:eastAsia="Calibri" w:hAnsi="Times New Roman" w:cs="Times New Roman"/>
                <w:b/>
                <w:sz w:val="26"/>
                <w:szCs w:val="26"/>
              </w:rPr>
              <w:t>economico</w:t>
            </w:r>
            <w:proofErr w:type="spellEnd"/>
            <w:r w:rsidRPr="00C66287">
              <w:rPr>
                <w:rFonts w:ascii="Times New Roman" w:eastAsia="Calibri" w:hAnsi="Times New Roman" w:cs="Times New Roman"/>
                <w:b/>
                <w:sz w:val="26"/>
                <w:szCs w:val="26"/>
              </w:rPr>
              <w:t>-financiară</w:t>
            </w:r>
          </w:p>
        </w:tc>
      </w:tr>
      <w:tr w:rsidR="00F94214" w:rsidRPr="00C66287" w:rsidTr="00F94214">
        <w:trPr>
          <w:trHeight w:val="351"/>
        </w:trPr>
        <w:tc>
          <w:tcPr>
            <w:tcW w:w="9209" w:type="dxa"/>
          </w:tcPr>
          <w:p w:rsidR="00F94214" w:rsidRPr="00F94214" w:rsidRDefault="00F94214" w:rsidP="00986EE6">
            <w:pPr>
              <w:ind w:left="34"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 xml:space="preserve">Proiectul nu necesită surse financiare din Bugetul național </w:t>
            </w:r>
          </w:p>
        </w:tc>
      </w:tr>
      <w:tr w:rsidR="00F94214" w:rsidRPr="00C66287" w:rsidTr="00986EE6">
        <w:trPr>
          <w:trHeight w:val="472"/>
        </w:trPr>
        <w:tc>
          <w:tcPr>
            <w:tcW w:w="9209" w:type="dxa"/>
            <w:vAlign w:val="center"/>
          </w:tcPr>
          <w:p w:rsidR="00F94214" w:rsidRPr="00C66287" w:rsidRDefault="00F94214" w:rsidP="00986EE6">
            <w:pPr>
              <w:numPr>
                <w:ilvl w:val="0"/>
                <w:numId w:val="1"/>
              </w:numPr>
              <w:ind w:left="34" w:firstLine="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Modul de încorporare a actului în cadrul normativ în vigoare</w:t>
            </w:r>
          </w:p>
        </w:tc>
      </w:tr>
      <w:tr w:rsidR="00F94214" w:rsidRPr="00C66287" w:rsidTr="00986EE6">
        <w:tc>
          <w:tcPr>
            <w:tcW w:w="9209" w:type="dxa"/>
          </w:tcPr>
          <w:p w:rsidR="00F94214" w:rsidRPr="00F94214" w:rsidRDefault="00F94214" w:rsidP="00986EE6">
            <w:pPr>
              <w:spacing w:after="80"/>
              <w:ind w:firstLine="567"/>
              <w:jc w:val="both"/>
              <w:rPr>
                <w:rFonts w:ascii="Times New Roman" w:eastAsia="Calibri" w:hAnsi="Times New Roman" w:cs="Times New Roman"/>
                <w:sz w:val="28"/>
                <w:szCs w:val="28"/>
              </w:rPr>
            </w:pPr>
            <w:r w:rsidRPr="00F94214">
              <w:rPr>
                <w:rFonts w:ascii="Times New Roman" w:eastAsia="Calibri" w:hAnsi="Times New Roman" w:cs="Times New Roman"/>
                <w:sz w:val="28"/>
                <w:szCs w:val="28"/>
              </w:rPr>
              <w:t>Legea nr. 68/2013 despre semințe (Monitorul Oficial al Republicii Moldova, 2013,</w:t>
            </w:r>
            <w:r w:rsidRPr="00F94214">
              <w:rPr>
                <w:sz w:val="28"/>
                <w:szCs w:val="28"/>
              </w:rPr>
              <w:t xml:space="preserve"> </w:t>
            </w:r>
            <w:r w:rsidRPr="00F94214">
              <w:rPr>
                <w:rFonts w:ascii="Times New Roman" w:eastAsia="Calibri" w:hAnsi="Times New Roman" w:cs="Times New Roman"/>
                <w:sz w:val="28"/>
                <w:szCs w:val="28"/>
              </w:rPr>
              <w:t xml:space="preserve">nr. 130-134 art. 417) </w:t>
            </w:r>
          </w:p>
        </w:tc>
      </w:tr>
      <w:tr w:rsidR="00F94214" w:rsidRPr="00C66287" w:rsidTr="00986EE6">
        <w:trPr>
          <w:trHeight w:val="459"/>
        </w:trPr>
        <w:tc>
          <w:tcPr>
            <w:tcW w:w="9209" w:type="dxa"/>
            <w:vAlign w:val="center"/>
          </w:tcPr>
          <w:p w:rsidR="00F94214" w:rsidRPr="00C66287" w:rsidRDefault="00F94214" w:rsidP="00986EE6">
            <w:pPr>
              <w:numPr>
                <w:ilvl w:val="0"/>
                <w:numId w:val="1"/>
              </w:numPr>
              <w:tabs>
                <w:tab w:val="left" w:pos="34"/>
              </w:tabs>
              <w:ind w:left="34" w:firstLine="0"/>
              <w:contextualSpacing/>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 xml:space="preserve">Avizarea </w:t>
            </w:r>
            <w:proofErr w:type="spellStart"/>
            <w:r w:rsidRPr="00C66287">
              <w:rPr>
                <w:rFonts w:ascii="Times New Roman" w:eastAsia="Calibri" w:hAnsi="Times New Roman" w:cs="Times New Roman"/>
                <w:b/>
                <w:sz w:val="26"/>
                <w:szCs w:val="26"/>
              </w:rPr>
              <w:t>şi</w:t>
            </w:r>
            <w:proofErr w:type="spellEnd"/>
            <w:r w:rsidRPr="00C66287">
              <w:rPr>
                <w:rFonts w:ascii="Times New Roman" w:eastAsia="Calibri" w:hAnsi="Times New Roman" w:cs="Times New Roman"/>
                <w:b/>
                <w:sz w:val="26"/>
                <w:szCs w:val="26"/>
              </w:rPr>
              <w:t xml:space="preserve"> consultarea publică a proiectului</w:t>
            </w:r>
          </w:p>
        </w:tc>
      </w:tr>
      <w:tr w:rsidR="00F94214" w:rsidRPr="00C66287" w:rsidTr="00986EE6">
        <w:tc>
          <w:tcPr>
            <w:tcW w:w="9209" w:type="dxa"/>
          </w:tcPr>
          <w:p w:rsidR="00F94214" w:rsidRPr="00F94214" w:rsidRDefault="00F94214" w:rsidP="00986EE6">
            <w:pPr>
              <w:ind w:firstLine="567"/>
              <w:jc w:val="both"/>
              <w:rPr>
                <w:rFonts w:ascii="Times New Roman" w:eastAsia="Calibri" w:hAnsi="Times New Roman" w:cs="Times New Roman"/>
                <w:b/>
                <w:sz w:val="28"/>
                <w:szCs w:val="28"/>
              </w:rPr>
            </w:pPr>
            <w:r w:rsidRPr="00F94214">
              <w:rPr>
                <w:rFonts w:ascii="Times New Roman" w:eastAsia="Calibri" w:hAnsi="Times New Roman" w:cs="Times New Roman"/>
                <w:sz w:val="28"/>
                <w:szCs w:val="28"/>
              </w:rPr>
              <w:t xml:space="preserve">Proiectul a fost plasat spre consultări publice pe pagina web a Ministerului și particip.gov.md </w:t>
            </w:r>
          </w:p>
        </w:tc>
      </w:tr>
      <w:tr w:rsidR="00F94214" w:rsidRPr="00C66287" w:rsidTr="00986EE6">
        <w:tc>
          <w:tcPr>
            <w:tcW w:w="9209" w:type="dxa"/>
          </w:tcPr>
          <w:p w:rsidR="00F94214" w:rsidRPr="00C66287" w:rsidRDefault="00F94214" w:rsidP="00986EE6">
            <w:pPr>
              <w:tabs>
                <w:tab w:val="left" w:pos="884"/>
                <w:tab w:val="left" w:pos="1196"/>
              </w:tabs>
              <w:jc w:val="both"/>
              <w:rPr>
                <w:rFonts w:ascii="Times New Roman" w:eastAsia="Calibri" w:hAnsi="Times New Roman" w:cs="Times New Roman"/>
                <w:sz w:val="26"/>
                <w:szCs w:val="26"/>
              </w:rPr>
            </w:pPr>
            <w:r w:rsidRPr="00C66287">
              <w:rPr>
                <w:rFonts w:ascii="Times New Roman" w:eastAsia="Calibri" w:hAnsi="Times New Roman" w:cs="Times New Roman"/>
                <w:b/>
                <w:sz w:val="26"/>
                <w:szCs w:val="26"/>
              </w:rPr>
              <w:t>8. Constatările expertizei anticorupție</w:t>
            </w:r>
          </w:p>
        </w:tc>
      </w:tr>
      <w:tr w:rsidR="00F94214" w:rsidRPr="00C66287" w:rsidTr="00986EE6">
        <w:tc>
          <w:tcPr>
            <w:tcW w:w="9209" w:type="dxa"/>
          </w:tcPr>
          <w:p w:rsidR="00F94214" w:rsidRPr="00C66287" w:rsidRDefault="00F94214" w:rsidP="00986EE6">
            <w:pPr>
              <w:tabs>
                <w:tab w:val="left" w:pos="884"/>
                <w:tab w:val="left" w:pos="1196"/>
              </w:tabs>
              <w:ind w:firstLine="601"/>
              <w:jc w:val="both"/>
              <w:rPr>
                <w:rFonts w:ascii="Times New Roman" w:eastAsia="Calibri" w:hAnsi="Times New Roman" w:cs="Times New Roman"/>
                <w:sz w:val="26"/>
                <w:szCs w:val="26"/>
              </w:rPr>
            </w:pPr>
          </w:p>
        </w:tc>
      </w:tr>
      <w:tr w:rsidR="00F94214" w:rsidRPr="00C66287" w:rsidTr="00986EE6">
        <w:tc>
          <w:tcPr>
            <w:tcW w:w="9209" w:type="dxa"/>
          </w:tcPr>
          <w:p w:rsidR="00F94214" w:rsidRPr="00C66287" w:rsidRDefault="00F94214" w:rsidP="00986EE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9. Constatările expertizei de compatibilitate</w:t>
            </w:r>
          </w:p>
        </w:tc>
      </w:tr>
      <w:tr w:rsidR="00F94214" w:rsidRPr="00C66287" w:rsidTr="00986EE6">
        <w:tc>
          <w:tcPr>
            <w:tcW w:w="9209" w:type="dxa"/>
          </w:tcPr>
          <w:p w:rsidR="00F94214" w:rsidRPr="00C66287" w:rsidRDefault="00F94214" w:rsidP="00986EE6">
            <w:pPr>
              <w:tabs>
                <w:tab w:val="left" w:pos="884"/>
                <w:tab w:val="left" w:pos="1196"/>
              </w:tabs>
              <w:spacing w:after="80"/>
              <w:ind w:firstLine="601"/>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Nu este necesară. </w:t>
            </w:r>
          </w:p>
        </w:tc>
      </w:tr>
      <w:tr w:rsidR="00F94214" w:rsidRPr="00C66287" w:rsidTr="00986EE6">
        <w:tc>
          <w:tcPr>
            <w:tcW w:w="9209" w:type="dxa"/>
          </w:tcPr>
          <w:p w:rsidR="00F94214" w:rsidRPr="00C66287" w:rsidRDefault="00F94214" w:rsidP="00986EE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10. Constatările expertizei juridice</w:t>
            </w:r>
          </w:p>
        </w:tc>
      </w:tr>
      <w:tr w:rsidR="00F94214" w:rsidRPr="00C66287" w:rsidTr="00986EE6">
        <w:tc>
          <w:tcPr>
            <w:tcW w:w="9209" w:type="dxa"/>
          </w:tcPr>
          <w:p w:rsidR="00F94214" w:rsidRPr="00C66287" w:rsidRDefault="00F94214" w:rsidP="00986EE6">
            <w:pPr>
              <w:tabs>
                <w:tab w:val="left" w:pos="993"/>
              </w:tabs>
              <w:ind w:firstLine="601"/>
              <w:jc w:val="both"/>
              <w:rPr>
                <w:rFonts w:ascii="Times New Roman" w:eastAsia="Calibri" w:hAnsi="Times New Roman" w:cs="Times New Roman"/>
                <w:color w:val="002060"/>
                <w:sz w:val="26"/>
                <w:szCs w:val="26"/>
              </w:rPr>
            </w:pPr>
          </w:p>
        </w:tc>
      </w:tr>
      <w:tr w:rsidR="00F94214" w:rsidRPr="00C66287" w:rsidTr="00986EE6">
        <w:tc>
          <w:tcPr>
            <w:tcW w:w="9209" w:type="dxa"/>
          </w:tcPr>
          <w:p w:rsidR="00F94214" w:rsidRPr="00C66287" w:rsidRDefault="00F94214" w:rsidP="00986EE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11. Constatările altor expertize</w:t>
            </w:r>
          </w:p>
        </w:tc>
      </w:tr>
      <w:tr w:rsidR="00F94214" w:rsidRPr="00C66287" w:rsidTr="00986EE6">
        <w:tc>
          <w:tcPr>
            <w:tcW w:w="9209" w:type="dxa"/>
          </w:tcPr>
          <w:p w:rsidR="00F94214" w:rsidRPr="00C66287" w:rsidRDefault="00F94214" w:rsidP="00986EE6">
            <w:pPr>
              <w:ind w:firstLine="567"/>
              <w:jc w:val="both"/>
              <w:rPr>
                <w:rFonts w:ascii="Times New Roman" w:eastAsia="Calibri" w:hAnsi="Times New Roman" w:cs="Times New Roman"/>
                <w:iCs/>
                <w:sz w:val="26"/>
                <w:szCs w:val="26"/>
              </w:rPr>
            </w:pPr>
            <w:r w:rsidRPr="00C66287">
              <w:rPr>
                <w:rFonts w:ascii="Times New Roman" w:eastAsia="Calibri" w:hAnsi="Times New Roman" w:cs="Times New Roman"/>
                <w:iCs/>
                <w:sz w:val="26"/>
                <w:szCs w:val="26"/>
              </w:rPr>
              <w:t xml:space="preserve"> </w:t>
            </w:r>
          </w:p>
        </w:tc>
      </w:tr>
    </w:tbl>
    <w:p w:rsidR="00F94214" w:rsidRDefault="00F94214" w:rsidP="00F94214">
      <w:pPr>
        <w:spacing w:after="0"/>
        <w:jc w:val="both"/>
        <w:rPr>
          <w:rFonts w:ascii="Times New Roman" w:eastAsia="Calibri" w:hAnsi="Times New Roman" w:cs="Times New Roman"/>
          <w:b/>
          <w:sz w:val="26"/>
          <w:szCs w:val="26"/>
        </w:rPr>
      </w:pPr>
    </w:p>
    <w:p w:rsidR="00F94214" w:rsidRPr="00C66287" w:rsidRDefault="00F94214" w:rsidP="00F94214">
      <w:pPr>
        <w:spacing w:after="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 xml:space="preserve">Viceprim-ministru, </w:t>
      </w:r>
    </w:p>
    <w:p w:rsidR="00F94214" w:rsidRPr="00C66287" w:rsidRDefault="00F94214" w:rsidP="00F94214">
      <w:pPr>
        <w:tabs>
          <w:tab w:val="left" w:pos="0"/>
        </w:tabs>
        <w:spacing w:after="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Ministrul agriculturii și industriei alimentare</w:t>
      </w:r>
      <w:r w:rsidRPr="00C66287">
        <w:rPr>
          <w:rFonts w:ascii="Times New Roman" w:eastAsia="Calibri" w:hAnsi="Times New Roman" w:cs="Times New Roman"/>
          <w:b/>
          <w:sz w:val="26"/>
          <w:szCs w:val="26"/>
        </w:rPr>
        <w:tab/>
      </w:r>
      <w:r w:rsidRPr="00C66287">
        <w:rPr>
          <w:rFonts w:ascii="Times New Roman" w:eastAsia="Calibri" w:hAnsi="Times New Roman" w:cs="Times New Roman"/>
          <w:b/>
          <w:sz w:val="26"/>
          <w:szCs w:val="26"/>
        </w:rPr>
        <w:tab/>
      </w:r>
      <w:r w:rsidRPr="00C66287">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C66287">
        <w:rPr>
          <w:rFonts w:ascii="Times New Roman" w:eastAsia="Calibri" w:hAnsi="Times New Roman" w:cs="Times New Roman"/>
          <w:b/>
          <w:sz w:val="26"/>
          <w:szCs w:val="26"/>
        </w:rPr>
        <w:t>Vladimir BOLEA</w:t>
      </w:r>
    </w:p>
    <w:sectPr w:rsidR="00F94214" w:rsidRPr="00C66287" w:rsidSect="007F4AC7">
      <w:pgSz w:w="11906" w:h="16838" w:code="9"/>
      <w:pgMar w:top="709" w:right="84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F502A"/>
    <w:multiLevelType w:val="hybridMultilevel"/>
    <w:tmpl w:val="7BA29868"/>
    <w:lvl w:ilvl="0" w:tplc="60700FCC">
      <w:start w:val="2"/>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14"/>
    <w:rsid w:val="005615B0"/>
    <w:rsid w:val="0084691B"/>
    <w:rsid w:val="009E151D"/>
    <w:rsid w:val="00F9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07C24-E250-4DDD-8D07-3E8F92BD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14"/>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21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Grigoriță Veaceslav</cp:lastModifiedBy>
  <cp:revision>3</cp:revision>
  <dcterms:created xsi:type="dcterms:W3CDTF">2023-05-18T13:08:00Z</dcterms:created>
  <dcterms:modified xsi:type="dcterms:W3CDTF">2023-05-22T06:30:00Z</dcterms:modified>
</cp:coreProperties>
</file>