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E201C4" w:rsidRPr="009F499F" w14:paraId="6AC7F728" w14:textId="77777777" w:rsidTr="000D38B4">
        <w:trPr>
          <w:jc w:val="center"/>
        </w:trPr>
        <w:tc>
          <w:tcPr>
            <w:tcW w:w="3544" w:type="dxa"/>
          </w:tcPr>
          <w:p w14:paraId="4327C177" w14:textId="77777777" w:rsidR="00E201C4" w:rsidRPr="009F499F" w:rsidRDefault="00E201C4" w:rsidP="000D3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1835" w:type="dxa"/>
          </w:tcPr>
          <w:p w14:paraId="6735BD28" w14:textId="77777777" w:rsidR="00E201C4" w:rsidRPr="009F499F" w:rsidRDefault="00E201C4" w:rsidP="000D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9F49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object w:dxaOrig="1659" w:dyaOrig="1475" w14:anchorId="529C46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1in" o:ole="" fillcolor="window">
                  <v:imagedata r:id="rId6" o:title=""/>
                </v:shape>
                <o:OLEObject Type="Embed" ProgID="Word.Picture.8" ShapeID="_x0000_i1025" DrawAspect="Content" ObjectID="_1780389605" r:id="rId7"/>
              </w:object>
            </w:r>
          </w:p>
        </w:tc>
        <w:tc>
          <w:tcPr>
            <w:tcW w:w="3693" w:type="dxa"/>
          </w:tcPr>
          <w:p w14:paraId="13A699F3" w14:textId="77777777" w:rsidR="00E201C4" w:rsidRPr="009F499F" w:rsidRDefault="00E201C4" w:rsidP="000D38B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  <w:p w14:paraId="796CC0C3" w14:textId="77777777" w:rsidR="00E201C4" w:rsidRPr="009F499F" w:rsidRDefault="00E201C4" w:rsidP="000D38B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  <w:p w14:paraId="5C2BEF9A" w14:textId="77777777" w:rsidR="00E201C4" w:rsidRPr="009F499F" w:rsidRDefault="00E201C4" w:rsidP="000D38B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  <w:p w14:paraId="1C93BD0A" w14:textId="77777777" w:rsidR="00E201C4" w:rsidRPr="009F499F" w:rsidRDefault="00E201C4" w:rsidP="000D38B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</w:tc>
      </w:tr>
      <w:tr w:rsidR="00E201C4" w:rsidRPr="00B61AE1" w14:paraId="21FED917" w14:textId="77777777" w:rsidTr="000D38B4">
        <w:trPr>
          <w:cantSplit/>
          <w:jc w:val="center"/>
        </w:trPr>
        <w:tc>
          <w:tcPr>
            <w:tcW w:w="9072" w:type="dxa"/>
            <w:gridSpan w:val="3"/>
          </w:tcPr>
          <w:p w14:paraId="1461A129" w14:textId="77777777" w:rsidR="00E201C4" w:rsidRPr="00B61AE1" w:rsidRDefault="00E201C4" w:rsidP="000D38B4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</w:p>
          <w:p w14:paraId="00705D77" w14:textId="77777777" w:rsidR="00E201C4" w:rsidRPr="00B61AE1" w:rsidRDefault="00E201C4" w:rsidP="000D38B4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00" w:themeColor="text1"/>
                <w:spacing w:val="20"/>
                <w:sz w:val="28"/>
                <w:szCs w:val="28"/>
                <w:lang w:val="ro-RO"/>
              </w:rPr>
            </w:pPr>
            <w:r w:rsidRPr="00B61AE1">
              <w:rPr>
                <w:rFonts w:ascii="Times New Roman" w:eastAsia="Times New Roman" w:hAnsi="Times New Roman" w:cs="Times New Roman"/>
                <w:b/>
                <w:color w:val="000000" w:themeColor="text1"/>
                <w:spacing w:val="20"/>
                <w:sz w:val="28"/>
                <w:szCs w:val="28"/>
                <w:lang w:val="ro-RO"/>
              </w:rPr>
              <w:t>GUVERNUL REPUBLICII MOLDOVA</w:t>
            </w:r>
          </w:p>
          <w:p w14:paraId="71BE6137" w14:textId="77777777" w:rsidR="00E201C4" w:rsidRPr="00B61AE1" w:rsidRDefault="00E201C4" w:rsidP="000D38B4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</w:p>
          <w:p w14:paraId="2FA463A8" w14:textId="77777777" w:rsidR="00E201C4" w:rsidRPr="00B61AE1" w:rsidRDefault="00E201C4" w:rsidP="000D38B4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B61A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H O T Ă R Â R E  nr</w:t>
            </w:r>
            <w:r w:rsidRPr="00B61A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.</w:t>
            </w:r>
            <w:r w:rsidRPr="00B61A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_______</w:t>
            </w:r>
          </w:p>
          <w:p w14:paraId="508FFFF8" w14:textId="77777777" w:rsidR="00E201C4" w:rsidRPr="00B61AE1" w:rsidRDefault="00E201C4" w:rsidP="000D3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  <w:p w14:paraId="3F5BA210" w14:textId="77777777" w:rsidR="00E201C4" w:rsidRPr="00B61AE1" w:rsidRDefault="00E201C4" w:rsidP="000D38B4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B61A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din</w:t>
            </w:r>
            <w:r w:rsidRPr="00B61A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___________________________________ </w:t>
            </w:r>
            <w:r w:rsidRPr="00B61A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2024</w:t>
            </w:r>
          </w:p>
          <w:p w14:paraId="396518E7" w14:textId="77777777" w:rsidR="00E201C4" w:rsidRPr="00B61AE1" w:rsidRDefault="00E201C4" w:rsidP="000D38B4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B61A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Chișinău</w:t>
            </w:r>
          </w:p>
          <w:p w14:paraId="76792EA1" w14:textId="77777777" w:rsidR="004D7BDF" w:rsidRPr="00B61AE1" w:rsidRDefault="004D7BDF" w:rsidP="000D38B4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</w:p>
        </w:tc>
      </w:tr>
    </w:tbl>
    <w:p w14:paraId="48DB11E9" w14:textId="1BEB9CA7" w:rsidR="00A72F0F" w:rsidRPr="00B61AE1" w:rsidRDefault="00C162A5" w:rsidP="00A122F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Cu privire la modificarea Hotărârii Guvernului nr. 419/2000 despre apro</w:t>
      </w:r>
      <w:r w:rsidR="00A36C40">
        <w:rPr>
          <w:rFonts w:ascii="Times New Roman" w:hAnsi="Times New Roman" w:cs="Times New Roman"/>
          <w:b/>
          <w:sz w:val="28"/>
          <w:szCs w:val="28"/>
          <w:lang w:val="ro-RO"/>
        </w:rPr>
        <w:t>barea Regulamentului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BC6C9A" w:rsidRPr="00BC6C9A">
        <w:rPr>
          <w:rFonts w:ascii="Times New Roman" w:hAnsi="Times New Roman" w:cs="Times New Roman"/>
          <w:b/>
          <w:sz w:val="28"/>
          <w:szCs w:val="28"/>
          <w:lang w:val="ro-MD"/>
        </w:rPr>
        <w:t xml:space="preserve">Comitetului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Național</w:t>
      </w:r>
      <w:r w:rsidR="00BC6C9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Codex </w:t>
      </w:r>
      <w:proofErr w:type="spellStart"/>
      <w:r w:rsidR="00BC6C9A">
        <w:rPr>
          <w:rFonts w:ascii="Times New Roman" w:hAnsi="Times New Roman" w:cs="Times New Roman"/>
          <w:b/>
          <w:sz w:val="28"/>
          <w:szCs w:val="28"/>
          <w:lang w:val="ro-RO"/>
        </w:rPr>
        <w:t>Alimentarius</w:t>
      </w:r>
      <w:proofErr w:type="spellEnd"/>
      <w:r w:rsidR="006D5F3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abrogarea unei Hotărâri de Guvern</w:t>
      </w:r>
    </w:p>
    <w:p w14:paraId="174AE739" w14:textId="77777777" w:rsidR="000D5790" w:rsidRPr="00565C7D" w:rsidRDefault="000D5790">
      <w:pPr>
        <w:rPr>
          <w:rFonts w:ascii="Times New Roman" w:hAnsi="Times New Roman" w:cs="Times New Roman"/>
          <w:b/>
          <w:szCs w:val="28"/>
          <w:lang w:val="ro-RO"/>
        </w:rPr>
      </w:pPr>
    </w:p>
    <w:p w14:paraId="2F952570" w14:textId="1B05D206" w:rsidR="000D5790" w:rsidRDefault="000D5790" w:rsidP="00B745B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1AE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B61AE1">
        <w:rPr>
          <w:rFonts w:ascii="Times New Roman" w:hAnsi="Times New Roman" w:cs="Times New Roman"/>
          <w:sz w:val="28"/>
          <w:szCs w:val="28"/>
          <w:lang w:val="ro-RO"/>
        </w:rPr>
        <w:t xml:space="preserve">În temeiul </w:t>
      </w:r>
      <w:r w:rsidR="007B1CDD">
        <w:rPr>
          <w:rFonts w:ascii="Times New Roman" w:hAnsi="Times New Roman" w:cs="Times New Roman"/>
          <w:sz w:val="28"/>
          <w:szCs w:val="28"/>
          <w:lang w:val="ro-RO"/>
        </w:rPr>
        <w:t>art. 7, lit. k)</w:t>
      </w:r>
      <w:r w:rsidR="006C3309" w:rsidRPr="00B61AE1">
        <w:rPr>
          <w:rFonts w:ascii="Times New Roman" w:hAnsi="Times New Roman" w:cs="Times New Roman"/>
          <w:sz w:val="28"/>
          <w:szCs w:val="28"/>
          <w:lang w:val="ro-RO"/>
        </w:rPr>
        <w:t xml:space="preserve"> din</w:t>
      </w:r>
      <w:r w:rsidR="007B1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B1CDD" w:rsidRPr="008D3A0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Legea </w:t>
      </w:r>
      <w:r w:rsidR="001C5020" w:rsidRPr="008D3A0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</w:t>
      </w:r>
      <w:r w:rsidR="007B1CDD" w:rsidRPr="008D3A0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r. </w:t>
      </w:r>
      <w:r w:rsidR="007B1CDD">
        <w:rPr>
          <w:rFonts w:ascii="Times New Roman" w:hAnsi="Times New Roman" w:cs="Times New Roman"/>
          <w:sz w:val="28"/>
          <w:szCs w:val="28"/>
          <w:lang w:val="ro-RO"/>
        </w:rPr>
        <w:t>136/2017 cu privire la Guvern</w:t>
      </w:r>
      <w:r w:rsidR="00352D30" w:rsidRPr="00B61AE1">
        <w:rPr>
          <w:rFonts w:ascii="Times New Roman" w:hAnsi="Times New Roman" w:cs="Times New Roman"/>
          <w:sz w:val="28"/>
          <w:szCs w:val="28"/>
          <w:lang w:val="ro-RO"/>
        </w:rPr>
        <w:t xml:space="preserve"> (Monitorul </w:t>
      </w:r>
      <w:r w:rsidR="002D4D73" w:rsidRPr="00B61AE1">
        <w:rPr>
          <w:rFonts w:ascii="Times New Roman" w:hAnsi="Times New Roman" w:cs="Times New Roman"/>
          <w:sz w:val="28"/>
          <w:szCs w:val="28"/>
          <w:lang w:val="ro-RO"/>
        </w:rPr>
        <w:t>Oficial al Republicii Moldova</w:t>
      </w:r>
      <w:r w:rsidR="003146A4">
        <w:rPr>
          <w:rFonts w:ascii="Times New Roman" w:hAnsi="Times New Roman" w:cs="Times New Roman"/>
          <w:sz w:val="28"/>
          <w:szCs w:val="28"/>
          <w:lang w:val="ro-RO"/>
        </w:rPr>
        <w:t>, 2017, nr. 252, art. 412</w:t>
      </w:r>
      <w:r w:rsidR="00352D30" w:rsidRPr="00B61AE1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75026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9E27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20F37">
        <w:rPr>
          <w:rFonts w:ascii="Times New Roman" w:hAnsi="Times New Roman" w:cs="Times New Roman"/>
          <w:sz w:val="28"/>
          <w:szCs w:val="28"/>
          <w:lang w:val="ro-RO"/>
        </w:rPr>
        <w:t>cu modificările ulterioare,</w:t>
      </w:r>
      <w:r w:rsidR="007502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5026F" w:rsidRPr="00090883">
        <w:rPr>
          <w:rFonts w:ascii="Times New Roman" w:hAnsi="Times New Roman" w:cs="Times New Roman"/>
          <w:b/>
          <w:sz w:val="28"/>
          <w:szCs w:val="28"/>
          <w:lang w:val="ro-RO"/>
        </w:rPr>
        <w:t>Guvernul HOTĂRĂȘTE:</w:t>
      </w:r>
    </w:p>
    <w:p w14:paraId="08F1089C" w14:textId="77916321" w:rsidR="004C5903" w:rsidRDefault="00090883" w:rsidP="00B745B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Hotărârea Guvernului nr. 419/200</w:t>
      </w:r>
      <w:r w:rsidR="00CB5EDC">
        <w:rPr>
          <w:rFonts w:ascii="Times New Roman" w:hAnsi="Times New Roman" w:cs="Times New Roman"/>
          <w:sz w:val="28"/>
          <w:szCs w:val="28"/>
          <w:lang w:val="ro-RO"/>
        </w:rPr>
        <w:t xml:space="preserve">0 despre aprobarea Regulamentului Comitetului </w:t>
      </w:r>
      <w:r w:rsidR="00640452">
        <w:rPr>
          <w:rFonts w:ascii="Times New Roman" w:hAnsi="Times New Roman" w:cs="Times New Roman"/>
          <w:sz w:val="28"/>
          <w:szCs w:val="28"/>
          <w:lang w:val="ro-RO"/>
        </w:rPr>
        <w:t xml:space="preserve">Național Codex </w:t>
      </w:r>
      <w:proofErr w:type="spellStart"/>
      <w:r w:rsidR="00640452"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 w:rsidR="00640452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</w:t>
      </w:r>
      <w:r w:rsidR="00B50017">
        <w:rPr>
          <w:rFonts w:ascii="Times New Roman" w:hAnsi="Times New Roman" w:cs="Times New Roman"/>
          <w:sz w:val="28"/>
          <w:szCs w:val="28"/>
          <w:lang w:val="ro-RO"/>
        </w:rPr>
        <w:t xml:space="preserve"> al Republicii Moldova, 2000,</w:t>
      </w:r>
      <w:r w:rsidR="0064045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50017">
        <w:rPr>
          <w:rFonts w:ascii="Times New Roman" w:hAnsi="Times New Roman" w:cs="Times New Roman"/>
          <w:sz w:val="28"/>
          <w:szCs w:val="28"/>
          <w:lang w:val="ro-RO"/>
        </w:rPr>
        <w:t>nr. 54 art. 501</w:t>
      </w:r>
      <w:r w:rsidR="00640452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3C58F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F4727A">
        <w:rPr>
          <w:rFonts w:ascii="Times New Roman" w:hAnsi="Times New Roman" w:cs="Times New Roman"/>
          <w:sz w:val="28"/>
          <w:szCs w:val="28"/>
          <w:lang w:val="ro-RO"/>
        </w:rPr>
        <w:t xml:space="preserve"> se modifică după cum urmează:</w:t>
      </w:r>
    </w:p>
    <w:p w14:paraId="754ECF0E" w14:textId="31151265" w:rsidR="00FF6B27" w:rsidRPr="008F6768" w:rsidRDefault="00FF6B27" w:rsidP="008F676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6768">
        <w:rPr>
          <w:rFonts w:ascii="Times New Roman" w:hAnsi="Times New Roman" w:cs="Times New Roman"/>
          <w:sz w:val="28"/>
          <w:szCs w:val="28"/>
          <w:lang w:val="ro-RO"/>
        </w:rPr>
        <w:t>clauza de emitere va avea următorul cuprins:</w:t>
      </w:r>
    </w:p>
    <w:p w14:paraId="028FE74E" w14:textId="313CE264" w:rsidR="008F6768" w:rsidRDefault="001A28CD" w:rsidP="008F6768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„În temeiul art. 1 din Hotărârea Parlamentului nr. 1342/1997 privind aderarea Republicii Moldova la Statutul Comisiei Codex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8F6768">
        <w:rPr>
          <w:rFonts w:ascii="Times New Roman" w:hAnsi="Times New Roman" w:cs="Times New Roman"/>
          <w:sz w:val="28"/>
          <w:szCs w:val="28"/>
          <w:lang w:val="ro-RO"/>
        </w:rPr>
        <w:t>Monitorul Oficial al Republicii Moldova, 1997, nr. 71, art. 605</w:t>
      </w:r>
      <w:r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521729">
        <w:rPr>
          <w:rFonts w:ascii="Times New Roman" w:hAnsi="Times New Roman" w:cs="Times New Roman"/>
          <w:sz w:val="28"/>
          <w:szCs w:val="28"/>
          <w:lang w:val="ro-RO"/>
        </w:rPr>
        <w:t>.”</w:t>
      </w:r>
    </w:p>
    <w:p w14:paraId="76294834" w14:textId="18FA82CF" w:rsidR="008F6768" w:rsidRPr="00B207F1" w:rsidRDefault="00A70E30" w:rsidP="00B745B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 tot parcursul Regulamentului, cuvântul „inofensivitate” se substituie cu cuvântul „siguranță”</w:t>
      </w:r>
      <w:r w:rsidR="00D46399">
        <w:rPr>
          <w:rFonts w:ascii="Times New Roman" w:hAnsi="Times New Roman" w:cs="Times New Roman"/>
          <w:sz w:val="28"/>
          <w:szCs w:val="28"/>
          <w:lang w:val="ro-RO"/>
        </w:rPr>
        <w:t>, la forma gramaticală corespunzătoare.</w:t>
      </w:r>
    </w:p>
    <w:p w14:paraId="4E8B0913" w14:textId="77777777" w:rsidR="00B207F1" w:rsidRPr="008F6768" w:rsidRDefault="00B207F1" w:rsidP="00B207F1">
      <w:pPr>
        <w:pStyle w:val="ListParagraph"/>
        <w:ind w:left="1065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93E6188" w14:textId="4F45372C" w:rsidR="00912A94" w:rsidRPr="008F6768" w:rsidRDefault="003F6D9C" w:rsidP="00B745B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6768">
        <w:rPr>
          <w:rFonts w:ascii="Times New Roman" w:hAnsi="Times New Roman" w:cs="Times New Roman"/>
          <w:sz w:val="28"/>
          <w:szCs w:val="28"/>
          <w:lang w:val="ro-RO"/>
        </w:rPr>
        <w:t>pct. 2 va avea următorul cuprins:</w:t>
      </w:r>
    </w:p>
    <w:p w14:paraId="7FEB5720" w14:textId="4D8D3DF7" w:rsidR="008F6768" w:rsidRDefault="00912A94" w:rsidP="00B745B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„ Componența instituțională a </w:t>
      </w:r>
      <w:r w:rsidR="002D5ACC">
        <w:rPr>
          <w:rFonts w:ascii="Times New Roman" w:hAnsi="Times New Roman" w:cs="Times New Roman"/>
          <w:sz w:val="28"/>
          <w:szCs w:val="28"/>
          <w:lang w:val="ro-RO"/>
        </w:rPr>
        <w:t>Comitetului este prezentată în A</w:t>
      </w:r>
      <w:r>
        <w:rPr>
          <w:rFonts w:ascii="Times New Roman" w:hAnsi="Times New Roman" w:cs="Times New Roman"/>
          <w:sz w:val="28"/>
          <w:szCs w:val="28"/>
          <w:lang w:val="ro-RO"/>
        </w:rPr>
        <w:t>nexa n</w:t>
      </w:r>
      <w:r w:rsidR="002D5ACC">
        <w:rPr>
          <w:rFonts w:ascii="Times New Roman" w:hAnsi="Times New Roman" w:cs="Times New Roman"/>
          <w:sz w:val="28"/>
          <w:szCs w:val="28"/>
          <w:lang w:val="ro-RO"/>
        </w:rPr>
        <w:t>r. 1. Lista componenței instituționale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 Comitetului se ține și se </w:t>
      </w:r>
      <w:r w:rsidR="00E921A2">
        <w:rPr>
          <w:rFonts w:ascii="Times New Roman" w:hAnsi="Times New Roman" w:cs="Times New Roman"/>
          <w:sz w:val="28"/>
          <w:szCs w:val="28"/>
          <w:lang w:val="ro-RO"/>
        </w:rPr>
        <w:t>actualizează</w:t>
      </w:r>
      <w:r w:rsidR="007C32F4">
        <w:rPr>
          <w:rFonts w:ascii="Times New Roman" w:hAnsi="Times New Roman" w:cs="Times New Roman"/>
          <w:sz w:val="28"/>
          <w:szCs w:val="28"/>
          <w:lang w:val="ro-RO"/>
        </w:rPr>
        <w:t>, la necesitate în baza dese</w:t>
      </w:r>
      <w:r w:rsidR="00B848C6">
        <w:rPr>
          <w:rFonts w:ascii="Times New Roman" w:hAnsi="Times New Roman" w:cs="Times New Roman"/>
          <w:sz w:val="28"/>
          <w:szCs w:val="28"/>
          <w:lang w:val="ro-RO"/>
        </w:rPr>
        <w:t xml:space="preserve">mnărilor efectuate de </w:t>
      </w:r>
      <w:r w:rsidR="007C32F4">
        <w:rPr>
          <w:rFonts w:ascii="Times New Roman" w:hAnsi="Times New Roman" w:cs="Times New Roman"/>
          <w:sz w:val="28"/>
          <w:szCs w:val="28"/>
          <w:lang w:val="ro-RO"/>
        </w:rPr>
        <w:t>instituțiile membre, de Agenția Națională pentru Siguranța Alimentelor.</w:t>
      </w:r>
      <w:r w:rsidR="00E90CBD">
        <w:rPr>
          <w:rFonts w:ascii="Times New Roman" w:hAnsi="Times New Roman" w:cs="Times New Roman"/>
          <w:sz w:val="28"/>
          <w:szCs w:val="28"/>
          <w:lang w:val="ro-RO"/>
        </w:rPr>
        <w:t xml:space="preserve"> Componența nominală va fi aprobată prin ordin de către directorul general a Agenției Naționale pentru Siguranța Alimentelor.</w:t>
      </w:r>
      <w:r w:rsidR="00B848C6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3B502617" w14:textId="0587B34D" w:rsidR="008B18A1" w:rsidRDefault="00FE27AE" w:rsidP="00FA332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6768">
        <w:rPr>
          <w:rFonts w:ascii="Times New Roman" w:hAnsi="Times New Roman" w:cs="Times New Roman"/>
          <w:sz w:val="28"/>
          <w:szCs w:val="28"/>
          <w:lang w:val="ro-RO"/>
        </w:rPr>
        <w:t>pct. 3</w:t>
      </w:r>
      <w:r w:rsidR="008B18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A332F">
        <w:rPr>
          <w:rFonts w:ascii="Times New Roman" w:hAnsi="Times New Roman" w:cs="Times New Roman"/>
          <w:sz w:val="28"/>
          <w:szCs w:val="28"/>
          <w:lang w:val="ro-RO"/>
        </w:rPr>
        <w:t>se abrogă</w:t>
      </w:r>
    </w:p>
    <w:p w14:paraId="49315B48" w14:textId="77777777" w:rsidR="00FA332F" w:rsidRDefault="00FA332F" w:rsidP="00FA332F">
      <w:pPr>
        <w:pStyle w:val="ListParagraph"/>
        <w:ind w:left="106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D598437" w14:textId="07C5EDEC" w:rsidR="00731D06" w:rsidRPr="008F6768" w:rsidRDefault="00687278" w:rsidP="00B745B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6768">
        <w:rPr>
          <w:rFonts w:ascii="Times New Roman" w:hAnsi="Times New Roman" w:cs="Times New Roman"/>
          <w:sz w:val="28"/>
          <w:szCs w:val="28"/>
          <w:lang w:val="ro-RO"/>
        </w:rPr>
        <w:t xml:space="preserve">pct. 5 </w:t>
      </w:r>
      <w:r w:rsidR="00731D06" w:rsidRPr="008F6768">
        <w:rPr>
          <w:rFonts w:ascii="Times New Roman" w:hAnsi="Times New Roman" w:cs="Times New Roman"/>
          <w:sz w:val="28"/>
          <w:szCs w:val="28"/>
          <w:lang w:val="ro-RO"/>
        </w:rPr>
        <w:t>va avea următorul cuprins:</w:t>
      </w:r>
    </w:p>
    <w:p w14:paraId="28CD1A60" w14:textId="515D3D79" w:rsidR="007A2AD7" w:rsidRDefault="00731D06" w:rsidP="00B745B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ab/>
        <w:t xml:space="preserve">„ Reședința Comitetului și punctul de contact cu Comisia Codex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Alimentar</w:t>
      </w:r>
      <w:r w:rsidR="000F2376">
        <w:rPr>
          <w:rFonts w:ascii="Times New Roman" w:hAnsi="Times New Roman" w:cs="Times New Roman"/>
          <w:sz w:val="28"/>
          <w:szCs w:val="28"/>
          <w:lang w:val="ro-RO"/>
        </w:rPr>
        <w:t>ius</w:t>
      </w:r>
      <w:proofErr w:type="spellEnd"/>
      <w:r w:rsidR="000F2376">
        <w:rPr>
          <w:rFonts w:ascii="Times New Roman" w:hAnsi="Times New Roman" w:cs="Times New Roman"/>
          <w:sz w:val="28"/>
          <w:szCs w:val="28"/>
          <w:lang w:val="ro-RO"/>
        </w:rPr>
        <w:t xml:space="preserve"> sunt amplasate în sediul Agenției Naționale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Siguranța Alimentelor, str. M</w:t>
      </w:r>
      <w:r w:rsidR="007A2AD7">
        <w:rPr>
          <w:rFonts w:ascii="Times New Roman" w:hAnsi="Times New Roman" w:cs="Times New Roman"/>
          <w:sz w:val="28"/>
          <w:szCs w:val="28"/>
          <w:lang w:val="ro-RO"/>
        </w:rPr>
        <w:t>ihail Kogălniceanu 63 MD-2009, mun. Chișinău, Republica Moldova.</w:t>
      </w:r>
    </w:p>
    <w:p w14:paraId="48A00FB8" w14:textId="77777777" w:rsidR="00AE6F26" w:rsidRDefault="00AE6F26" w:rsidP="00B745B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BCD30BE" w14:textId="77777777" w:rsidR="00AE6F26" w:rsidRDefault="00F32D3A" w:rsidP="00F32D3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pct. 7 va avea </w:t>
      </w:r>
      <w:r w:rsidR="00AE6F26">
        <w:rPr>
          <w:rFonts w:ascii="Times New Roman" w:hAnsi="Times New Roman" w:cs="Times New Roman"/>
          <w:sz w:val="28"/>
          <w:szCs w:val="28"/>
          <w:lang w:val="ro-RO"/>
        </w:rPr>
        <w:t>următorul cuprins:</w:t>
      </w:r>
    </w:p>
    <w:p w14:paraId="2E4F2F4A" w14:textId="619B496A" w:rsidR="00F32D3A" w:rsidRPr="00F32D3A" w:rsidRDefault="00AE6F26" w:rsidP="00AE6F26">
      <w:pPr>
        <w:pStyle w:val="ListParagraph"/>
        <w:ind w:left="106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„Comitetul își </w:t>
      </w:r>
      <w:r w:rsidR="00AA4FE0">
        <w:rPr>
          <w:rFonts w:ascii="Times New Roman" w:hAnsi="Times New Roman" w:cs="Times New Roman"/>
          <w:sz w:val="28"/>
          <w:szCs w:val="28"/>
          <w:lang w:val="ro-RO"/>
        </w:rPr>
        <w:t>convocă ședințele la necesitate, dar nu mai rar decât o dată în trimestru. Ședințele sunt deliberative dacă la ele participă cel puțin două treimi din membri, acest număr constituind</w:t>
      </w:r>
      <w:r w:rsidR="00680679">
        <w:rPr>
          <w:rFonts w:ascii="Times New Roman" w:hAnsi="Times New Roman" w:cs="Times New Roman"/>
          <w:sz w:val="28"/>
          <w:szCs w:val="28"/>
          <w:lang w:val="ro-RO"/>
        </w:rPr>
        <w:t xml:space="preserve"> cvorumul pentru adoptarea deciziilor.”</w:t>
      </w:r>
      <w:r w:rsidR="00AA4FE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32D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32D3A" w:rsidRPr="00F32D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B9EB59A" w14:textId="5905819A" w:rsidR="00B55D04" w:rsidRPr="00FE27AE" w:rsidRDefault="007A2AD7" w:rsidP="00B745BA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3F6D9C" w:rsidRPr="00FE27A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D16A3" w:rsidRPr="00FE27A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2F18B3E4" w14:textId="77777777" w:rsidR="00CD15EB" w:rsidRDefault="00742D4B" w:rsidP="00A16C8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pct. 8</w:t>
      </w:r>
      <w:r w:rsidR="008E3630">
        <w:rPr>
          <w:rFonts w:ascii="Times New Roman" w:hAnsi="Times New Roman" w:cs="Times New Roman"/>
          <w:sz w:val="28"/>
          <w:szCs w:val="28"/>
          <w:lang w:val="ro-RO"/>
        </w:rPr>
        <w:t xml:space="preserve"> – 14, subpunctele vor fi însemnate</w:t>
      </w:r>
      <w:r w:rsidR="00AC2608">
        <w:rPr>
          <w:rFonts w:ascii="Times New Roman" w:hAnsi="Times New Roman" w:cs="Times New Roman"/>
          <w:sz w:val="28"/>
          <w:szCs w:val="28"/>
          <w:lang w:val="ro-RO"/>
        </w:rPr>
        <w:t xml:space="preserve"> consecutiv</w:t>
      </w:r>
      <w:r w:rsidR="008E3630">
        <w:rPr>
          <w:rFonts w:ascii="Times New Roman" w:hAnsi="Times New Roman" w:cs="Times New Roman"/>
          <w:sz w:val="28"/>
          <w:szCs w:val="28"/>
          <w:lang w:val="ro-RO"/>
        </w:rPr>
        <w:t xml:space="preserve"> cu numere ordinare, exprimate prin cifre arabe,</w:t>
      </w:r>
      <w:r w:rsidR="00AC2608">
        <w:rPr>
          <w:rFonts w:ascii="Times New Roman" w:hAnsi="Times New Roman" w:cs="Times New Roman"/>
          <w:sz w:val="28"/>
          <w:szCs w:val="28"/>
          <w:lang w:val="ro-RO"/>
        </w:rPr>
        <w:t xml:space="preserve"> urmate de o paranteză, începând cu primul și terminând cu ultimul</w:t>
      </w:r>
      <w:r w:rsidR="00CD15EB">
        <w:rPr>
          <w:rFonts w:ascii="Times New Roman" w:hAnsi="Times New Roman" w:cs="Times New Roman"/>
          <w:sz w:val="28"/>
          <w:szCs w:val="28"/>
          <w:lang w:val="ro-RO"/>
        </w:rPr>
        <w:t>, de la începutul și până la sfârșitul actului normativ.</w:t>
      </w:r>
    </w:p>
    <w:p w14:paraId="1FE9B94D" w14:textId="77777777" w:rsidR="00FB1F3E" w:rsidRDefault="00FB1F3E" w:rsidP="00FB1F3E">
      <w:pPr>
        <w:pStyle w:val="ListParagraph"/>
        <w:ind w:left="106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61D769A" w14:textId="4ECB47D8" w:rsidR="00FB1F3E" w:rsidRDefault="001C7E06" w:rsidP="00A16C8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pct. 9, după cuvintele „Secretarul Comitetului”</w:t>
      </w:r>
      <w:r w:rsidR="00D537CB">
        <w:rPr>
          <w:rFonts w:ascii="Times New Roman" w:hAnsi="Times New Roman" w:cs="Times New Roman"/>
          <w:sz w:val="28"/>
          <w:szCs w:val="28"/>
          <w:lang w:val="ro-RO"/>
        </w:rPr>
        <w:t xml:space="preserve"> se completează cu cuvintele „care este și Punctul de Contact Codex”.</w:t>
      </w:r>
    </w:p>
    <w:p w14:paraId="0C7700EC" w14:textId="77777777" w:rsidR="002732D0" w:rsidRDefault="002732D0" w:rsidP="002732D0">
      <w:pPr>
        <w:pStyle w:val="ListParagraph"/>
        <w:ind w:left="106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28FF413" w14:textId="7FED953D" w:rsidR="0056192B" w:rsidRDefault="0011305D" w:rsidP="00A16C8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pct.</w:t>
      </w:r>
      <w:r w:rsidR="002732D0">
        <w:rPr>
          <w:rFonts w:ascii="Times New Roman" w:hAnsi="Times New Roman" w:cs="Times New Roman"/>
          <w:sz w:val="28"/>
          <w:szCs w:val="28"/>
          <w:lang w:val="ro-RO"/>
        </w:rPr>
        <w:t xml:space="preserve"> 11, cuvântul „neguvernamentale” se substituie cu cuvântul „nonguvernamentale”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14:paraId="2EBCBBE9" w14:textId="61B9F051" w:rsidR="00AE5F6D" w:rsidRDefault="008E3630" w:rsidP="00CD15EB">
      <w:pPr>
        <w:pStyle w:val="ListParagraph"/>
        <w:ind w:left="106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42D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147725D" w14:textId="375DD85E" w:rsidR="001C30AB" w:rsidRDefault="00EE488F" w:rsidP="00A16C8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32EAA">
        <w:rPr>
          <w:rFonts w:ascii="Times New Roman" w:hAnsi="Times New Roman" w:cs="Times New Roman"/>
          <w:sz w:val="28"/>
          <w:szCs w:val="28"/>
          <w:lang w:val="ro-RO"/>
        </w:rPr>
        <w:t xml:space="preserve">la pct. 14 se completează cu </w:t>
      </w:r>
      <w:proofErr w:type="spellStart"/>
      <w:r w:rsidR="00F32EAA">
        <w:rPr>
          <w:rFonts w:ascii="Times New Roman" w:hAnsi="Times New Roman" w:cs="Times New Roman"/>
          <w:sz w:val="28"/>
          <w:szCs w:val="28"/>
          <w:lang w:val="ro-RO"/>
        </w:rPr>
        <w:t>sbp</w:t>
      </w:r>
      <w:proofErr w:type="spellEnd"/>
      <w:r w:rsidR="00F32EAA">
        <w:rPr>
          <w:rFonts w:ascii="Times New Roman" w:hAnsi="Times New Roman" w:cs="Times New Roman"/>
          <w:sz w:val="28"/>
          <w:szCs w:val="28"/>
          <w:lang w:val="ro-RO"/>
        </w:rPr>
        <w:t>. 6) cu următorul cuprins:</w:t>
      </w:r>
    </w:p>
    <w:p w14:paraId="26425016" w14:textId="0815A08B" w:rsidR="00F32EAA" w:rsidRDefault="00F32EAA" w:rsidP="00F32EAA">
      <w:pPr>
        <w:pStyle w:val="ListParagraph"/>
        <w:ind w:left="106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„6) să atragă, la necesitate, în activitatea sa reprezentați a diverselor instituții de profil.”</w:t>
      </w:r>
    </w:p>
    <w:p w14:paraId="3B84AF6F" w14:textId="77777777" w:rsidR="001C30AB" w:rsidRDefault="001C30AB" w:rsidP="001C30AB">
      <w:pPr>
        <w:pStyle w:val="ListParagraph"/>
        <w:ind w:left="106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ADB6721" w14:textId="23EF7036" w:rsidR="00A6701D" w:rsidRPr="00A16C81" w:rsidRDefault="00131ED2" w:rsidP="00A16C8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16C81" w:rsidRPr="00A16C81">
        <w:rPr>
          <w:rFonts w:ascii="Times New Roman" w:hAnsi="Times New Roman" w:cs="Times New Roman"/>
          <w:sz w:val="28"/>
          <w:szCs w:val="28"/>
          <w:lang w:val="ro-RO"/>
        </w:rPr>
        <w:t>se comple</w:t>
      </w:r>
      <w:r w:rsidR="00A16C81">
        <w:rPr>
          <w:rFonts w:ascii="Times New Roman" w:hAnsi="Times New Roman" w:cs="Times New Roman"/>
          <w:sz w:val="28"/>
          <w:szCs w:val="28"/>
          <w:lang w:val="ro-RO"/>
        </w:rPr>
        <w:t xml:space="preserve">tează </w:t>
      </w:r>
      <w:r w:rsidR="00697D4F">
        <w:rPr>
          <w:rFonts w:ascii="Times New Roman" w:hAnsi="Times New Roman" w:cs="Times New Roman"/>
          <w:sz w:val="28"/>
          <w:szCs w:val="28"/>
          <w:lang w:val="ro-RO"/>
        </w:rPr>
        <w:t>cu A</w:t>
      </w:r>
      <w:r w:rsidR="00A16C81">
        <w:rPr>
          <w:rFonts w:ascii="Times New Roman" w:hAnsi="Times New Roman" w:cs="Times New Roman"/>
          <w:sz w:val="28"/>
          <w:szCs w:val="28"/>
          <w:lang w:val="ro-RO"/>
        </w:rPr>
        <w:t>nexa nr. 1 cu următorul cuprins:</w:t>
      </w:r>
    </w:p>
    <w:p w14:paraId="4856A82C" w14:textId="77777777" w:rsidR="00601F59" w:rsidRDefault="00601F59" w:rsidP="006A169B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14:paraId="3F7E7FBE" w14:textId="22367F7F" w:rsidR="006A169B" w:rsidRDefault="00697D4F" w:rsidP="006A169B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6A169B">
        <w:rPr>
          <w:rFonts w:ascii="Times New Roman" w:hAnsi="Times New Roman" w:cs="Times New Roman"/>
          <w:sz w:val="28"/>
          <w:szCs w:val="28"/>
          <w:lang w:val="ro-RO"/>
        </w:rPr>
        <w:t>Anexa nr. 1</w:t>
      </w:r>
    </w:p>
    <w:p w14:paraId="72F77B1B" w14:textId="77777777" w:rsidR="006A169B" w:rsidRDefault="006A169B" w:rsidP="006A169B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Hotărârea Guvernului</w:t>
      </w:r>
    </w:p>
    <w:p w14:paraId="1B3AA7E8" w14:textId="77777777" w:rsidR="006A169B" w:rsidRDefault="006A169B" w:rsidP="006A169B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Republicii Moldova nr. </w:t>
      </w:r>
    </w:p>
    <w:p w14:paraId="344834BE" w14:textId="77777777" w:rsidR="006A169B" w:rsidRDefault="006A169B" w:rsidP="006A169B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11C1F1C" w14:textId="77777777" w:rsidR="006A169B" w:rsidRDefault="00131D03" w:rsidP="002F2E9A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Componența instituțională</w:t>
      </w:r>
    </w:p>
    <w:p w14:paraId="3EE256F4" w14:textId="77777777" w:rsidR="00E34980" w:rsidRDefault="001D66C1" w:rsidP="002F2E9A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Comitetului</w:t>
      </w:r>
      <w:r w:rsidR="00E34980">
        <w:rPr>
          <w:rFonts w:ascii="Times New Roman" w:hAnsi="Times New Roman" w:cs="Times New Roman"/>
          <w:sz w:val="28"/>
          <w:szCs w:val="28"/>
          <w:lang w:val="ro-RO"/>
        </w:rPr>
        <w:t xml:space="preserve"> Național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Codex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</w:p>
    <w:p w14:paraId="0C2EAA0E" w14:textId="77777777" w:rsidR="00B70057" w:rsidRDefault="00B70057" w:rsidP="002F2E9A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53EA5A3" w14:textId="77777777" w:rsidR="002F2E9A" w:rsidRPr="00FB1281" w:rsidRDefault="00B70057" w:rsidP="007073BD">
      <w:pPr>
        <w:pStyle w:val="ListParagraph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Membrii Comitetului:</w:t>
      </w:r>
    </w:p>
    <w:p w14:paraId="7F655426" w14:textId="1F52545D" w:rsidR="00B70057" w:rsidRPr="00FB1281" w:rsidRDefault="00B70057" w:rsidP="007073BD">
      <w:pPr>
        <w:pStyle w:val="ListParagraph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1. </w:t>
      </w:r>
      <w:r w:rsidR="007A27E7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Age</w:t>
      </w:r>
      <w:r w:rsidR="008D3A0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nția </w:t>
      </w:r>
      <w:r w:rsidR="008D3A00" w:rsidRPr="008D3A0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Națională pentru Siguranța </w:t>
      </w:r>
      <w:r w:rsidR="001C5020" w:rsidRPr="008D3A0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Alimentelor</w:t>
      </w:r>
      <w:r w:rsidR="007A27E7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;</w:t>
      </w:r>
    </w:p>
    <w:p w14:paraId="6D5A3268" w14:textId="77777777" w:rsidR="007A27E7" w:rsidRPr="00FB1281" w:rsidRDefault="007E567D" w:rsidP="007073BD">
      <w:pPr>
        <w:pStyle w:val="ListParagraph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2. Ministerul Agriculturii și Industriei Alimentare;</w:t>
      </w:r>
    </w:p>
    <w:p w14:paraId="384CC2AF" w14:textId="77777777" w:rsidR="00DE448D" w:rsidRPr="00FB1281" w:rsidRDefault="00DE448D" w:rsidP="007073BD">
      <w:pPr>
        <w:pStyle w:val="ListParagraph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3. </w:t>
      </w:r>
      <w:r w:rsidR="007E567D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Agenția Națională pentru Sănătate Publică;</w:t>
      </w:r>
    </w:p>
    <w:p w14:paraId="73D573A3" w14:textId="77777777" w:rsidR="00DE448D" w:rsidRPr="00FB1281" w:rsidRDefault="00DE448D" w:rsidP="007073BD">
      <w:pPr>
        <w:pStyle w:val="ListParagraph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4. Ministerul Sănătății</w:t>
      </w:r>
      <w:r w:rsidR="007D7333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;</w:t>
      </w:r>
    </w:p>
    <w:p w14:paraId="5EC219AB" w14:textId="77777777" w:rsidR="003E0670" w:rsidRPr="00FB1281" w:rsidRDefault="007D7333" w:rsidP="007073BD">
      <w:pPr>
        <w:pStyle w:val="ListParagraph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5.</w:t>
      </w:r>
      <w:r w:rsidR="003E0670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Ministerul Mediului;</w:t>
      </w:r>
    </w:p>
    <w:p w14:paraId="575F8CDC" w14:textId="77777777" w:rsidR="008F633A" w:rsidRPr="00FB1281" w:rsidRDefault="008F633A" w:rsidP="007073BD">
      <w:pPr>
        <w:pStyle w:val="ListParagraph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6. Ministerul Dezvoltării Economice și </w:t>
      </w:r>
      <w:r w:rsidR="005034D2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Digitalizării;</w:t>
      </w:r>
    </w:p>
    <w:p w14:paraId="07ABC8AA" w14:textId="77777777" w:rsidR="00800BA2" w:rsidRPr="00FB1281" w:rsidRDefault="009572E9" w:rsidP="007073BD">
      <w:pPr>
        <w:pStyle w:val="ListParagraph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7</w:t>
      </w:r>
      <w:r w:rsidR="00800BA2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 Centrul Republican de Diagnostic Veterinar;</w:t>
      </w:r>
    </w:p>
    <w:p w14:paraId="643DD515" w14:textId="77777777" w:rsidR="009572E9" w:rsidRPr="00FB1281" w:rsidRDefault="009572E9" w:rsidP="007073BD">
      <w:pPr>
        <w:pStyle w:val="ListParagraph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lastRenderedPageBreak/>
        <w:t>8</w:t>
      </w:r>
      <w:r w:rsidR="00800BA2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 Centrul de Metrologie Aplicată și Certificare;</w:t>
      </w:r>
    </w:p>
    <w:p w14:paraId="332470BA" w14:textId="77777777" w:rsidR="009572E9" w:rsidRPr="00FB1281" w:rsidRDefault="009572E9" w:rsidP="007073BD">
      <w:pPr>
        <w:pStyle w:val="ListParagraph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9. Universitatea Tehnică a Moldovei;</w:t>
      </w:r>
    </w:p>
    <w:p w14:paraId="18057134" w14:textId="77777777" w:rsidR="00C6606C" w:rsidRPr="00FB1281" w:rsidRDefault="00BD6DCC" w:rsidP="007073BD">
      <w:pPr>
        <w:pStyle w:val="ListParagraph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10</w:t>
      </w:r>
      <w:r w:rsidR="00ED747C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. Institutul </w:t>
      </w:r>
      <w:r w:rsidR="00C6606C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de Standardizare din Moldova;</w:t>
      </w:r>
    </w:p>
    <w:p w14:paraId="23D4A55E" w14:textId="77777777" w:rsidR="00131D03" w:rsidRPr="00FB1281" w:rsidRDefault="00131D03" w:rsidP="007073BD">
      <w:pPr>
        <w:pStyle w:val="ListParagraph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11. Academia de Științe a Moldovei;</w:t>
      </w:r>
    </w:p>
    <w:p w14:paraId="2FD8D9F2" w14:textId="1FC5DEB1" w:rsidR="00800BA2" w:rsidRPr="00FB1281" w:rsidRDefault="00131D03" w:rsidP="007073BD">
      <w:pPr>
        <w:pStyle w:val="ListParagraph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12</w:t>
      </w:r>
      <w:r w:rsidR="003E0670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. </w:t>
      </w:r>
      <w:r w:rsidR="007E567D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Asociațiile</w:t>
      </w:r>
      <w:r w:rsidR="003E0670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profil</w:t>
      </w:r>
      <w:r w:rsidR="00C6606C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  <w:r w:rsidR="00697D4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”</w:t>
      </w:r>
    </w:p>
    <w:p w14:paraId="2D2DE7BD" w14:textId="77777777" w:rsidR="00B70057" w:rsidRPr="00FB1281" w:rsidRDefault="00B70057" w:rsidP="007073BD">
      <w:pPr>
        <w:pStyle w:val="ListParagraph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18DA727C" w14:textId="2A4BA1CD" w:rsidR="00F706B2" w:rsidRPr="007073BD" w:rsidRDefault="00F706B2" w:rsidP="007073B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1322744" w14:textId="0089FB85" w:rsidR="00F706B2" w:rsidRPr="00F706B2" w:rsidRDefault="00F706B2" w:rsidP="007073B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706B2">
        <w:rPr>
          <w:rFonts w:ascii="Times New Roman" w:hAnsi="Times New Roman" w:cs="Times New Roman"/>
          <w:sz w:val="28"/>
          <w:szCs w:val="28"/>
          <w:lang w:val="ro-RO"/>
        </w:rPr>
        <w:t>Se abrogă:</w:t>
      </w:r>
    </w:p>
    <w:p w14:paraId="1C1911BB" w14:textId="77C17C91" w:rsidR="00F706B2" w:rsidRPr="00B048EC" w:rsidRDefault="00F706B2" w:rsidP="00B048EC">
      <w:pPr>
        <w:pStyle w:val="ListParagraph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048EC">
        <w:rPr>
          <w:rFonts w:ascii="Times New Roman" w:hAnsi="Times New Roman" w:cs="Times New Roman"/>
          <w:sz w:val="28"/>
          <w:szCs w:val="28"/>
          <w:lang w:val="ro-RO"/>
        </w:rPr>
        <w:t xml:space="preserve">Hotărârea Guvernului Republicii Moldova nr. 866/1999 despre instituirea Comitetului Național Codex </w:t>
      </w:r>
      <w:proofErr w:type="spellStart"/>
      <w:r w:rsidRPr="00B048EC"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 w:rsidRPr="00B048EC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Moldova, 1999, nr. 106-108, art. 934);</w:t>
      </w:r>
    </w:p>
    <w:p w14:paraId="53F0A57B" w14:textId="77777777" w:rsidR="00F706B2" w:rsidRDefault="00F706B2" w:rsidP="00F706B2">
      <w:pPr>
        <w:pStyle w:val="ListParagraph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6BD023B" w14:textId="77777777" w:rsidR="00B048EC" w:rsidRPr="00F706B2" w:rsidRDefault="00B048EC" w:rsidP="00F706B2">
      <w:pPr>
        <w:pStyle w:val="ListParagraph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4627E46" w14:textId="77777777" w:rsidR="00F706B2" w:rsidRPr="00F706B2" w:rsidRDefault="00F706B2" w:rsidP="00F706B2">
      <w:pPr>
        <w:pStyle w:val="ListParagraph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706B2">
        <w:rPr>
          <w:rFonts w:ascii="Times New Roman" w:hAnsi="Times New Roman" w:cs="Times New Roman"/>
          <w:b/>
          <w:sz w:val="28"/>
          <w:szCs w:val="28"/>
          <w:lang w:val="ro-RO"/>
        </w:rPr>
        <w:t>Prim-ministru                                                         Dorin RECEAN</w:t>
      </w:r>
    </w:p>
    <w:p w14:paraId="11931E65" w14:textId="77777777" w:rsidR="00F706B2" w:rsidRPr="00F706B2" w:rsidRDefault="00F706B2" w:rsidP="00F706B2">
      <w:pPr>
        <w:pStyle w:val="ListParagraph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401CFCC" w14:textId="77777777" w:rsidR="00F706B2" w:rsidRPr="00F706B2" w:rsidRDefault="00F706B2" w:rsidP="00F706B2">
      <w:pPr>
        <w:pStyle w:val="ListParagraph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706B2">
        <w:rPr>
          <w:rFonts w:ascii="Times New Roman" w:hAnsi="Times New Roman" w:cs="Times New Roman"/>
          <w:sz w:val="28"/>
          <w:szCs w:val="28"/>
          <w:lang w:val="ro-RO"/>
        </w:rPr>
        <w:t>Contrasemnează:</w:t>
      </w:r>
    </w:p>
    <w:p w14:paraId="648DAD68" w14:textId="77777777" w:rsidR="00F706B2" w:rsidRPr="00F706B2" w:rsidRDefault="00F706B2" w:rsidP="00F706B2">
      <w:pPr>
        <w:pStyle w:val="ListParagraph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706B2">
        <w:rPr>
          <w:rFonts w:ascii="Times New Roman" w:hAnsi="Times New Roman" w:cs="Times New Roman"/>
          <w:sz w:val="28"/>
          <w:szCs w:val="28"/>
          <w:lang w:val="ro-RO"/>
        </w:rPr>
        <w:t xml:space="preserve">Viceprim-ministru, </w:t>
      </w:r>
    </w:p>
    <w:p w14:paraId="2A4268FE" w14:textId="77777777" w:rsidR="00F706B2" w:rsidRPr="00F706B2" w:rsidRDefault="00F706B2" w:rsidP="00F706B2">
      <w:pPr>
        <w:pStyle w:val="ListParagraph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706B2">
        <w:rPr>
          <w:rFonts w:ascii="Times New Roman" w:hAnsi="Times New Roman" w:cs="Times New Roman"/>
          <w:sz w:val="28"/>
          <w:szCs w:val="28"/>
          <w:lang w:val="ro-RO"/>
        </w:rPr>
        <w:t>Ministrul agriculturii și                                            Vladimir BOLEA</w:t>
      </w:r>
    </w:p>
    <w:p w14:paraId="0F66C256" w14:textId="50C29590" w:rsidR="00F706B2" w:rsidRPr="000567A7" w:rsidRDefault="00F706B2" w:rsidP="00B048EC">
      <w:pPr>
        <w:pStyle w:val="ListParagraph"/>
        <w:ind w:left="709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706B2">
        <w:rPr>
          <w:rFonts w:ascii="Times New Roman" w:hAnsi="Times New Roman" w:cs="Times New Roman"/>
          <w:sz w:val="28"/>
          <w:szCs w:val="28"/>
          <w:lang w:val="ro-RO"/>
        </w:rPr>
        <w:t>industriei alimentare</w:t>
      </w:r>
    </w:p>
    <w:sectPr w:rsidR="00F706B2" w:rsidRPr="000567A7" w:rsidSect="00565C7D">
      <w:pgSz w:w="11906" w:h="16838"/>
      <w:pgMar w:top="993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BFC"/>
    <w:multiLevelType w:val="hybridMultilevel"/>
    <w:tmpl w:val="9E9683C0"/>
    <w:lvl w:ilvl="0" w:tplc="C02CF7F4">
      <w:start w:val="1"/>
      <w:numFmt w:val="decimal"/>
      <w:lvlText w:val="%1."/>
      <w:lvlJc w:val="left"/>
      <w:pPr>
        <w:ind w:left="177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41A0173"/>
    <w:multiLevelType w:val="hybridMultilevel"/>
    <w:tmpl w:val="C526EF34"/>
    <w:lvl w:ilvl="0" w:tplc="1A022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06F1D89"/>
    <w:multiLevelType w:val="hybridMultilevel"/>
    <w:tmpl w:val="10CE0CD8"/>
    <w:lvl w:ilvl="0" w:tplc="C02CF7F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7ED6D9C"/>
    <w:multiLevelType w:val="hybridMultilevel"/>
    <w:tmpl w:val="D9A4220A"/>
    <w:lvl w:ilvl="0" w:tplc="CA828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84340"/>
    <w:multiLevelType w:val="hybridMultilevel"/>
    <w:tmpl w:val="8892AB8E"/>
    <w:lvl w:ilvl="0" w:tplc="CDB0922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95D492D"/>
    <w:multiLevelType w:val="hybridMultilevel"/>
    <w:tmpl w:val="31B07426"/>
    <w:lvl w:ilvl="0" w:tplc="CA82899E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3EB360F"/>
    <w:multiLevelType w:val="hybridMultilevel"/>
    <w:tmpl w:val="4ABED1D8"/>
    <w:lvl w:ilvl="0" w:tplc="0418000F">
      <w:start w:val="1"/>
      <w:numFmt w:val="decimal"/>
      <w:lvlText w:val="%1."/>
      <w:lvlJc w:val="left"/>
      <w:pPr>
        <w:ind w:left="1425" w:hanging="360"/>
      </w:p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6EC55C95"/>
    <w:multiLevelType w:val="hybridMultilevel"/>
    <w:tmpl w:val="24EE2092"/>
    <w:lvl w:ilvl="0" w:tplc="C02CF7F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67616"/>
    <w:multiLevelType w:val="hybridMultilevel"/>
    <w:tmpl w:val="E38C22C6"/>
    <w:lvl w:ilvl="0" w:tplc="7EC6FFB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7BE85586"/>
    <w:multiLevelType w:val="hybridMultilevel"/>
    <w:tmpl w:val="8FD6906C"/>
    <w:lvl w:ilvl="0" w:tplc="CA82899E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18"/>
    <w:rsid w:val="000251E8"/>
    <w:rsid w:val="000279EB"/>
    <w:rsid w:val="00043EA9"/>
    <w:rsid w:val="00047D03"/>
    <w:rsid w:val="0005102E"/>
    <w:rsid w:val="000567A7"/>
    <w:rsid w:val="0008108E"/>
    <w:rsid w:val="00090883"/>
    <w:rsid w:val="000D5790"/>
    <w:rsid w:val="000F0231"/>
    <w:rsid w:val="000F2376"/>
    <w:rsid w:val="0011305D"/>
    <w:rsid w:val="00131D03"/>
    <w:rsid w:val="00131ED2"/>
    <w:rsid w:val="00133D6E"/>
    <w:rsid w:val="00155A6B"/>
    <w:rsid w:val="00157318"/>
    <w:rsid w:val="00163D5F"/>
    <w:rsid w:val="00175D97"/>
    <w:rsid w:val="001A28CD"/>
    <w:rsid w:val="001B0CBC"/>
    <w:rsid w:val="001C30AB"/>
    <w:rsid w:val="001C41F9"/>
    <w:rsid w:val="001C5020"/>
    <w:rsid w:val="001C7E06"/>
    <w:rsid w:val="001D2021"/>
    <w:rsid w:val="001D66C1"/>
    <w:rsid w:val="00220347"/>
    <w:rsid w:val="0022107E"/>
    <w:rsid w:val="002247A1"/>
    <w:rsid w:val="00234D6A"/>
    <w:rsid w:val="00236DE8"/>
    <w:rsid w:val="00254E4C"/>
    <w:rsid w:val="00263093"/>
    <w:rsid w:val="00272CF2"/>
    <w:rsid w:val="002732D0"/>
    <w:rsid w:val="00282FF3"/>
    <w:rsid w:val="00292466"/>
    <w:rsid w:val="002B01B4"/>
    <w:rsid w:val="002D2249"/>
    <w:rsid w:val="002D4D73"/>
    <w:rsid w:val="002D5ACC"/>
    <w:rsid w:val="002D7B04"/>
    <w:rsid w:val="002E0E46"/>
    <w:rsid w:val="002F2E9A"/>
    <w:rsid w:val="0030238E"/>
    <w:rsid w:val="003066A7"/>
    <w:rsid w:val="00311230"/>
    <w:rsid w:val="003146A4"/>
    <w:rsid w:val="00323D90"/>
    <w:rsid w:val="003442A6"/>
    <w:rsid w:val="00352D30"/>
    <w:rsid w:val="00381FE9"/>
    <w:rsid w:val="0038490E"/>
    <w:rsid w:val="003A0C36"/>
    <w:rsid w:val="003A4CF3"/>
    <w:rsid w:val="003A69F7"/>
    <w:rsid w:val="003B51DF"/>
    <w:rsid w:val="003B5816"/>
    <w:rsid w:val="003C4E44"/>
    <w:rsid w:val="003C58F3"/>
    <w:rsid w:val="003C69C1"/>
    <w:rsid w:val="003E0670"/>
    <w:rsid w:val="003E37ED"/>
    <w:rsid w:val="003F54A6"/>
    <w:rsid w:val="003F6D9C"/>
    <w:rsid w:val="0040260A"/>
    <w:rsid w:val="004174D1"/>
    <w:rsid w:val="00457217"/>
    <w:rsid w:val="00475761"/>
    <w:rsid w:val="00476A36"/>
    <w:rsid w:val="00490071"/>
    <w:rsid w:val="00495146"/>
    <w:rsid w:val="00497E6B"/>
    <w:rsid w:val="004C5903"/>
    <w:rsid w:val="004D66DD"/>
    <w:rsid w:val="004D7BDF"/>
    <w:rsid w:val="005034D2"/>
    <w:rsid w:val="00503E36"/>
    <w:rsid w:val="005114A4"/>
    <w:rsid w:val="00521729"/>
    <w:rsid w:val="00527A8F"/>
    <w:rsid w:val="0053693E"/>
    <w:rsid w:val="0056192B"/>
    <w:rsid w:val="00565C7D"/>
    <w:rsid w:val="00580721"/>
    <w:rsid w:val="005842AD"/>
    <w:rsid w:val="005D38F5"/>
    <w:rsid w:val="00601F59"/>
    <w:rsid w:val="00604497"/>
    <w:rsid w:val="00606DD7"/>
    <w:rsid w:val="00630CE0"/>
    <w:rsid w:val="00640452"/>
    <w:rsid w:val="006542B2"/>
    <w:rsid w:val="00680679"/>
    <w:rsid w:val="00687278"/>
    <w:rsid w:val="00697D4F"/>
    <w:rsid w:val="00697D89"/>
    <w:rsid w:val="006A169B"/>
    <w:rsid w:val="006B14B4"/>
    <w:rsid w:val="006B2C58"/>
    <w:rsid w:val="006C3309"/>
    <w:rsid w:val="006D0578"/>
    <w:rsid w:val="006D10C6"/>
    <w:rsid w:val="006D5F36"/>
    <w:rsid w:val="006E607F"/>
    <w:rsid w:val="0070521F"/>
    <w:rsid w:val="007073BD"/>
    <w:rsid w:val="00720F37"/>
    <w:rsid w:val="007317DE"/>
    <w:rsid w:val="00731D06"/>
    <w:rsid w:val="00742D4B"/>
    <w:rsid w:val="0075026F"/>
    <w:rsid w:val="0079367B"/>
    <w:rsid w:val="007A2769"/>
    <w:rsid w:val="007A27E7"/>
    <w:rsid w:val="007A2AD7"/>
    <w:rsid w:val="007B1CDD"/>
    <w:rsid w:val="007B2201"/>
    <w:rsid w:val="007B7D7C"/>
    <w:rsid w:val="007C32F4"/>
    <w:rsid w:val="007D16A3"/>
    <w:rsid w:val="007D363B"/>
    <w:rsid w:val="007D7333"/>
    <w:rsid w:val="007E096A"/>
    <w:rsid w:val="007E567D"/>
    <w:rsid w:val="00800BA2"/>
    <w:rsid w:val="00806279"/>
    <w:rsid w:val="00810D4C"/>
    <w:rsid w:val="00840D25"/>
    <w:rsid w:val="00852A6A"/>
    <w:rsid w:val="00887254"/>
    <w:rsid w:val="00891CAA"/>
    <w:rsid w:val="00894499"/>
    <w:rsid w:val="008B18A1"/>
    <w:rsid w:val="008B1974"/>
    <w:rsid w:val="008D077D"/>
    <w:rsid w:val="008D3A00"/>
    <w:rsid w:val="008E0302"/>
    <w:rsid w:val="008E3630"/>
    <w:rsid w:val="008F633A"/>
    <w:rsid w:val="008F6768"/>
    <w:rsid w:val="00912A94"/>
    <w:rsid w:val="00915A47"/>
    <w:rsid w:val="00953026"/>
    <w:rsid w:val="009572E9"/>
    <w:rsid w:val="009633BD"/>
    <w:rsid w:val="00965B8A"/>
    <w:rsid w:val="009750CB"/>
    <w:rsid w:val="00977649"/>
    <w:rsid w:val="00997402"/>
    <w:rsid w:val="009A3C98"/>
    <w:rsid w:val="009C3A03"/>
    <w:rsid w:val="009E278E"/>
    <w:rsid w:val="009E736F"/>
    <w:rsid w:val="009F44FE"/>
    <w:rsid w:val="009F46EC"/>
    <w:rsid w:val="00A07838"/>
    <w:rsid w:val="00A10677"/>
    <w:rsid w:val="00A122F9"/>
    <w:rsid w:val="00A16C81"/>
    <w:rsid w:val="00A20855"/>
    <w:rsid w:val="00A23E0A"/>
    <w:rsid w:val="00A36C40"/>
    <w:rsid w:val="00A46051"/>
    <w:rsid w:val="00A55219"/>
    <w:rsid w:val="00A66B86"/>
    <w:rsid w:val="00A6701D"/>
    <w:rsid w:val="00A70E30"/>
    <w:rsid w:val="00A72F0F"/>
    <w:rsid w:val="00A74C18"/>
    <w:rsid w:val="00A77A2E"/>
    <w:rsid w:val="00A979A4"/>
    <w:rsid w:val="00AA4FE0"/>
    <w:rsid w:val="00AC15CD"/>
    <w:rsid w:val="00AC2608"/>
    <w:rsid w:val="00AC465D"/>
    <w:rsid w:val="00AD5981"/>
    <w:rsid w:val="00AD71A0"/>
    <w:rsid w:val="00AE5F6D"/>
    <w:rsid w:val="00AE6F26"/>
    <w:rsid w:val="00AF1A1D"/>
    <w:rsid w:val="00AF1E68"/>
    <w:rsid w:val="00B048EC"/>
    <w:rsid w:val="00B207F1"/>
    <w:rsid w:val="00B50017"/>
    <w:rsid w:val="00B55D04"/>
    <w:rsid w:val="00B61AE1"/>
    <w:rsid w:val="00B70057"/>
    <w:rsid w:val="00B745BA"/>
    <w:rsid w:val="00B848C6"/>
    <w:rsid w:val="00B96539"/>
    <w:rsid w:val="00BA0696"/>
    <w:rsid w:val="00BC6C9A"/>
    <w:rsid w:val="00BD6DCC"/>
    <w:rsid w:val="00BE6504"/>
    <w:rsid w:val="00BF09DC"/>
    <w:rsid w:val="00BF133A"/>
    <w:rsid w:val="00BF1EEC"/>
    <w:rsid w:val="00C12A49"/>
    <w:rsid w:val="00C162A5"/>
    <w:rsid w:val="00C26FD8"/>
    <w:rsid w:val="00C43A0F"/>
    <w:rsid w:val="00C52C13"/>
    <w:rsid w:val="00C6606C"/>
    <w:rsid w:val="00CB5544"/>
    <w:rsid w:val="00CB5EDC"/>
    <w:rsid w:val="00CC0315"/>
    <w:rsid w:val="00CC4FD9"/>
    <w:rsid w:val="00CD15EB"/>
    <w:rsid w:val="00D13B4E"/>
    <w:rsid w:val="00D17290"/>
    <w:rsid w:val="00D17718"/>
    <w:rsid w:val="00D2356C"/>
    <w:rsid w:val="00D46399"/>
    <w:rsid w:val="00D537CB"/>
    <w:rsid w:val="00D53A63"/>
    <w:rsid w:val="00D678C6"/>
    <w:rsid w:val="00D707B9"/>
    <w:rsid w:val="00DB2F9A"/>
    <w:rsid w:val="00DB6CAB"/>
    <w:rsid w:val="00DC1FED"/>
    <w:rsid w:val="00DC5DC4"/>
    <w:rsid w:val="00DE2569"/>
    <w:rsid w:val="00DE448D"/>
    <w:rsid w:val="00DE4C5A"/>
    <w:rsid w:val="00E06C27"/>
    <w:rsid w:val="00E201C4"/>
    <w:rsid w:val="00E34980"/>
    <w:rsid w:val="00E41BEF"/>
    <w:rsid w:val="00E45A06"/>
    <w:rsid w:val="00E46CB8"/>
    <w:rsid w:val="00E65A9C"/>
    <w:rsid w:val="00E726A9"/>
    <w:rsid w:val="00E72BF5"/>
    <w:rsid w:val="00E87DF1"/>
    <w:rsid w:val="00E90A0D"/>
    <w:rsid w:val="00E90CBD"/>
    <w:rsid w:val="00E921A2"/>
    <w:rsid w:val="00E969A6"/>
    <w:rsid w:val="00EA57FC"/>
    <w:rsid w:val="00ED231F"/>
    <w:rsid w:val="00ED747C"/>
    <w:rsid w:val="00EE3365"/>
    <w:rsid w:val="00EE488F"/>
    <w:rsid w:val="00F06D0C"/>
    <w:rsid w:val="00F32D3A"/>
    <w:rsid w:val="00F32EAA"/>
    <w:rsid w:val="00F42EE5"/>
    <w:rsid w:val="00F47200"/>
    <w:rsid w:val="00F4727A"/>
    <w:rsid w:val="00F660C1"/>
    <w:rsid w:val="00F706B2"/>
    <w:rsid w:val="00F733C6"/>
    <w:rsid w:val="00FA3084"/>
    <w:rsid w:val="00FA332F"/>
    <w:rsid w:val="00FA66C3"/>
    <w:rsid w:val="00FB1281"/>
    <w:rsid w:val="00FB1F3E"/>
    <w:rsid w:val="00FC164B"/>
    <w:rsid w:val="00FC2C91"/>
    <w:rsid w:val="00FE27AE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5A2F"/>
  <w15:chartTrackingRefBased/>
  <w15:docId w15:val="{B3FBB021-3BDC-4CA8-94AB-FEEAD799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1C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2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7D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327A4-68F9-475B-AEF5-FF4C874D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3</Pages>
  <Words>559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2024-06-20T07:41:00Z</cp:lastPrinted>
  <dcterms:created xsi:type="dcterms:W3CDTF">2024-04-15T13:59:00Z</dcterms:created>
  <dcterms:modified xsi:type="dcterms:W3CDTF">2024-06-20T08:53:00Z</dcterms:modified>
</cp:coreProperties>
</file>