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F4CFD" w14:textId="3931BF86" w:rsidR="001D1000" w:rsidRPr="007F2450" w:rsidRDefault="001D1000" w:rsidP="00B924ED">
      <w:pPr>
        <w:pStyle w:val="Header"/>
        <w:ind w:firstLine="0"/>
        <w:jc w:val="center"/>
        <w:rPr>
          <w:b/>
          <w:sz w:val="24"/>
          <w:szCs w:val="24"/>
          <w:lang w:val="ro-RO"/>
        </w:rPr>
      </w:pPr>
      <w:r w:rsidRPr="007F2450">
        <w:rPr>
          <w:b/>
          <w:sz w:val="24"/>
          <w:szCs w:val="24"/>
          <w:lang w:val="ro-RO"/>
        </w:rPr>
        <w:t>NOTĂ DE FUNDAMENTARE</w:t>
      </w:r>
    </w:p>
    <w:p w14:paraId="67597686" w14:textId="20047FF1" w:rsidR="005F0C47" w:rsidRPr="007F2450" w:rsidRDefault="001D1000" w:rsidP="00B924ED">
      <w:pPr>
        <w:ind w:firstLine="0"/>
        <w:jc w:val="center"/>
        <w:textAlignment w:val="baseline"/>
        <w:outlineLvl w:val="0"/>
        <w:rPr>
          <w:b/>
          <w:kern w:val="36"/>
          <w:sz w:val="24"/>
          <w:szCs w:val="24"/>
          <w:lang w:val="ro-RO" w:eastAsia="ru-RU"/>
        </w:rPr>
      </w:pPr>
      <w:r w:rsidRPr="007F2450">
        <w:rPr>
          <w:b/>
          <w:sz w:val="24"/>
          <w:szCs w:val="24"/>
          <w:lang w:val="ro-RO"/>
        </w:rPr>
        <w:t xml:space="preserve">la proiectul </w:t>
      </w:r>
      <w:r w:rsidR="007703A5" w:rsidRPr="007F2450">
        <w:rPr>
          <w:b/>
          <w:sz w:val="24"/>
          <w:szCs w:val="24"/>
          <w:lang w:val="ro-RO"/>
        </w:rPr>
        <w:t>h</w:t>
      </w:r>
      <w:r w:rsidRPr="007F2450">
        <w:rPr>
          <w:b/>
          <w:sz w:val="24"/>
          <w:szCs w:val="24"/>
          <w:lang w:val="ro-RO"/>
        </w:rPr>
        <w:t xml:space="preserve">otărârii Guvernului cu privire </w:t>
      </w:r>
      <w:r w:rsidRPr="007F2450">
        <w:rPr>
          <w:rFonts w:eastAsia="Calibri"/>
          <w:b/>
          <w:sz w:val="24"/>
          <w:szCs w:val="24"/>
          <w:lang w:val="ro-RO"/>
        </w:rPr>
        <w:t xml:space="preserve">la aprobarea </w:t>
      </w:r>
    </w:p>
    <w:p w14:paraId="1AA5D26B" w14:textId="77777777" w:rsidR="00A01E2D" w:rsidRDefault="005F0C47" w:rsidP="00A01E2D">
      <w:pPr>
        <w:ind w:firstLine="720"/>
        <w:jc w:val="center"/>
        <w:rPr>
          <w:b/>
          <w:sz w:val="24"/>
          <w:szCs w:val="24"/>
          <w:lang w:val="ro-RO"/>
        </w:rPr>
      </w:pPr>
      <w:r w:rsidRPr="007F2450">
        <w:rPr>
          <w:b/>
          <w:kern w:val="36"/>
          <w:sz w:val="24"/>
          <w:szCs w:val="24"/>
          <w:lang w:val="ro-RO" w:eastAsia="ru-RU"/>
        </w:rPr>
        <w:t xml:space="preserve">Metodologiei de calculare a taxelor </w:t>
      </w:r>
      <w:r w:rsidR="00A01E2D" w:rsidRPr="00A01E2D">
        <w:rPr>
          <w:b/>
          <w:sz w:val="24"/>
          <w:szCs w:val="24"/>
          <w:lang w:val="ro-RO"/>
        </w:rPr>
        <w:t xml:space="preserve">pentru serviciile </w:t>
      </w:r>
    </w:p>
    <w:p w14:paraId="127BCD28" w14:textId="66860BF7" w:rsidR="00A01E2D" w:rsidRPr="006F13B4" w:rsidRDefault="00A01E2D" w:rsidP="00A01E2D">
      <w:pPr>
        <w:ind w:firstLine="720"/>
        <w:jc w:val="center"/>
        <w:rPr>
          <w:b/>
          <w:bCs/>
          <w:sz w:val="28"/>
          <w:szCs w:val="28"/>
          <w:lang w:val="ro-RO" w:eastAsia="ru-RU"/>
        </w:rPr>
      </w:pPr>
      <w:r w:rsidRPr="00A01E2D">
        <w:rPr>
          <w:b/>
          <w:sz w:val="24"/>
          <w:szCs w:val="24"/>
          <w:lang w:val="ro-RO"/>
        </w:rPr>
        <w:t>de evaluare și acreditare în sănătate</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62"/>
      </w:tblGrid>
      <w:tr w:rsidR="00523806" w:rsidRPr="007F5BD2" w14:paraId="73C61EC9" w14:textId="77777777" w:rsidTr="00F20B74">
        <w:tc>
          <w:tcPr>
            <w:tcW w:w="906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07997ED" w14:textId="77777777" w:rsidR="00B159B4" w:rsidRPr="007F2450" w:rsidRDefault="00487B2B">
            <w:pPr>
              <w:rPr>
                <w:rFonts w:ascii="Times New Roman" w:hAnsi="Times New Roman"/>
                <w:b/>
                <w:bCs/>
                <w:sz w:val="24"/>
                <w:szCs w:val="24"/>
                <w:lang w:val="ro-RO"/>
              </w:rPr>
            </w:pPr>
            <w:r w:rsidRPr="007F2450">
              <w:rPr>
                <w:rFonts w:ascii="Times New Roman" w:hAnsi="Times New Roman"/>
                <w:b/>
                <w:bCs/>
                <w:sz w:val="24"/>
                <w:szCs w:val="24"/>
                <w:lang w:val="ro-RO"/>
              </w:rPr>
              <w:t>1. Denumirea sau numele autorului și, după caz, a/al participanților la elaborarea proiectului actului normativ</w:t>
            </w:r>
          </w:p>
        </w:tc>
      </w:tr>
      <w:tr w:rsidR="00523806" w:rsidRPr="007F5BD2" w14:paraId="6992158B"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97EDFF" w14:textId="7D2505B9" w:rsidR="00B159B4" w:rsidRPr="007F2450" w:rsidRDefault="005F0C47" w:rsidP="008861A3">
            <w:pPr>
              <w:ind w:firstLine="308"/>
              <w:textAlignment w:val="baseline"/>
              <w:outlineLvl w:val="0"/>
              <w:rPr>
                <w:rFonts w:ascii="Times New Roman" w:hAnsi="Times New Roman"/>
                <w:b/>
                <w:kern w:val="36"/>
                <w:sz w:val="24"/>
                <w:szCs w:val="24"/>
                <w:lang w:val="ro-RO" w:eastAsia="ru-RU"/>
              </w:rPr>
            </w:pPr>
            <w:r w:rsidRPr="007F2450">
              <w:rPr>
                <w:rFonts w:ascii="Times New Roman" w:hAnsi="Times New Roman"/>
                <w:sz w:val="24"/>
                <w:szCs w:val="24"/>
                <w:lang w:val="ro-RO"/>
              </w:rPr>
              <w:t xml:space="preserve">Proiectul </w:t>
            </w:r>
            <w:r w:rsidR="007703A5" w:rsidRPr="007F2450">
              <w:rPr>
                <w:rFonts w:ascii="Times New Roman" w:hAnsi="Times New Roman"/>
                <w:sz w:val="24"/>
                <w:szCs w:val="24"/>
                <w:lang w:val="ro-RO"/>
              </w:rPr>
              <w:t>h</w:t>
            </w:r>
            <w:r w:rsidRPr="007F2450">
              <w:rPr>
                <w:rFonts w:ascii="Times New Roman" w:hAnsi="Times New Roman"/>
                <w:sz w:val="24"/>
                <w:szCs w:val="24"/>
                <w:lang w:val="ro-RO"/>
              </w:rPr>
              <w:t xml:space="preserve">otărârii Guvernului „Cu privire la aprobarea Metodologiei de calculare a taxelor pentru </w:t>
            </w:r>
            <w:r w:rsidR="00A01E2D">
              <w:rPr>
                <w:rFonts w:ascii="Times New Roman" w:hAnsi="Times New Roman"/>
                <w:sz w:val="24"/>
                <w:szCs w:val="24"/>
                <w:lang w:val="ro-RO"/>
              </w:rPr>
              <w:t>serviciile</w:t>
            </w:r>
            <w:r w:rsidRPr="007F2450">
              <w:rPr>
                <w:rFonts w:ascii="Times New Roman" w:hAnsi="Times New Roman"/>
                <w:sz w:val="24"/>
                <w:szCs w:val="24"/>
                <w:lang w:val="ro-RO"/>
              </w:rPr>
              <w:t xml:space="preserve"> de evaluare şi acreditare în sănătate” a fost elaborat de către un grup de specialiști din cadrul Ministerului Sănătății și Consiliului Național de Evaluare și Acreditare în Sănătate (în continuare - CNEAS).</w:t>
            </w:r>
          </w:p>
        </w:tc>
      </w:tr>
      <w:tr w:rsidR="00523806" w:rsidRPr="007F5BD2" w14:paraId="611228BF"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4516165" w14:textId="77777777" w:rsidR="00B159B4" w:rsidRPr="007F2450" w:rsidRDefault="00487B2B">
            <w:pPr>
              <w:rPr>
                <w:rFonts w:ascii="Times New Roman" w:hAnsi="Times New Roman"/>
                <w:b/>
                <w:bCs/>
                <w:sz w:val="24"/>
                <w:szCs w:val="24"/>
                <w:lang w:val="ro-RO"/>
              </w:rPr>
            </w:pPr>
            <w:r w:rsidRPr="007F2450">
              <w:rPr>
                <w:rFonts w:ascii="Times New Roman" w:hAnsi="Times New Roman"/>
                <w:b/>
                <w:bCs/>
                <w:sz w:val="24"/>
                <w:szCs w:val="24"/>
                <w:lang w:val="ro-RO"/>
              </w:rPr>
              <w:t>2. Condițiile ce au impus elaborarea proiectului actului normativ</w:t>
            </w:r>
          </w:p>
        </w:tc>
      </w:tr>
      <w:tr w:rsidR="00523806" w:rsidRPr="007F5BD2" w14:paraId="18787926"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B2050D" w14:textId="77777777" w:rsidR="00B159B4" w:rsidRPr="007F2450" w:rsidRDefault="00487B2B">
            <w:pPr>
              <w:rPr>
                <w:rFonts w:ascii="Times New Roman" w:hAnsi="Times New Roman"/>
                <w:sz w:val="24"/>
                <w:szCs w:val="24"/>
                <w:lang w:val="ro-RO"/>
              </w:rPr>
            </w:pPr>
            <w:r w:rsidRPr="007F2450">
              <w:rPr>
                <w:rFonts w:ascii="Times New Roman" w:hAnsi="Times New Roman"/>
                <w:sz w:val="24"/>
                <w:szCs w:val="24"/>
                <w:lang w:val="ro-RO"/>
              </w:rPr>
              <w:t>2.1. Temeiul legal sau, după caz, sursa proiectului actului normativ</w:t>
            </w:r>
          </w:p>
        </w:tc>
      </w:tr>
      <w:tr w:rsidR="00523806" w:rsidRPr="007F5BD2" w14:paraId="2D7BEB17"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4CFC16" w14:textId="7A1A630C" w:rsidR="00872217" w:rsidRPr="00872217" w:rsidRDefault="007F5BD2" w:rsidP="00872217">
            <w:pPr>
              <w:pStyle w:val="ListParagraph"/>
              <w:tabs>
                <w:tab w:val="left" w:pos="567"/>
              </w:tabs>
              <w:ind w:left="0"/>
              <w:rPr>
                <w:rFonts w:ascii="Times New Roman" w:hAnsi="Times New Roman"/>
                <w:sz w:val="24"/>
                <w:szCs w:val="24"/>
                <w:lang w:val="ro-RO" w:eastAsia="ru-RU"/>
              </w:rPr>
            </w:pPr>
            <w:r>
              <w:rPr>
                <w:rFonts w:ascii="Times New Roman" w:hAnsi="Times New Roman"/>
                <w:sz w:val="24"/>
                <w:szCs w:val="24"/>
                <w:lang w:val="ro-RO" w:eastAsia="ru-RU"/>
              </w:rPr>
              <w:t>Elaborarea proiectului în cauză</w:t>
            </w:r>
            <w:r w:rsidRPr="007F2450">
              <w:rPr>
                <w:rFonts w:ascii="Times New Roman" w:hAnsi="Times New Roman"/>
                <w:sz w:val="24"/>
                <w:szCs w:val="24"/>
                <w:lang w:val="ro-RO" w:eastAsia="ru-RU"/>
              </w:rPr>
              <w:t xml:space="preserve">, rezultă din modificările operate la art. 12, alineatul (4) al </w:t>
            </w:r>
            <w:r>
              <w:rPr>
                <w:rFonts w:ascii="Times New Roman" w:hAnsi="Times New Roman"/>
                <w:sz w:val="24"/>
                <w:szCs w:val="24"/>
                <w:lang w:val="ro-RO" w:eastAsia="ru-RU"/>
              </w:rPr>
              <w:t>Legii</w:t>
            </w:r>
            <w:r w:rsidRPr="007F2450">
              <w:rPr>
                <w:rFonts w:ascii="Times New Roman" w:hAnsi="Times New Roman"/>
                <w:sz w:val="24"/>
                <w:szCs w:val="24"/>
                <w:lang w:val="ro-RO" w:eastAsia="ru-RU"/>
              </w:rPr>
              <w:t xml:space="preserve"> nr. 552/2001 privind evalu</w:t>
            </w:r>
            <w:r>
              <w:rPr>
                <w:rFonts w:ascii="Times New Roman" w:hAnsi="Times New Roman"/>
                <w:sz w:val="24"/>
                <w:szCs w:val="24"/>
                <w:lang w:val="ro-RO" w:eastAsia="ru-RU"/>
              </w:rPr>
              <w:t>area și acreditarea în sănătate prin Legea nr.227/2024</w:t>
            </w:r>
            <w:r w:rsidR="00872217">
              <w:rPr>
                <w:rFonts w:ascii="Times New Roman" w:hAnsi="Times New Roman"/>
                <w:sz w:val="24"/>
                <w:szCs w:val="24"/>
                <w:lang w:val="ro-RO" w:eastAsia="ru-RU"/>
              </w:rPr>
              <w:t xml:space="preserve">, care prevede că, </w:t>
            </w:r>
            <w:r w:rsidR="00872217" w:rsidRPr="00872217">
              <w:rPr>
                <w:rFonts w:ascii="Times New Roman" w:hAnsi="Times New Roman"/>
                <w:sz w:val="24"/>
                <w:szCs w:val="24"/>
                <w:lang w:val="ro-RO" w:eastAsia="ru-RU"/>
              </w:rPr>
              <w:t>m</w:t>
            </w:r>
            <w:r w:rsidR="00872217" w:rsidRPr="00872217">
              <w:rPr>
                <w:rFonts w:ascii="Times New Roman" w:hAnsi="Times New Roman"/>
                <w:sz w:val="24"/>
                <w:szCs w:val="24"/>
                <w:lang w:val="ro-RO" w:eastAsia="ru-RU"/>
              </w:rPr>
              <w:t>etodologia de calculare a taxelor pentru prestarea serviciilor de evaluare și acreditare în sănătate se aprobă de către Guvern, iar taxele –</w:t>
            </w:r>
            <w:r w:rsidR="00872217">
              <w:rPr>
                <w:rFonts w:ascii="Times New Roman" w:hAnsi="Times New Roman"/>
                <w:sz w:val="24"/>
                <w:szCs w:val="24"/>
                <w:lang w:val="ro-RO" w:eastAsia="ru-RU"/>
              </w:rPr>
              <w:t xml:space="preserve"> de către Ministerul Sănătății.</w:t>
            </w:r>
          </w:p>
          <w:p w14:paraId="0A605A7C" w14:textId="5C782B45" w:rsidR="007F5BD2" w:rsidRPr="007F5BD2" w:rsidRDefault="00872217" w:rsidP="00751C1F">
            <w:pPr>
              <w:ind w:firstLine="308"/>
              <w:rPr>
                <w:rFonts w:ascii="Times New Roman" w:hAnsi="Times New Roman"/>
                <w:sz w:val="24"/>
                <w:szCs w:val="24"/>
                <w:lang w:val="ro-RO" w:eastAsia="ru-RU"/>
              </w:rPr>
            </w:pPr>
            <w:r>
              <w:rPr>
                <w:rFonts w:ascii="Times New Roman" w:hAnsi="Times New Roman"/>
                <w:sz w:val="24"/>
                <w:szCs w:val="24"/>
                <w:lang w:val="ro-RO" w:eastAsia="ru-RU"/>
              </w:rPr>
              <w:t>Totodată, p</w:t>
            </w:r>
            <w:r w:rsidRPr="007F2450">
              <w:rPr>
                <w:rFonts w:ascii="Times New Roman" w:hAnsi="Times New Roman"/>
                <w:sz w:val="24"/>
                <w:szCs w:val="24"/>
                <w:lang w:val="ro-RO" w:eastAsia="ru-RU"/>
              </w:rPr>
              <w:t>roiectul a fost elaborat</w:t>
            </w:r>
            <w:r>
              <w:rPr>
                <w:rFonts w:ascii="Times New Roman" w:hAnsi="Times New Roman"/>
                <w:bCs/>
                <w:sz w:val="24"/>
                <w:szCs w:val="24"/>
                <w:lang w:val="ro-RO"/>
              </w:rPr>
              <w:t xml:space="preserve"> </w:t>
            </w:r>
            <w:r>
              <w:rPr>
                <w:rFonts w:ascii="Times New Roman" w:hAnsi="Times New Roman"/>
                <w:bCs/>
                <w:sz w:val="24"/>
                <w:szCs w:val="24"/>
                <w:lang w:val="ro-RO"/>
              </w:rPr>
              <w:t xml:space="preserve">și </w:t>
            </w:r>
            <w:r w:rsidRPr="007F2450">
              <w:rPr>
                <w:rFonts w:ascii="Times New Roman" w:hAnsi="Times New Roman"/>
                <w:sz w:val="24"/>
                <w:szCs w:val="24"/>
                <w:lang w:val="ro-RO" w:eastAsia="ru-RU"/>
              </w:rPr>
              <w:t>întru executarea acțiunii nr. 483 din Planul de acțiuni al Guvernului pentru anul 2024, aprobat prin Hotărârea Guvernului nr. 887/2023.</w:t>
            </w:r>
          </w:p>
        </w:tc>
      </w:tr>
      <w:tr w:rsidR="00523806" w:rsidRPr="007F5BD2" w14:paraId="1D9E8C14"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0CC6DD6" w14:textId="77777777" w:rsidR="00367DD2" w:rsidRPr="007F2450" w:rsidRDefault="00367DD2" w:rsidP="00367DD2">
            <w:pPr>
              <w:rPr>
                <w:rFonts w:ascii="Times New Roman" w:hAnsi="Times New Roman"/>
                <w:sz w:val="24"/>
                <w:szCs w:val="24"/>
                <w:lang w:val="ro-RO"/>
              </w:rPr>
            </w:pPr>
            <w:r w:rsidRPr="007F2450">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523806" w:rsidRPr="007F5BD2" w14:paraId="06D903EF" w14:textId="77777777" w:rsidTr="009F64EE">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3F07" w14:textId="77777777" w:rsidR="00D10FA2" w:rsidRPr="007F2450" w:rsidRDefault="00D10FA2" w:rsidP="00D10FA2">
            <w:pPr>
              <w:ind w:firstLine="311"/>
              <w:rPr>
                <w:rFonts w:ascii="Times New Roman" w:hAnsi="Times New Roman"/>
                <w:sz w:val="24"/>
                <w:szCs w:val="24"/>
                <w:lang w:val="ro-RO"/>
              </w:rPr>
            </w:pPr>
            <w:r w:rsidRPr="007F2450">
              <w:rPr>
                <w:rFonts w:ascii="Times New Roman" w:hAnsi="Times New Roman"/>
                <w:sz w:val="24"/>
                <w:szCs w:val="24"/>
                <w:lang w:val="ro-RO"/>
              </w:rPr>
              <w:t>Evaluarea și acreditarea în sănătate se aplică ca mecanism prin care statul evaluează capacitatea funcţională, organizațională și administrativă a prestatorilor de servicii medicale în acordarea serviciilor de sănătate calitative, într-un mediu sigur.</w:t>
            </w:r>
          </w:p>
          <w:p w14:paraId="6750C063" w14:textId="4838410D" w:rsidR="00D10FA2" w:rsidRPr="007F2450" w:rsidRDefault="00D10FA2" w:rsidP="00D10FA2">
            <w:pPr>
              <w:ind w:firstLine="311"/>
              <w:rPr>
                <w:rFonts w:ascii="Times New Roman" w:hAnsi="Times New Roman"/>
                <w:sz w:val="24"/>
                <w:szCs w:val="24"/>
                <w:lang w:val="ro-RO"/>
              </w:rPr>
            </w:pPr>
            <w:r w:rsidRPr="007F2450">
              <w:rPr>
                <w:rFonts w:ascii="Times New Roman" w:hAnsi="Times New Roman"/>
                <w:sz w:val="24"/>
                <w:szCs w:val="24"/>
                <w:lang w:val="ro-RO"/>
              </w:rPr>
              <w:t>Prin Hotărârea Guvernului nr. 186/2024 cu privire la organizarea și funcționarea Consiliului Național de Eval</w:t>
            </w:r>
            <w:r w:rsidR="001B362F">
              <w:rPr>
                <w:rFonts w:ascii="Times New Roman" w:hAnsi="Times New Roman"/>
                <w:sz w:val="24"/>
                <w:szCs w:val="24"/>
                <w:lang w:val="ro-RO"/>
              </w:rPr>
              <w:t>uare și Acreditare în Sănătate</w:t>
            </w:r>
            <w:r w:rsidRPr="007F2450">
              <w:rPr>
                <w:rFonts w:ascii="Times New Roman" w:hAnsi="Times New Roman"/>
                <w:sz w:val="24"/>
                <w:szCs w:val="24"/>
                <w:lang w:val="ro-RO"/>
              </w:rPr>
              <w:t xml:space="preserve"> a fost instituit</w:t>
            </w:r>
            <w:r w:rsidR="001B362F">
              <w:rPr>
                <w:rFonts w:ascii="Times New Roman" w:hAnsi="Times New Roman"/>
                <w:sz w:val="24"/>
                <w:szCs w:val="24"/>
                <w:lang w:val="ro-RO"/>
              </w:rPr>
              <w:t xml:space="preserve"> CNEAS</w:t>
            </w:r>
            <w:r w:rsidRPr="007F2450">
              <w:rPr>
                <w:rFonts w:ascii="Times New Roman" w:hAnsi="Times New Roman"/>
                <w:sz w:val="24"/>
                <w:szCs w:val="24"/>
                <w:lang w:val="ro-RO"/>
              </w:rPr>
              <w:t xml:space="preserve">, ca </w:t>
            </w:r>
            <w:r w:rsidR="001B362F">
              <w:rPr>
                <w:rFonts w:ascii="Times New Roman" w:hAnsi="Times New Roman"/>
                <w:sz w:val="24"/>
                <w:szCs w:val="24"/>
                <w:lang w:val="ro-RO"/>
              </w:rPr>
              <w:t xml:space="preserve">o </w:t>
            </w:r>
            <w:r w:rsidRPr="007F2450">
              <w:rPr>
                <w:rFonts w:ascii="Times New Roman" w:hAnsi="Times New Roman"/>
                <w:sz w:val="24"/>
                <w:szCs w:val="24"/>
                <w:lang w:val="ro-RO"/>
              </w:rPr>
              <w:t>instituție publică no</w:t>
            </w:r>
            <w:r w:rsidR="001B362F">
              <w:rPr>
                <w:rFonts w:ascii="Times New Roman" w:hAnsi="Times New Roman"/>
                <w:sz w:val="24"/>
                <w:szCs w:val="24"/>
                <w:lang w:val="ro-RO"/>
              </w:rPr>
              <w:t>uă</w:t>
            </w:r>
            <w:r w:rsidRPr="007F2450">
              <w:rPr>
                <w:rFonts w:ascii="Times New Roman" w:hAnsi="Times New Roman"/>
                <w:sz w:val="24"/>
                <w:szCs w:val="24"/>
                <w:lang w:val="ro-RO"/>
              </w:rPr>
              <w:t>, responsabilă de evaluarea și acreditarea în sănătate, cu statut de persoană juridică ce funcționează pe principii de autogestiune și nonprofit.</w:t>
            </w:r>
            <w:bookmarkStart w:id="0" w:name="_GoBack"/>
            <w:bookmarkEnd w:id="0"/>
          </w:p>
          <w:p w14:paraId="1FF195CB" w14:textId="3C05ADFE" w:rsidR="00D10FA2" w:rsidRPr="007F2450" w:rsidRDefault="00D10FA2" w:rsidP="00D10FA2">
            <w:pPr>
              <w:ind w:firstLine="311"/>
              <w:rPr>
                <w:rFonts w:ascii="Times New Roman" w:hAnsi="Times New Roman"/>
                <w:bCs/>
                <w:sz w:val="24"/>
                <w:szCs w:val="24"/>
                <w:lang w:val="ro-RO"/>
              </w:rPr>
            </w:pPr>
            <w:r w:rsidRPr="007F2450">
              <w:rPr>
                <w:rFonts w:ascii="Times New Roman" w:hAnsi="Times New Roman"/>
                <w:bCs/>
                <w:sz w:val="24"/>
                <w:szCs w:val="24"/>
                <w:lang w:val="ro-RO"/>
              </w:rPr>
              <w:t>Conform cadrului normativ, pentru evaluarea şi acreditarea prestatorilor de servicii medicale, indiferent de tipul de proprietate și forma juridică de organizare, CNEAS selectează, din rândul persoanelor incluse în Registrul experţilor evaluatori în sănătate, echipe de experţi evaluatori, care realizează nemijlocit evaluarea prestatorilor</w:t>
            </w:r>
            <w:r w:rsidRPr="007F2450">
              <w:rPr>
                <w:lang w:val="ro-RO"/>
              </w:rPr>
              <w:t xml:space="preserve"> </w:t>
            </w:r>
            <w:r w:rsidRPr="007F2450">
              <w:rPr>
                <w:rFonts w:ascii="Times New Roman" w:hAnsi="Times New Roman"/>
                <w:bCs/>
                <w:sz w:val="24"/>
                <w:szCs w:val="24"/>
                <w:lang w:val="ro-RO"/>
              </w:rPr>
              <w:t>de servicii medicale. Remunerarea experților evaluatori se realizează în baza contractului de prestări servicii încheiat cu directorul C</w:t>
            </w:r>
            <w:r w:rsidR="00777A8A" w:rsidRPr="007F2450">
              <w:rPr>
                <w:rFonts w:ascii="Times New Roman" w:hAnsi="Times New Roman"/>
                <w:bCs/>
                <w:sz w:val="24"/>
                <w:szCs w:val="24"/>
                <w:lang w:val="ro-RO"/>
              </w:rPr>
              <w:t>NEAS</w:t>
            </w:r>
            <w:r w:rsidRPr="007F2450">
              <w:rPr>
                <w:rFonts w:ascii="Times New Roman" w:hAnsi="Times New Roman"/>
                <w:bCs/>
                <w:sz w:val="24"/>
                <w:szCs w:val="24"/>
                <w:lang w:val="ro-RO"/>
              </w:rPr>
              <w:t>, din resursele financiare acumulate urmare a plăților efectuate către CNEAS de prestatorii de servicii medicale, conform taxelor aprobate.</w:t>
            </w:r>
          </w:p>
          <w:p w14:paraId="00162230" w14:textId="49759DD7" w:rsidR="00D10FA2" w:rsidRPr="007F2450" w:rsidRDefault="00D10FA2" w:rsidP="00D10FA2">
            <w:pPr>
              <w:tabs>
                <w:tab w:val="left" w:pos="884"/>
                <w:tab w:val="left" w:pos="1196"/>
              </w:tabs>
              <w:ind w:firstLine="311"/>
              <w:rPr>
                <w:rFonts w:ascii="Times New Roman" w:hAnsi="Times New Roman"/>
                <w:sz w:val="24"/>
                <w:szCs w:val="24"/>
                <w:lang w:val="ro-RO"/>
              </w:rPr>
            </w:pPr>
            <w:r w:rsidRPr="007F2450">
              <w:rPr>
                <w:rFonts w:ascii="Times New Roman" w:hAnsi="Times New Roman"/>
                <w:sz w:val="24"/>
                <w:szCs w:val="24"/>
                <w:lang w:val="ro-RO"/>
              </w:rPr>
              <w:t>În baza modificări</w:t>
            </w:r>
            <w:r w:rsidR="00AC1E35" w:rsidRPr="007F2450">
              <w:rPr>
                <w:rFonts w:ascii="Times New Roman" w:hAnsi="Times New Roman"/>
                <w:sz w:val="24"/>
                <w:szCs w:val="24"/>
                <w:lang w:val="ro-RO"/>
              </w:rPr>
              <w:t>lor</w:t>
            </w:r>
            <w:r w:rsidRPr="007F2450">
              <w:rPr>
                <w:rFonts w:ascii="Times New Roman" w:hAnsi="Times New Roman"/>
                <w:sz w:val="24"/>
                <w:szCs w:val="24"/>
                <w:lang w:val="ro-RO"/>
              </w:rPr>
              <w:t xml:space="preserve"> operate la Legea nr. 552/2001 privind evaluarea și acreditarea în sănătate </w:t>
            </w:r>
            <w:r w:rsidR="00D871CF">
              <w:rPr>
                <w:rFonts w:ascii="Times New Roman" w:hAnsi="Times New Roman"/>
                <w:sz w:val="24"/>
                <w:szCs w:val="24"/>
                <w:lang w:val="ro-RO" w:eastAsia="ru-RU"/>
              </w:rPr>
              <w:t>prin Legea nr.227/2024</w:t>
            </w:r>
            <w:r w:rsidR="00D871CF">
              <w:rPr>
                <w:rFonts w:ascii="Times New Roman" w:hAnsi="Times New Roman"/>
                <w:sz w:val="24"/>
                <w:szCs w:val="24"/>
                <w:lang w:val="ro-RO" w:eastAsia="ru-RU"/>
              </w:rPr>
              <w:t xml:space="preserve">, </w:t>
            </w:r>
            <w:r w:rsidR="00C74A84">
              <w:rPr>
                <w:rFonts w:ascii="Times New Roman" w:hAnsi="Times New Roman"/>
                <w:sz w:val="24"/>
                <w:szCs w:val="24"/>
                <w:lang w:val="ro-RO"/>
              </w:rPr>
              <w:t>m</w:t>
            </w:r>
            <w:r w:rsidRPr="007F2450">
              <w:rPr>
                <w:rFonts w:ascii="Times New Roman" w:hAnsi="Times New Roman"/>
                <w:sz w:val="24"/>
                <w:szCs w:val="24"/>
                <w:lang w:val="ro-RO"/>
              </w:rPr>
              <w:t xml:space="preserve">etodologia de calculare a taxelor pentru </w:t>
            </w:r>
            <w:r w:rsidR="001B362F">
              <w:rPr>
                <w:rFonts w:ascii="Times New Roman" w:hAnsi="Times New Roman"/>
                <w:sz w:val="24"/>
                <w:szCs w:val="24"/>
                <w:lang w:val="ro-RO"/>
              </w:rPr>
              <w:t>serviciile</w:t>
            </w:r>
            <w:r w:rsidRPr="007F2450">
              <w:rPr>
                <w:rFonts w:ascii="Times New Roman" w:hAnsi="Times New Roman"/>
                <w:sz w:val="24"/>
                <w:szCs w:val="24"/>
                <w:lang w:val="ro-RO"/>
              </w:rPr>
              <w:t xml:space="preserve"> de evaluare și acreditare în sănătate</w:t>
            </w:r>
            <w:r w:rsidR="00B4429D" w:rsidRPr="007F2450">
              <w:rPr>
                <w:rFonts w:ascii="Times New Roman" w:hAnsi="Times New Roman"/>
                <w:sz w:val="24"/>
                <w:szCs w:val="24"/>
                <w:lang w:val="ro-RO"/>
              </w:rPr>
              <w:t xml:space="preserve"> se aprobă de către Guvern, </w:t>
            </w:r>
            <w:r w:rsidRPr="007F2450">
              <w:rPr>
                <w:rFonts w:ascii="Times New Roman" w:hAnsi="Times New Roman"/>
                <w:sz w:val="24"/>
                <w:szCs w:val="24"/>
                <w:lang w:val="ro-RO"/>
              </w:rPr>
              <w:t>iar taxele – de către Ministerul Sănătății.</w:t>
            </w:r>
            <w:r w:rsidRPr="007F2450">
              <w:rPr>
                <w:lang w:val="ro-RO"/>
              </w:rPr>
              <w:t xml:space="preserve"> </w:t>
            </w:r>
          </w:p>
          <w:p w14:paraId="6C2A316C" w14:textId="61C3DA64" w:rsidR="00D10FA2" w:rsidRPr="007F2450" w:rsidRDefault="00D10FA2" w:rsidP="00D10FA2">
            <w:pPr>
              <w:tabs>
                <w:tab w:val="left" w:pos="884"/>
                <w:tab w:val="left" w:pos="1196"/>
              </w:tabs>
              <w:ind w:firstLine="311"/>
              <w:rPr>
                <w:rFonts w:ascii="Times New Roman" w:hAnsi="Times New Roman"/>
                <w:strike/>
                <w:sz w:val="24"/>
                <w:szCs w:val="24"/>
                <w:lang w:val="ro-RO"/>
              </w:rPr>
            </w:pPr>
            <w:r w:rsidRPr="007F2450">
              <w:rPr>
                <w:rFonts w:ascii="Times New Roman" w:hAnsi="Times New Roman"/>
                <w:sz w:val="24"/>
                <w:szCs w:val="24"/>
                <w:lang w:val="ro-RO"/>
              </w:rPr>
              <w:t>În același timp, merită de subliniat că, taxele menționate supra nu au fost revizuite de circa</w:t>
            </w:r>
            <w:r w:rsidR="009B5892">
              <w:rPr>
                <w:rFonts w:ascii="Times New Roman" w:hAnsi="Times New Roman"/>
                <w:sz w:val="24"/>
                <w:szCs w:val="24"/>
                <w:lang w:val="ro-RO"/>
              </w:rPr>
              <w:t xml:space="preserve"> </w:t>
            </w:r>
            <w:r w:rsidRPr="007F2450">
              <w:rPr>
                <w:rFonts w:ascii="Times New Roman" w:hAnsi="Times New Roman"/>
                <w:sz w:val="24"/>
                <w:szCs w:val="24"/>
                <w:lang w:val="ro-RO"/>
              </w:rPr>
              <w:t>16 ani, timp în care au avut loc multiple majorări ale prețurilor atât la bunuri și servicii (energie termică, energie electrică, combustibil, rechizite de birou etc.), precum și a cheltuiel</w:t>
            </w:r>
            <w:r w:rsidR="009B5892">
              <w:rPr>
                <w:rFonts w:ascii="Times New Roman" w:hAnsi="Times New Roman"/>
                <w:sz w:val="24"/>
                <w:szCs w:val="24"/>
                <w:lang w:val="ro-RO"/>
              </w:rPr>
              <w:t xml:space="preserve">ilor pentru retribuirea muncii, </w:t>
            </w:r>
            <w:r w:rsidRPr="007F2450">
              <w:rPr>
                <w:rFonts w:ascii="Times New Roman" w:hAnsi="Times New Roman"/>
                <w:sz w:val="24"/>
                <w:szCs w:val="24"/>
                <w:lang w:val="ro-RO"/>
              </w:rPr>
              <w:t xml:space="preserve">fapt ce creează impedimente în asigurarea </w:t>
            </w:r>
            <w:r w:rsidRPr="007F2450">
              <w:rPr>
                <w:rFonts w:ascii="Times New Roman" w:hAnsi="Times New Roman"/>
                <w:sz w:val="24"/>
                <w:szCs w:val="24"/>
                <w:shd w:val="clear" w:color="auto" w:fill="FFFFFF"/>
                <w:lang w:val="ro-RO"/>
              </w:rPr>
              <w:t>implementării politicii statului în domeniul evaluării conformității serviciilor medicale și acreditării prestatorilor de servicii medicale</w:t>
            </w:r>
            <w:r w:rsidR="006D588D" w:rsidRPr="007F2450">
              <w:rPr>
                <w:rFonts w:ascii="Times New Roman" w:hAnsi="Times New Roman"/>
                <w:sz w:val="24"/>
                <w:szCs w:val="24"/>
                <w:shd w:val="clear" w:color="auto" w:fill="FFFFFF"/>
                <w:lang w:val="ro-RO"/>
              </w:rPr>
              <w:t>.</w:t>
            </w:r>
          </w:p>
          <w:p w14:paraId="29B6FFF6" w14:textId="7ED2709E" w:rsidR="00D10FA2" w:rsidRPr="007F2450" w:rsidRDefault="00D10FA2" w:rsidP="00D10FA2">
            <w:pPr>
              <w:tabs>
                <w:tab w:val="left" w:pos="884"/>
                <w:tab w:val="left" w:pos="1196"/>
              </w:tabs>
              <w:ind w:firstLine="311"/>
              <w:rPr>
                <w:rFonts w:ascii="Times New Roman" w:hAnsi="Times New Roman"/>
                <w:sz w:val="24"/>
                <w:szCs w:val="24"/>
                <w:lang w:val="ro-RO"/>
              </w:rPr>
            </w:pPr>
            <w:r w:rsidRPr="007F2450">
              <w:rPr>
                <w:rFonts w:ascii="Times New Roman" w:hAnsi="Times New Roman"/>
                <w:sz w:val="24"/>
                <w:szCs w:val="24"/>
                <w:lang w:val="ro-RO"/>
              </w:rPr>
              <w:t>De asemenea, merită de menționat că, actualmente conform cadrului normativ</w:t>
            </w:r>
            <w:r w:rsidR="00652A9E">
              <w:rPr>
                <w:rFonts w:ascii="Times New Roman" w:hAnsi="Times New Roman"/>
                <w:sz w:val="24"/>
                <w:szCs w:val="24"/>
                <w:lang w:val="ro-RO"/>
              </w:rPr>
              <w:t>,</w:t>
            </w:r>
            <w:r w:rsidRPr="007F2450">
              <w:rPr>
                <w:rFonts w:ascii="Times New Roman" w:hAnsi="Times New Roman"/>
                <w:sz w:val="24"/>
                <w:szCs w:val="24"/>
                <w:lang w:val="ro-RO"/>
              </w:rPr>
              <w:t xml:space="preserve"> taxa pentru evaluare și acreditare se achită de către prestatorii de servicii medicale fără a fi luate în considerație numărul de filiale, subdiviziuni, cu adrese fizice diferite, care necesită să fie evaluate de către CNEAS. În cazul unor prestatori, acest număr de filiale este de circa 20-40. Astfel, în prezent evaluarea acestora nu este acoperită financiar de către prestatorul de</w:t>
            </w:r>
            <w:r w:rsidR="00652A9E">
              <w:rPr>
                <w:rFonts w:ascii="Times New Roman" w:hAnsi="Times New Roman"/>
                <w:sz w:val="24"/>
                <w:szCs w:val="24"/>
                <w:lang w:val="ro-RO"/>
              </w:rPr>
              <w:t xml:space="preserve"> </w:t>
            </w:r>
            <w:r w:rsidR="00652A9E">
              <w:rPr>
                <w:rFonts w:ascii="Times New Roman" w:hAnsi="Times New Roman"/>
                <w:sz w:val="24"/>
                <w:szCs w:val="24"/>
                <w:lang w:val="ro-RO"/>
              </w:rPr>
              <w:lastRenderedPageBreak/>
              <w:t xml:space="preserve">servicii medicale (cheltuielile de personal pentru </w:t>
            </w:r>
            <w:r w:rsidRPr="007F2450">
              <w:rPr>
                <w:rFonts w:ascii="Times New Roman" w:hAnsi="Times New Roman"/>
                <w:sz w:val="24"/>
                <w:szCs w:val="24"/>
                <w:lang w:val="ro-RO"/>
              </w:rPr>
              <w:t>experți</w:t>
            </w:r>
            <w:r w:rsidR="00652A9E">
              <w:rPr>
                <w:rFonts w:ascii="Times New Roman" w:hAnsi="Times New Roman"/>
                <w:sz w:val="24"/>
                <w:szCs w:val="24"/>
                <w:lang w:val="ro-RO"/>
              </w:rPr>
              <w:t>i</w:t>
            </w:r>
            <w:r w:rsidRPr="007F2450">
              <w:rPr>
                <w:rFonts w:ascii="Times New Roman" w:hAnsi="Times New Roman"/>
                <w:sz w:val="24"/>
                <w:szCs w:val="24"/>
                <w:lang w:val="ro-RO"/>
              </w:rPr>
              <w:t xml:space="preserve"> evaluatori,</w:t>
            </w:r>
            <w:r w:rsidR="00652A9E">
              <w:rPr>
                <w:rFonts w:ascii="Times New Roman" w:hAnsi="Times New Roman"/>
                <w:sz w:val="24"/>
                <w:szCs w:val="24"/>
                <w:lang w:val="ro-RO"/>
              </w:rPr>
              <w:t xml:space="preserve"> pentru </w:t>
            </w:r>
            <w:r w:rsidRPr="007F2450">
              <w:rPr>
                <w:rFonts w:ascii="Times New Roman" w:hAnsi="Times New Roman"/>
                <w:sz w:val="24"/>
                <w:szCs w:val="24"/>
                <w:lang w:val="ro-RO"/>
              </w:rPr>
              <w:t>deplasare</w:t>
            </w:r>
            <w:r w:rsidR="00652A9E">
              <w:rPr>
                <w:rFonts w:ascii="Times New Roman" w:hAnsi="Times New Roman"/>
                <w:sz w:val="24"/>
                <w:szCs w:val="24"/>
                <w:lang w:val="ro-RO"/>
              </w:rPr>
              <w:t>a</w:t>
            </w:r>
            <w:r w:rsidRPr="007F2450">
              <w:rPr>
                <w:rFonts w:ascii="Times New Roman" w:hAnsi="Times New Roman"/>
                <w:sz w:val="24"/>
                <w:szCs w:val="24"/>
                <w:lang w:val="ro-RO"/>
              </w:rPr>
              <w:t xml:space="preserve"> la fața locului a echipei de experți evaluatori pentru evaluarea propriu zisă a prestatorului amplasat în diferite zone geografice), fapt ce </w:t>
            </w:r>
            <w:r w:rsidR="00AB01CB" w:rsidRPr="007F2450">
              <w:rPr>
                <w:rFonts w:ascii="Times New Roman" w:hAnsi="Times New Roman"/>
                <w:sz w:val="24"/>
                <w:szCs w:val="24"/>
                <w:lang w:val="ro-RO"/>
              </w:rPr>
              <w:t xml:space="preserve">creează impedimente în desfășurarea unei evaluări obiective, etapizate, în timp suficient </w:t>
            </w:r>
            <w:r w:rsidRPr="007F2450">
              <w:rPr>
                <w:rFonts w:ascii="Times New Roman" w:hAnsi="Times New Roman"/>
                <w:sz w:val="24"/>
                <w:szCs w:val="24"/>
                <w:lang w:val="ro-RO"/>
              </w:rPr>
              <w:t xml:space="preserve">și </w:t>
            </w:r>
            <w:r w:rsidR="00AB01CB" w:rsidRPr="007F2450">
              <w:rPr>
                <w:rFonts w:ascii="Times New Roman" w:hAnsi="Times New Roman"/>
                <w:sz w:val="24"/>
                <w:szCs w:val="24"/>
                <w:lang w:val="ro-RO"/>
              </w:rPr>
              <w:t xml:space="preserve">duce </w:t>
            </w:r>
            <w:r w:rsidR="00726A30" w:rsidRPr="007F2450">
              <w:rPr>
                <w:rFonts w:ascii="Times New Roman" w:hAnsi="Times New Roman"/>
                <w:sz w:val="24"/>
                <w:szCs w:val="24"/>
                <w:lang w:val="ro-RO"/>
              </w:rPr>
              <w:t xml:space="preserve">totodată, </w:t>
            </w:r>
            <w:r w:rsidRPr="007F2450">
              <w:rPr>
                <w:rFonts w:ascii="Times New Roman" w:hAnsi="Times New Roman"/>
                <w:sz w:val="24"/>
                <w:szCs w:val="24"/>
                <w:lang w:val="ro-RO"/>
              </w:rPr>
              <w:t xml:space="preserve">la agravarea situației financiare a </w:t>
            </w:r>
            <w:proofErr w:type="spellStart"/>
            <w:r w:rsidRPr="007F2450">
              <w:rPr>
                <w:rFonts w:ascii="Times New Roman" w:hAnsi="Times New Roman"/>
                <w:sz w:val="24"/>
                <w:szCs w:val="24"/>
                <w:lang w:val="ro-RO"/>
              </w:rPr>
              <w:t>CNEAS-lui</w:t>
            </w:r>
            <w:proofErr w:type="spellEnd"/>
            <w:r w:rsidRPr="007F2450">
              <w:rPr>
                <w:rFonts w:ascii="Times New Roman" w:hAnsi="Times New Roman"/>
                <w:sz w:val="24"/>
                <w:szCs w:val="24"/>
                <w:lang w:val="ro-RO"/>
              </w:rPr>
              <w:t xml:space="preserve">. </w:t>
            </w:r>
          </w:p>
          <w:p w14:paraId="752E3599" w14:textId="506BB98E" w:rsidR="00E0327B" w:rsidRPr="007F2450" w:rsidRDefault="00D10FA2" w:rsidP="00E0327B">
            <w:pPr>
              <w:tabs>
                <w:tab w:val="left" w:pos="884"/>
                <w:tab w:val="left" w:pos="1196"/>
              </w:tabs>
              <w:ind w:firstLine="311"/>
              <w:rPr>
                <w:rFonts w:ascii="Times New Roman" w:hAnsi="Times New Roman"/>
                <w:strike/>
                <w:sz w:val="24"/>
                <w:szCs w:val="24"/>
                <w:lang w:val="ro-RO"/>
              </w:rPr>
            </w:pPr>
            <w:r w:rsidRPr="007F2450">
              <w:rPr>
                <w:rFonts w:ascii="Times New Roman" w:hAnsi="Times New Roman"/>
                <w:sz w:val="24"/>
                <w:szCs w:val="24"/>
                <w:lang w:val="ro-RO"/>
              </w:rPr>
              <w:t xml:space="preserve">În același timp, </w:t>
            </w:r>
            <w:r w:rsidR="00726A30" w:rsidRPr="007F2450">
              <w:rPr>
                <w:rFonts w:ascii="Times New Roman" w:hAnsi="Times New Roman"/>
                <w:sz w:val="24"/>
                <w:szCs w:val="24"/>
                <w:lang w:val="ro-RO"/>
              </w:rPr>
              <w:t xml:space="preserve">menționăm că </w:t>
            </w:r>
            <w:r w:rsidRPr="007F2450">
              <w:rPr>
                <w:rFonts w:ascii="Times New Roman" w:hAnsi="Times New Roman"/>
                <w:sz w:val="24"/>
                <w:szCs w:val="24"/>
                <w:lang w:val="ro-RO"/>
              </w:rPr>
              <w:t xml:space="preserve">în prezent nu există o Metodologie cu privire la modalitatea de calculare a taxelor pentru </w:t>
            </w:r>
            <w:r w:rsidR="00720555">
              <w:rPr>
                <w:rFonts w:ascii="Times New Roman" w:hAnsi="Times New Roman"/>
                <w:sz w:val="24"/>
                <w:szCs w:val="24"/>
                <w:lang w:val="ro-RO"/>
              </w:rPr>
              <w:t>serviciile</w:t>
            </w:r>
            <w:r w:rsidRPr="007F2450">
              <w:rPr>
                <w:rFonts w:ascii="Times New Roman" w:hAnsi="Times New Roman"/>
                <w:sz w:val="24"/>
                <w:szCs w:val="24"/>
                <w:lang w:val="ro-RO"/>
              </w:rPr>
              <w:t xml:space="preserve"> de evaluare </w:t>
            </w:r>
            <w:r w:rsidR="00720555">
              <w:rPr>
                <w:rFonts w:ascii="Times New Roman" w:hAnsi="Times New Roman"/>
                <w:sz w:val="24"/>
                <w:szCs w:val="24"/>
                <w:lang w:val="ro-RO"/>
              </w:rPr>
              <w:t xml:space="preserve">și acreditare </w:t>
            </w:r>
            <w:r w:rsidRPr="007F2450">
              <w:rPr>
                <w:rFonts w:ascii="Times New Roman" w:hAnsi="Times New Roman"/>
                <w:sz w:val="24"/>
                <w:szCs w:val="24"/>
                <w:lang w:val="ro-RO"/>
              </w:rPr>
              <w:t>a presatorilor de servicii medicale (aceasta a fost abrogată în anul 2018).</w:t>
            </w:r>
            <w:r w:rsidRPr="007F2450">
              <w:rPr>
                <w:rFonts w:ascii="Times New Roman" w:hAnsi="Times New Roman"/>
                <w:strike/>
                <w:sz w:val="24"/>
                <w:szCs w:val="24"/>
                <w:lang w:val="ro-RO"/>
              </w:rPr>
              <w:t xml:space="preserve"> </w:t>
            </w:r>
          </w:p>
          <w:p w14:paraId="66708CDE" w14:textId="5702C98B" w:rsidR="00D10FA2" w:rsidRPr="007F2450" w:rsidRDefault="00D10FA2" w:rsidP="00FA1F10">
            <w:pPr>
              <w:tabs>
                <w:tab w:val="left" w:pos="884"/>
                <w:tab w:val="left" w:pos="1196"/>
              </w:tabs>
              <w:ind w:firstLine="311"/>
              <w:rPr>
                <w:rFonts w:ascii="Times New Roman" w:hAnsi="Times New Roman"/>
                <w:strike/>
                <w:sz w:val="24"/>
                <w:szCs w:val="24"/>
                <w:lang w:val="ro-RO"/>
              </w:rPr>
            </w:pPr>
            <w:r w:rsidRPr="007F2450">
              <w:rPr>
                <w:rFonts w:ascii="Times New Roman" w:hAnsi="Times New Roman"/>
                <w:sz w:val="24"/>
                <w:szCs w:val="24"/>
                <w:lang w:val="ro-RO"/>
              </w:rPr>
              <w:t>În</w:t>
            </w:r>
            <w:r w:rsidR="00726A30" w:rsidRPr="007F2450">
              <w:rPr>
                <w:rFonts w:ascii="Times New Roman" w:hAnsi="Times New Roman"/>
                <w:sz w:val="24"/>
                <w:szCs w:val="24"/>
                <w:lang w:val="ro-RO"/>
              </w:rPr>
              <w:t xml:space="preserve"> acest context</w:t>
            </w:r>
            <w:r w:rsidRPr="007F2450">
              <w:rPr>
                <w:rFonts w:ascii="Times New Roman" w:hAnsi="Times New Roman"/>
                <w:sz w:val="24"/>
                <w:szCs w:val="24"/>
                <w:lang w:val="ro-RO"/>
              </w:rPr>
              <w:t>, având în vederea argumentele expuse, a devenit necesară elaborarea și promovarea</w:t>
            </w:r>
            <w:r w:rsidR="00720555">
              <w:rPr>
                <w:rFonts w:ascii="Times New Roman" w:hAnsi="Times New Roman"/>
                <w:sz w:val="24"/>
                <w:szCs w:val="24"/>
                <w:lang w:val="ro-RO"/>
              </w:rPr>
              <w:t>,</w:t>
            </w:r>
            <w:r w:rsidRPr="007F2450">
              <w:rPr>
                <w:rFonts w:ascii="Times New Roman" w:hAnsi="Times New Roman"/>
                <w:sz w:val="24"/>
                <w:szCs w:val="24"/>
                <w:lang w:val="ro-RO"/>
              </w:rPr>
              <w:t xml:space="preserve"> în modul corespunzător</w:t>
            </w:r>
            <w:r w:rsidR="00720555">
              <w:rPr>
                <w:rFonts w:ascii="Times New Roman" w:hAnsi="Times New Roman"/>
                <w:sz w:val="24"/>
                <w:szCs w:val="24"/>
                <w:lang w:val="ro-RO"/>
              </w:rPr>
              <w:t>,</w:t>
            </w:r>
            <w:r w:rsidRPr="007F2450">
              <w:rPr>
                <w:rFonts w:ascii="Times New Roman" w:hAnsi="Times New Roman"/>
                <w:sz w:val="24"/>
                <w:szCs w:val="24"/>
                <w:lang w:val="ro-RO"/>
              </w:rPr>
              <w:t xml:space="preserve"> a proiectului Hotărârii de Guvern „Cu privire la aprobarea Metodologiei de calculare a taxelor pentru </w:t>
            </w:r>
            <w:r w:rsidR="00FA1F10">
              <w:rPr>
                <w:rFonts w:ascii="Times New Roman" w:hAnsi="Times New Roman"/>
                <w:sz w:val="24"/>
                <w:szCs w:val="24"/>
                <w:lang w:val="ro-RO"/>
              </w:rPr>
              <w:t>serviciile</w:t>
            </w:r>
            <w:r w:rsidRPr="007F2450">
              <w:rPr>
                <w:rFonts w:ascii="Times New Roman" w:hAnsi="Times New Roman"/>
                <w:sz w:val="24"/>
                <w:szCs w:val="24"/>
                <w:lang w:val="ro-RO"/>
              </w:rPr>
              <w:t xml:space="preserve"> de evaluare şi acreditare în sănătate”.</w:t>
            </w:r>
            <w:r w:rsidRPr="007F2450">
              <w:rPr>
                <w:lang w:val="ro-RO"/>
              </w:rPr>
              <w:t xml:space="preserve"> </w:t>
            </w:r>
          </w:p>
        </w:tc>
      </w:tr>
      <w:tr w:rsidR="00523806" w:rsidRPr="007F5BD2" w14:paraId="020AA03F"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788EC9" w14:textId="77777777" w:rsidR="00D10FA2" w:rsidRPr="007F2450" w:rsidRDefault="00D10FA2" w:rsidP="00D10FA2">
            <w:pPr>
              <w:rPr>
                <w:rFonts w:ascii="Times New Roman" w:hAnsi="Times New Roman"/>
                <w:b/>
                <w:bCs/>
                <w:sz w:val="24"/>
                <w:szCs w:val="24"/>
                <w:lang w:val="ro-RO"/>
              </w:rPr>
            </w:pPr>
            <w:r w:rsidRPr="007F2450">
              <w:rPr>
                <w:rFonts w:ascii="Times New Roman" w:hAnsi="Times New Roman"/>
                <w:b/>
                <w:bCs/>
                <w:sz w:val="24"/>
                <w:szCs w:val="24"/>
                <w:lang w:val="ro-RO"/>
              </w:rPr>
              <w:lastRenderedPageBreak/>
              <w:t>3. Obiectivele urmărite și soluțiile propuse</w:t>
            </w:r>
          </w:p>
        </w:tc>
      </w:tr>
      <w:tr w:rsidR="00523806" w:rsidRPr="007F5BD2" w14:paraId="0D8B1A3F"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CB24196" w14:textId="77777777" w:rsidR="00D10FA2" w:rsidRPr="007F2450" w:rsidRDefault="00D10FA2" w:rsidP="00D10FA2">
            <w:pPr>
              <w:rPr>
                <w:rFonts w:ascii="Times New Roman" w:hAnsi="Times New Roman"/>
                <w:sz w:val="24"/>
                <w:szCs w:val="24"/>
                <w:lang w:val="ro-RO"/>
              </w:rPr>
            </w:pPr>
            <w:r w:rsidRPr="007F2450">
              <w:rPr>
                <w:rFonts w:ascii="Times New Roman" w:hAnsi="Times New Roman"/>
                <w:sz w:val="24"/>
                <w:szCs w:val="24"/>
                <w:lang w:val="ro-RO"/>
              </w:rPr>
              <w:t>3.1. Principalele prevederi ale proiectului și evidențierea elementelor noi</w:t>
            </w:r>
          </w:p>
        </w:tc>
      </w:tr>
      <w:tr w:rsidR="00523806" w:rsidRPr="007F5BD2" w14:paraId="78260B61" w14:textId="77777777" w:rsidTr="00BA0B9B">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1186" w14:textId="4B5B3A13" w:rsidR="00E0327B" w:rsidRPr="007F2450" w:rsidRDefault="006706E7" w:rsidP="00E0327B">
            <w:pPr>
              <w:tabs>
                <w:tab w:val="left" w:pos="884"/>
                <w:tab w:val="left" w:pos="1196"/>
              </w:tabs>
              <w:ind w:firstLine="311"/>
              <w:rPr>
                <w:rFonts w:ascii="Times New Roman" w:hAnsi="Times New Roman"/>
                <w:strike/>
                <w:sz w:val="24"/>
                <w:szCs w:val="24"/>
                <w:lang w:val="ro-RO"/>
              </w:rPr>
            </w:pPr>
            <w:r w:rsidRPr="007F2450">
              <w:rPr>
                <w:rFonts w:ascii="Times New Roman" w:hAnsi="Times New Roman"/>
                <w:sz w:val="24"/>
                <w:szCs w:val="24"/>
                <w:lang w:val="ro-RO"/>
              </w:rPr>
              <w:t>În scopul stabilirii principiil</w:t>
            </w:r>
            <w:r w:rsidR="001E4B9E" w:rsidRPr="007F2450">
              <w:rPr>
                <w:rFonts w:ascii="Times New Roman" w:hAnsi="Times New Roman"/>
                <w:sz w:val="24"/>
                <w:szCs w:val="24"/>
                <w:lang w:val="ro-RO"/>
              </w:rPr>
              <w:t>or</w:t>
            </w:r>
            <w:r w:rsidRPr="007F2450">
              <w:rPr>
                <w:rFonts w:ascii="Times New Roman" w:hAnsi="Times New Roman"/>
                <w:sz w:val="24"/>
                <w:szCs w:val="24"/>
                <w:lang w:val="ro-RO"/>
              </w:rPr>
              <w:t xml:space="preserve"> unice de calculare a taxelor pentru serviciile de evaluare și acreditare în sănătate prestate de către </w:t>
            </w:r>
            <w:r w:rsidR="00F5290E">
              <w:rPr>
                <w:rFonts w:ascii="Times New Roman" w:hAnsi="Times New Roman"/>
                <w:sz w:val="24"/>
                <w:szCs w:val="24"/>
                <w:lang w:val="ro-RO"/>
              </w:rPr>
              <w:t>CNEAS</w:t>
            </w:r>
            <w:r w:rsidRPr="007F2450">
              <w:rPr>
                <w:rFonts w:ascii="Times New Roman" w:hAnsi="Times New Roman"/>
                <w:sz w:val="24"/>
                <w:szCs w:val="24"/>
                <w:lang w:val="ro-RO"/>
              </w:rPr>
              <w:t xml:space="preserve"> se propune</w:t>
            </w:r>
            <w:r w:rsidR="00F47D9E" w:rsidRPr="007F2450">
              <w:rPr>
                <w:rFonts w:ascii="Times New Roman" w:hAnsi="Times New Roman"/>
                <w:sz w:val="24"/>
                <w:szCs w:val="24"/>
                <w:lang w:val="ro-RO"/>
              </w:rPr>
              <w:t xml:space="preserve"> </w:t>
            </w:r>
            <w:r w:rsidR="00E0327B" w:rsidRPr="007F2450">
              <w:rPr>
                <w:rFonts w:ascii="Times New Roman" w:hAnsi="Times New Roman"/>
                <w:sz w:val="24"/>
                <w:szCs w:val="24"/>
                <w:lang w:val="ro-RO"/>
              </w:rPr>
              <w:t xml:space="preserve">aprobarea Metodologiei de calculare a taxelor pentru </w:t>
            </w:r>
            <w:r w:rsidR="00F5290E">
              <w:rPr>
                <w:rFonts w:ascii="Times New Roman" w:hAnsi="Times New Roman"/>
                <w:sz w:val="24"/>
                <w:szCs w:val="24"/>
                <w:lang w:val="ro-RO"/>
              </w:rPr>
              <w:t>serviciile</w:t>
            </w:r>
            <w:r w:rsidR="00E0327B" w:rsidRPr="007F2450">
              <w:rPr>
                <w:rFonts w:ascii="Times New Roman" w:hAnsi="Times New Roman"/>
                <w:sz w:val="24"/>
                <w:szCs w:val="24"/>
                <w:lang w:val="ro-RO"/>
              </w:rPr>
              <w:t xml:space="preserve"> de evaluare şi acreditare în sănătate</w:t>
            </w:r>
            <w:r w:rsidRPr="007F2450">
              <w:rPr>
                <w:rFonts w:ascii="Times New Roman" w:hAnsi="Times New Roman"/>
                <w:sz w:val="24"/>
                <w:szCs w:val="24"/>
                <w:lang w:val="ro-RO"/>
              </w:rPr>
              <w:t>.</w:t>
            </w:r>
            <w:r w:rsidR="00E0327B" w:rsidRPr="007F2450">
              <w:rPr>
                <w:rFonts w:ascii="Times New Roman" w:hAnsi="Times New Roman"/>
                <w:sz w:val="24"/>
                <w:szCs w:val="24"/>
                <w:lang w:val="ro-RO"/>
              </w:rPr>
              <w:t xml:space="preserve"> </w:t>
            </w:r>
          </w:p>
          <w:p w14:paraId="2CBCAE5C" w14:textId="47EE15E6" w:rsidR="00CA7803" w:rsidRPr="007F2450" w:rsidRDefault="00E0327B" w:rsidP="00CA7803">
            <w:pPr>
              <w:tabs>
                <w:tab w:val="left" w:pos="884"/>
                <w:tab w:val="left" w:pos="1196"/>
              </w:tabs>
              <w:ind w:firstLine="311"/>
              <w:rPr>
                <w:rFonts w:ascii="Times New Roman" w:hAnsi="Times New Roman"/>
                <w:sz w:val="24"/>
                <w:szCs w:val="24"/>
                <w:shd w:val="clear" w:color="auto" w:fill="FFFFFF"/>
                <w:lang w:val="ro-RO"/>
              </w:rPr>
            </w:pPr>
            <w:r w:rsidRPr="007F2450">
              <w:rPr>
                <w:rFonts w:ascii="Times New Roman" w:hAnsi="Times New Roman"/>
                <w:sz w:val="24"/>
                <w:szCs w:val="24"/>
                <w:lang w:val="ro-RO"/>
              </w:rPr>
              <w:t xml:space="preserve">Metodologia în cauză </w:t>
            </w:r>
            <w:r w:rsidR="00777A8A" w:rsidRPr="007F2450">
              <w:rPr>
                <w:rFonts w:ascii="Times New Roman" w:hAnsi="Times New Roman"/>
                <w:sz w:val="24"/>
                <w:szCs w:val="24"/>
                <w:lang w:val="ro-RO"/>
              </w:rPr>
              <w:t>reglementează structura și modul de calculare a taxelor pentru serviciile de evaluare și acreditare pentru fiecare categorie de prestator de servicii medicale, indiferent de tipul de proprietate și forma juridică de organizare, reieșind din capacitatea instituției</w:t>
            </w:r>
            <w:r w:rsidRPr="007F2450">
              <w:rPr>
                <w:rFonts w:ascii="Times New Roman" w:hAnsi="Times New Roman"/>
                <w:sz w:val="24"/>
                <w:szCs w:val="24"/>
                <w:shd w:val="clear" w:color="auto" w:fill="FFFFFF"/>
                <w:lang w:val="ro-RO"/>
              </w:rPr>
              <w:t xml:space="preserve">. </w:t>
            </w:r>
          </w:p>
          <w:p w14:paraId="109E5187" w14:textId="5D79D36A" w:rsidR="00CA7803" w:rsidRPr="007F2450" w:rsidRDefault="00CA7803" w:rsidP="00CA7803">
            <w:pPr>
              <w:tabs>
                <w:tab w:val="left" w:pos="884"/>
                <w:tab w:val="left" w:pos="1196"/>
              </w:tabs>
              <w:ind w:firstLine="311"/>
              <w:rPr>
                <w:rFonts w:ascii="Times New Roman" w:hAnsi="Times New Roman"/>
                <w:sz w:val="24"/>
                <w:szCs w:val="24"/>
                <w:lang w:val="ro-RO"/>
              </w:rPr>
            </w:pPr>
            <w:r w:rsidRPr="007F2450">
              <w:rPr>
                <w:rFonts w:ascii="Times New Roman" w:hAnsi="Times New Roman"/>
                <w:sz w:val="24"/>
                <w:szCs w:val="24"/>
                <w:lang w:val="ro-RO"/>
              </w:rPr>
              <w:t>Mecanismul aplicat la calcularea taxelor pentru serviciile de evaluare și acreditare în sănătate se bazează pe principiul corespunderii acestora următoarelor criterii:</w:t>
            </w:r>
          </w:p>
          <w:p w14:paraId="24AA7393" w14:textId="359F1509" w:rsidR="00CA7803" w:rsidRPr="007F2450" w:rsidRDefault="00CA7803" w:rsidP="00CA7803">
            <w:pPr>
              <w:ind w:firstLine="311"/>
              <w:contextualSpacing/>
              <w:rPr>
                <w:rFonts w:ascii="Times New Roman" w:hAnsi="Times New Roman"/>
                <w:sz w:val="24"/>
                <w:szCs w:val="24"/>
                <w:lang w:val="ro-RO"/>
              </w:rPr>
            </w:pPr>
            <w:r w:rsidRPr="007F2450">
              <w:rPr>
                <w:rFonts w:ascii="Times New Roman" w:hAnsi="Times New Roman"/>
                <w:sz w:val="24"/>
                <w:szCs w:val="24"/>
                <w:lang w:val="ro-RO"/>
              </w:rPr>
              <w:t>1)</w:t>
            </w:r>
            <w:r w:rsidRPr="007F2450">
              <w:rPr>
                <w:rFonts w:ascii="Times New Roman" w:hAnsi="Times New Roman"/>
                <w:sz w:val="24"/>
                <w:szCs w:val="24"/>
                <w:lang w:val="ro-RO"/>
              </w:rPr>
              <w:tab/>
              <w:t xml:space="preserve">asigurarea stabilității şi eficienței funcţionării </w:t>
            </w:r>
            <w:proofErr w:type="spellStart"/>
            <w:r w:rsidRPr="007F2450">
              <w:rPr>
                <w:rFonts w:ascii="Times New Roman" w:hAnsi="Times New Roman"/>
                <w:sz w:val="24"/>
                <w:szCs w:val="24"/>
                <w:lang w:val="ro-RO"/>
              </w:rPr>
              <w:t>CNEAS-ului</w:t>
            </w:r>
            <w:proofErr w:type="spellEnd"/>
            <w:r w:rsidRPr="007F2450">
              <w:rPr>
                <w:rFonts w:ascii="Times New Roman" w:hAnsi="Times New Roman"/>
                <w:sz w:val="24"/>
                <w:szCs w:val="24"/>
                <w:lang w:val="ro-RO"/>
              </w:rPr>
              <w:t>;</w:t>
            </w:r>
          </w:p>
          <w:p w14:paraId="3A20857A" w14:textId="77777777" w:rsidR="00CA7803" w:rsidRPr="007F2450" w:rsidRDefault="00CA7803" w:rsidP="00CA7803">
            <w:pPr>
              <w:ind w:firstLine="311"/>
              <w:contextualSpacing/>
              <w:rPr>
                <w:rFonts w:ascii="Times New Roman" w:hAnsi="Times New Roman"/>
                <w:sz w:val="24"/>
                <w:szCs w:val="24"/>
                <w:lang w:val="ro-RO"/>
              </w:rPr>
            </w:pPr>
            <w:r w:rsidRPr="007F2450">
              <w:rPr>
                <w:rFonts w:ascii="Times New Roman" w:hAnsi="Times New Roman"/>
                <w:sz w:val="24"/>
                <w:szCs w:val="24"/>
                <w:lang w:val="ro-RO"/>
              </w:rPr>
              <w:t>2)</w:t>
            </w:r>
            <w:r w:rsidRPr="007F2450">
              <w:rPr>
                <w:rFonts w:ascii="Times New Roman" w:hAnsi="Times New Roman"/>
                <w:sz w:val="24"/>
                <w:szCs w:val="24"/>
                <w:lang w:val="ro-RO"/>
              </w:rPr>
              <w:tab/>
              <w:t>acoperirea costurilor/cheltuielilor necesare pentru prestarea serviciilor de evaluare și acreditare a prestatorilor de servicii medicale;</w:t>
            </w:r>
          </w:p>
          <w:p w14:paraId="0CAD6035" w14:textId="5F60F8A9" w:rsidR="00CA7803" w:rsidRPr="007F2450" w:rsidRDefault="00CA7803" w:rsidP="00CA7803">
            <w:pPr>
              <w:ind w:firstLine="311"/>
              <w:contextualSpacing/>
              <w:rPr>
                <w:rFonts w:ascii="Times New Roman" w:hAnsi="Times New Roman"/>
                <w:sz w:val="24"/>
                <w:szCs w:val="24"/>
                <w:lang w:val="ro-RO"/>
              </w:rPr>
            </w:pPr>
            <w:r w:rsidRPr="007F2450">
              <w:rPr>
                <w:rFonts w:ascii="Times New Roman" w:hAnsi="Times New Roman"/>
                <w:sz w:val="24"/>
                <w:szCs w:val="24"/>
                <w:lang w:val="ro-RO"/>
              </w:rPr>
              <w:t>3)</w:t>
            </w:r>
            <w:r w:rsidRPr="007F2450">
              <w:rPr>
                <w:rFonts w:ascii="Times New Roman" w:hAnsi="Times New Roman"/>
                <w:sz w:val="24"/>
                <w:szCs w:val="24"/>
                <w:lang w:val="ro-RO"/>
              </w:rPr>
              <w:tab/>
              <w:t>calcularea taxelor în baza costurilor/cheltuielilor efectiv suportate de către CNEAS.</w:t>
            </w:r>
          </w:p>
          <w:p w14:paraId="7E511AF2" w14:textId="77777777" w:rsidR="00B82114" w:rsidRDefault="00CA7803" w:rsidP="00B82114">
            <w:pPr>
              <w:ind w:firstLine="311"/>
              <w:contextualSpacing/>
              <w:rPr>
                <w:rFonts w:ascii="Times New Roman" w:hAnsi="Times New Roman"/>
                <w:sz w:val="24"/>
                <w:szCs w:val="24"/>
                <w:lang w:val="ro-RO"/>
              </w:rPr>
            </w:pPr>
            <w:r w:rsidRPr="007F2450">
              <w:rPr>
                <w:rFonts w:ascii="Times New Roman" w:hAnsi="Times New Roman"/>
                <w:sz w:val="24"/>
                <w:szCs w:val="24"/>
                <w:lang w:val="ro-RO"/>
              </w:rPr>
              <w:t xml:space="preserve">Principiul primatului costurilor și cheltuielilor efective prevede includerea în fiecare taxă a tuturor cheltuielilor legate de acordarea serviciilor de evaluare și acreditare în sănătate. </w:t>
            </w:r>
          </w:p>
          <w:p w14:paraId="6F1F850A" w14:textId="5ECB7D25" w:rsidR="00B82114" w:rsidRDefault="00B82114" w:rsidP="00B82114">
            <w:pPr>
              <w:ind w:firstLine="311"/>
              <w:contextualSpacing/>
              <w:rPr>
                <w:rFonts w:ascii="Times New Roman" w:hAnsi="Times New Roman"/>
                <w:sz w:val="24"/>
                <w:szCs w:val="24"/>
                <w:lang w:val="ro-RO"/>
              </w:rPr>
            </w:pPr>
            <w:r w:rsidRPr="00B82114">
              <w:rPr>
                <w:rFonts w:ascii="Times New Roman" w:hAnsi="Times New Roman"/>
                <w:sz w:val="24"/>
                <w:szCs w:val="24"/>
                <w:lang w:val="ro-RO"/>
              </w:rPr>
              <w:t xml:space="preserve">În cazul în care prestatorul de servicii medicale deține mai multe filiale, taxa de acreditare </w:t>
            </w:r>
            <w:r>
              <w:rPr>
                <w:rFonts w:ascii="Times New Roman" w:hAnsi="Times New Roman"/>
                <w:sz w:val="24"/>
                <w:szCs w:val="24"/>
                <w:lang w:val="ro-RO"/>
              </w:rPr>
              <w:t xml:space="preserve">pentru prestator </w:t>
            </w:r>
            <w:r w:rsidRPr="00B82114">
              <w:rPr>
                <w:rFonts w:ascii="Times New Roman" w:hAnsi="Times New Roman"/>
                <w:sz w:val="24"/>
                <w:szCs w:val="24"/>
                <w:lang w:val="ro-RO"/>
              </w:rPr>
              <w:t>se va calcula ca suma taxelor de acreditare pentru toate filialele acestuia.</w:t>
            </w:r>
          </w:p>
          <w:p w14:paraId="265C347C" w14:textId="55C0D43C" w:rsidR="00552759" w:rsidRDefault="00552759" w:rsidP="00552759">
            <w:pPr>
              <w:ind w:firstLine="311"/>
              <w:contextualSpacing/>
              <w:rPr>
                <w:rFonts w:ascii="Times New Roman" w:hAnsi="Times New Roman"/>
                <w:sz w:val="24"/>
                <w:szCs w:val="24"/>
                <w:lang w:val="ro-RO"/>
              </w:rPr>
            </w:pPr>
            <w:r>
              <w:rPr>
                <w:rFonts w:ascii="Times New Roman" w:hAnsi="Times New Roman"/>
                <w:sz w:val="24"/>
                <w:szCs w:val="24"/>
                <w:lang w:val="ro-RO"/>
              </w:rPr>
              <w:t>De asemenea</w:t>
            </w:r>
            <w:r w:rsidR="008861A3">
              <w:rPr>
                <w:rFonts w:ascii="Times New Roman" w:hAnsi="Times New Roman"/>
                <w:sz w:val="24"/>
                <w:szCs w:val="24"/>
                <w:lang w:val="ro-RO"/>
              </w:rPr>
              <w:t>,</w:t>
            </w:r>
            <w:r>
              <w:rPr>
                <w:rFonts w:ascii="Times New Roman" w:hAnsi="Times New Roman"/>
                <w:sz w:val="24"/>
                <w:szCs w:val="24"/>
                <w:lang w:val="ro-RO"/>
              </w:rPr>
              <w:t xml:space="preserve"> proiectul în cauză prevede că, CNEAS</w:t>
            </w:r>
            <w:r w:rsidR="00E071F4" w:rsidRPr="00E071F4">
              <w:rPr>
                <w:rFonts w:ascii="Times New Roman" w:hAnsi="Times New Roman"/>
                <w:sz w:val="24"/>
                <w:szCs w:val="24"/>
                <w:lang w:val="ro-RO"/>
              </w:rPr>
              <w:t xml:space="preserve"> va calcula taxele pentru serviciile de evaluare și acreditare în sănătate în baza costurilor/cheltuielilor</w:t>
            </w:r>
            <w:r>
              <w:rPr>
                <w:rFonts w:ascii="Times New Roman" w:hAnsi="Times New Roman"/>
                <w:sz w:val="24"/>
                <w:szCs w:val="24"/>
                <w:lang w:val="ro-RO"/>
              </w:rPr>
              <w:t xml:space="preserve"> suportate</w:t>
            </w:r>
            <w:r w:rsidR="008861A3">
              <w:rPr>
                <w:rFonts w:ascii="Times New Roman" w:hAnsi="Times New Roman"/>
                <w:sz w:val="24"/>
                <w:szCs w:val="24"/>
                <w:lang w:val="ro-RO"/>
              </w:rPr>
              <w:t>/preconizate</w:t>
            </w:r>
            <w:r w:rsidR="00E071F4" w:rsidRPr="00E071F4">
              <w:rPr>
                <w:rFonts w:ascii="Times New Roman" w:hAnsi="Times New Roman"/>
                <w:sz w:val="24"/>
                <w:szCs w:val="24"/>
                <w:lang w:val="ro-RO"/>
              </w:rPr>
              <w:t xml:space="preserve">, conform Metodologiei de calculare a taxelor pentru serviciile de evaluare și acreditare în sănătate și le va prezenta spre aprobare Ministerului Sănătății, </w:t>
            </w:r>
            <w:r>
              <w:rPr>
                <w:rFonts w:ascii="Times New Roman" w:hAnsi="Times New Roman"/>
                <w:sz w:val="24"/>
                <w:szCs w:val="24"/>
                <w:lang w:val="ro-RO"/>
              </w:rPr>
              <w:t>care vor fi aprobate prin ordinul Ministerului Sănătății.</w:t>
            </w:r>
          </w:p>
          <w:p w14:paraId="61EE4B15" w14:textId="77777777" w:rsidR="00552759" w:rsidRDefault="00E071F4" w:rsidP="00552759">
            <w:pPr>
              <w:ind w:firstLine="311"/>
              <w:contextualSpacing/>
              <w:rPr>
                <w:rFonts w:ascii="Times New Roman" w:hAnsi="Times New Roman"/>
                <w:sz w:val="24"/>
                <w:szCs w:val="24"/>
                <w:lang w:val="ro-RO"/>
              </w:rPr>
            </w:pPr>
            <w:r w:rsidRPr="00E071F4">
              <w:rPr>
                <w:rFonts w:ascii="Times New Roman" w:hAnsi="Times New Roman"/>
                <w:sz w:val="24"/>
                <w:szCs w:val="24"/>
                <w:lang w:val="ro-RO"/>
              </w:rPr>
              <w:t>Ajustarea taxelor pentru serviciile de evaluare și acreditare în sănătate poate fi efectuată în cazul în care există factori obiectivi ce nu pot fi controlați (majorarea salariului, oscilarea prețurilor la energia electrică, termică, combustibil  etc.) şi pot duce la o deviere cu peste 5% de la nivelul taxelor stabilite la data ajustării precedente.</w:t>
            </w:r>
          </w:p>
          <w:p w14:paraId="31254621" w14:textId="77777777" w:rsidR="00E0327B" w:rsidRDefault="00E071F4" w:rsidP="00552759">
            <w:pPr>
              <w:ind w:firstLine="311"/>
              <w:contextualSpacing/>
              <w:rPr>
                <w:rFonts w:ascii="Times New Roman" w:hAnsi="Times New Roman"/>
                <w:sz w:val="24"/>
                <w:szCs w:val="24"/>
                <w:lang w:val="ro-RO"/>
              </w:rPr>
            </w:pPr>
            <w:r>
              <w:rPr>
                <w:rFonts w:ascii="Times New Roman" w:hAnsi="Times New Roman"/>
                <w:sz w:val="24"/>
                <w:szCs w:val="24"/>
                <w:lang w:val="ro-RO"/>
              </w:rPr>
              <w:t>Taxele calculate în baza metodologiei în cauză vor</w:t>
            </w:r>
            <w:r w:rsidR="00E0327B" w:rsidRPr="007F2450">
              <w:rPr>
                <w:rFonts w:ascii="Times New Roman" w:hAnsi="Times New Roman"/>
                <w:sz w:val="24"/>
                <w:szCs w:val="24"/>
                <w:lang w:val="ro-RO"/>
              </w:rPr>
              <w:t xml:space="preserve"> contribui la organizarea eficientă a procedurii de evaluare și acreditare în sănătate și </w:t>
            </w:r>
            <w:r w:rsidR="00862B11" w:rsidRPr="007F2450">
              <w:rPr>
                <w:rFonts w:ascii="Times New Roman" w:hAnsi="Times New Roman"/>
                <w:sz w:val="24"/>
                <w:szCs w:val="24"/>
                <w:lang w:val="ro-RO"/>
              </w:rPr>
              <w:t xml:space="preserve">în final </w:t>
            </w:r>
            <w:r w:rsidR="00E0327B" w:rsidRPr="007F2450">
              <w:rPr>
                <w:rFonts w:ascii="Times New Roman" w:hAnsi="Times New Roman"/>
                <w:sz w:val="24"/>
                <w:szCs w:val="24"/>
                <w:lang w:val="ro-RO"/>
              </w:rPr>
              <w:t xml:space="preserve">la asigurarea creșterii continue a calității asistenței medicale acordate populației de către prestatorii de servicii medicale acreditați, conform necesităților pacienților, sistemului de sănătate, conform bunelor practici ale țărilor Uniunii Europene. </w:t>
            </w:r>
          </w:p>
          <w:p w14:paraId="239A7923" w14:textId="40A8FA95" w:rsidR="002E4212" w:rsidRPr="007F2450" w:rsidRDefault="002E4212" w:rsidP="002E4212">
            <w:pPr>
              <w:ind w:firstLine="311"/>
              <w:contextualSpacing/>
              <w:rPr>
                <w:rFonts w:ascii="Times New Roman" w:hAnsi="Times New Roman"/>
                <w:sz w:val="24"/>
                <w:szCs w:val="24"/>
                <w:lang w:val="ro-RO"/>
              </w:rPr>
            </w:pPr>
            <w:r w:rsidRPr="00F95943">
              <w:rPr>
                <w:rFonts w:ascii="Times New Roman" w:hAnsi="Times New Roman"/>
                <w:sz w:val="24"/>
                <w:szCs w:val="24"/>
                <w:lang w:val="ro-RO"/>
              </w:rPr>
              <w:t xml:space="preserve">Întrucât taxele pentru serviciile de evaluare și acreditare în sănătate urmează să fie utilizate, în termeni proximi, de către CNEAS în procesul de evaluare și acreditare a prestatorilor de servicii medicale, indiferent de tipul de proprietate și forma juridică de </w:t>
            </w:r>
            <w:r w:rsidRPr="00F95943">
              <w:rPr>
                <w:rFonts w:ascii="Times New Roman" w:hAnsi="Times New Roman"/>
                <w:sz w:val="24"/>
                <w:szCs w:val="24"/>
                <w:lang w:val="ro-RO"/>
              </w:rPr>
              <w:lastRenderedPageBreak/>
              <w:t xml:space="preserve">organizare și în conformitate cu art. 56 alin. (3) din Legea nr. 100/2017 cu privire la actele normative, se propune ca </w:t>
            </w:r>
            <w:proofErr w:type="spellStart"/>
            <w:r w:rsidRPr="00F95943">
              <w:rPr>
                <w:rFonts w:ascii="Times New Roman" w:hAnsi="Times New Roman"/>
                <w:sz w:val="24"/>
                <w:szCs w:val="24"/>
                <w:lang w:val="ro-RO"/>
              </w:rPr>
              <w:t>hotărîrea</w:t>
            </w:r>
            <w:proofErr w:type="spellEnd"/>
            <w:r w:rsidRPr="00F95943">
              <w:rPr>
                <w:rFonts w:ascii="Times New Roman" w:hAnsi="Times New Roman"/>
                <w:sz w:val="24"/>
                <w:szCs w:val="24"/>
                <w:lang w:val="ro-RO"/>
              </w:rPr>
              <w:t xml:space="preserve"> să intre în vigoare la data publicării în Monitorul Oficial al Republicii Moldova.</w:t>
            </w:r>
          </w:p>
        </w:tc>
      </w:tr>
      <w:tr w:rsidR="00523806" w:rsidRPr="007F5BD2" w14:paraId="79231A35"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C7AABF1"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lastRenderedPageBreak/>
              <w:t>3.2. Opțiunile alternative analizate și motivele pentru care acestea nu au fost luate în considerare</w:t>
            </w:r>
          </w:p>
        </w:tc>
      </w:tr>
      <w:tr w:rsidR="00523806" w:rsidRPr="007F5BD2" w14:paraId="7A8C0DE3"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B8BD6A" w14:textId="4EBE5BF0" w:rsidR="0028171D" w:rsidRPr="007F2450" w:rsidRDefault="006706E7" w:rsidP="0028171D">
            <w:pPr>
              <w:ind w:firstLine="311"/>
              <w:contextualSpacing/>
              <w:rPr>
                <w:rFonts w:ascii="Times New Roman" w:hAnsi="Times New Roman"/>
                <w:sz w:val="24"/>
                <w:szCs w:val="24"/>
                <w:lang w:val="ro-RO" w:eastAsia="ru-RU"/>
              </w:rPr>
            </w:pPr>
            <w:r w:rsidRPr="007F2450">
              <w:rPr>
                <w:rFonts w:ascii="Times New Roman" w:hAnsi="Times New Roman"/>
                <w:sz w:val="24"/>
                <w:szCs w:val="24"/>
                <w:lang w:val="ro-RO"/>
              </w:rPr>
              <w:t xml:space="preserve">Aprobarea </w:t>
            </w:r>
            <w:r w:rsidR="006E5F3C" w:rsidRPr="007F2450">
              <w:rPr>
                <w:rFonts w:ascii="Times New Roman" w:hAnsi="Times New Roman"/>
                <w:sz w:val="24"/>
                <w:szCs w:val="24"/>
                <w:lang w:val="ro-RO"/>
              </w:rPr>
              <w:t xml:space="preserve">prezentei hotărâri </w:t>
            </w:r>
            <w:r w:rsidRPr="007F2450">
              <w:rPr>
                <w:rFonts w:ascii="Times New Roman" w:hAnsi="Times New Roman"/>
                <w:sz w:val="24"/>
                <w:szCs w:val="24"/>
                <w:lang w:val="ro-RO"/>
              </w:rPr>
              <w:t>de către Guvern</w:t>
            </w:r>
            <w:r w:rsidR="006E5F3C" w:rsidRPr="007F2450">
              <w:rPr>
                <w:rFonts w:ascii="Times New Roman" w:hAnsi="Times New Roman"/>
                <w:sz w:val="24"/>
                <w:szCs w:val="24"/>
                <w:lang w:val="ro-RO"/>
              </w:rPr>
              <w:t xml:space="preserve">, rezultă </w:t>
            </w:r>
            <w:r w:rsidR="006244E8" w:rsidRPr="007F2450">
              <w:rPr>
                <w:rFonts w:ascii="Times New Roman" w:hAnsi="Times New Roman"/>
                <w:sz w:val="24"/>
                <w:szCs w:val="24"/>
                <w:lang w:val="ro-RO"/>
              </w:rPr>
              <w:t xml:space="preserve">din </w:t>
            </w:r>
            <w:r w:rsidRPr="007F2450">
              <w:rPr>
                <w:rFonts w:ascii="Times New Roman" w:hAnsi="Times New Roman"/>
                <w:sz w:val="24"/>
                <w:szCs w:val="24"/>
                <w:lang w:val="ro-RO"/>
              </w:rPr>
              <w:t>modificăril</w:t>
            </w:r>
            <w:r w:rsidR="006244E8" w:rsidRPr="007F2450">
              <w:rPr>
                <w:rFonts w:ascii="Times New Roman" w:hAnsi="Times New Roman"/>
                <w:sz w:val="24"/>
                <w:szCs w:val="24"/>
                <w:lang w:val="ro-RO"/>
              </w:rPr>
              <w:t>e</w:t>
            </w:r>
            <w:r w:rsidRPr="007F2450">
              <w:rPr>
                <w:rFonts w:ascii="Times New Roman" w:hAnsi="Times New Roman"/>
                <w:sz w:val="24"/>
                <w:szCs w:val="24"/>
                <w:lang w:val="ro-RO"/>
              </w:rPr>
              <w:t xml:space="preserve"> operate la Legea nr. 552/2001 privind evaluarea și acreditarea în sănătate </w:t>
            </w:r>
            <w:r w:rsidR="0028171D">
              <w:rPr>
                <w:rFonts w:ascii="Times New Roman" w:hAnsi="Times New Roman"/>
                <w:sz w:val="24"/>
                <w:szCs w:val="24"/>
                <w:lang w:val="ro-RO" w:eastAsia="ru-RU"/>
              </w:rPr>
              <w:t xml:space="preserve">prin Legea nr.227/2024, care prevede că, </w:t>
            </w:r>
            <w:r w:rsidR="0028171D" w:rsidRPr="00872217">
              <w:rPr>
                <w:rFonts w:ascii="Times New Roman" w:hAnsi="Times New Roman"/>
                <w:sz w:val="24"/>
                <w:szCs w:val="24"/>
                <w:lang w:val="ro-RO" w:eastAsia="ru-RU"/>
              </w:rPr>
              <w:t>metodologia de calculare a taxelor pentru prestarea serviciilor de evaluare și acreditare în sănătate se aprobă de către Guvern, iar taxele –</w:t>
            </w:r>
            <w:r w:rsidR="0028171D">
              <w:rPr>
                <w:rFonts w:ascii="Times New Roman" w:hAnsi="Times New Roman"/>
                <w:sz w:val="24"/>
                <w:szCs w:val="24"/>
                <w:lang w:val="ro-RO" w:eastAsia="ru-RU"/>
              </w:rPr>
              <w:t xml:space="preserve"> de către Ministerul Sănătății.</w:t>
            </w:r>
          </w:p>
          <w:p w14:paraId="52B16567" w14:textId="7E410C7F" w:rsidR="00E0327B" w:rsidRPr="007F2450" w:rsidRDefault="002521A8" w:rsidP="00B924ED">
            <w:pPr>
              <w:ind w:firstLine="311"/>
              <w:contextualSpacing/>
              <w:rPr>
                <w:rFonts w:ascii="Times New Roman" w:hAnsi="Times New Roman"/>
                <w:sz w:val="24"/>
                <w:szCs w:val="24"/>
                <w:lang w:val="ro-RO"/>
              </w:rPr>
            </w:pPr>
            <w:r w:rsidRPr="007F2450">
              <w:rPr>
                <w:rFonts w:ascii="Times New Roman" w:hAnsi="Times New Roman"/>
                <w:sz w:val="24"/>
                <w:szCs w:val="24"/>
                <w:lang w:val="ro-RO"/>
              </w:rPr>
              <w:t xml:space="preserve">Lipsa de intervenție în situația dată va contribui la aprofundarea deficiențelor </w:t>
            </w:r>
            <w:r w:rsidR="00914360" w:rsidRPr="007F2450">
              <w:rPr>
                <w:rFonts w:ascii="Times New Roman" w:hAnsi="Times New Roman"/>
                <w:sz w:val="24"/>
                <w:szCs w:val="24"/>
                <w:lang w:val="ro-RO"/>
              </w:rPr>
              <w:t xml:space="preserve">constatate </w:t>
            </w:r>
            <w:r w:rsidRPr="007F2450">
              <w:rPr>
                <w:rFonts w:ascii="Times New Roman" w:hAnsi="Times New Roman"/>
                <w:sz w:val="24"/>
                <w:szCs w:val="24"/>
                <w:lang w:val="ro-RO"/>
              </w:rPr>
              <w:t xml:space="preserve">în activitatea economico-financiară a </w:t>
            </w:r>
            <w:proofErr w:type="spellStart"/>
            <w:r w:rsidRPr="007F2450">
              <w:rPr>
                <w:rFonts w:ascii="Times New Roman" w:hAnsi="Times New Roman"/>
                <w:sz w:val="24"/>
                <w:szCs w:val="24"/>
                <w:lang w:val="ro-RO"/>
              </w:rPr>
              <w:t>CNEAS-ului</w:t>
            </w:r>
            <w:proofErr w:type="spellEnd"/>
            <w:r w:rsidRPr="007F2450">
              <w:rPr>
                <w:rFonts w:ascii="Times New Roman" w:hAnsi="Times New Roman"/>
                <w:sz w:val="24"/>
                <w:szCs w:val="24"/>
                <w:lang w:val="ro-RO"/>
              </w:rPr>
              <w:t xml:space="preserve">, </w:t>
            </w:r>
            <w:r w:rsidR="00914360" w:rsidRPr="007F2450">
              <w:rPr>
                <w:rFonts w:ascii="Times New Roman" w:hAnsi="Times New Roman"/>
                <w:sz w:val="24"/>
                <w:szCs w:val="24"/>
                <w:lang w:val="ro-RO"/>
              </w:rPr>
              <w:t xml:space="preserve">inclusiv asigurarea cu angajați a instituției și contractarea experților evaluatori în sănătate. Drept urmare se va amplifica impactul negativ </w:t>
            </w:r>
            <w:r w:rsidRPr="007F2450">
              <w:rPr>
                <w:rFonts w:ascii="Times New Roman" w:hAnsi="Times New Roman"/>
                <w:sz w:val="24"/>
                <w:szCs w:val="24"/>
                <w:lang w:val="ro-RO"/>
              </w:rPr>
              <w:t xml:space="preserve">în asigurarea implementării politicii statului în domeniul evaluării conformității serviciilor medicale și acreditării prestatorilor de servicii medicale. </w:t>
            </w:r>
          </w:p>
        </w:tc>
      </w:tr>
      <w:tr w:rsidR="00523806" w:rsidRPr="007F2450" w14:paraId="42CD240C" w14:textId="77777777" w:rsidTr="00F20B74">
        <w:trPr>
          <w:trHeight w:val="381"/>
        </w:trPr>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FDA5C3"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 xml:space="preserve">4. Analiza impactului de reglementare </w:t>
            </w:r>
          </w:p>
        </w:tc>
      </w:tr>
      <w:tr w:rsidR="00523806" w:rsidRPr="007F2450" w14:paraId="60289741"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ECC403"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4.1. Impactul asupra sectorului public</w:t>
            </w:r>
          </w:p>
        </w:tc>
      </w:tr>
      <w:tr w:rsidR="00523806" w:rsidRPr="007F5BD2" w14:paraId="23DBEE27"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3BBD5A" w14:textId="45B89369" w:rsidR="00E0327B" w:rsidRPr="007F2450" w:rsidRDefault="00E0327B" w:rsidP="006244E8">
            <w:pPr>
              <w:ind w:firstLine="311"/>
              <w:contextualSpacing/>
              <w:rPr>
                <w:rFonts w:ascii="Times New Roman" w:hAnsi="Times New Roman"/>
                <w:sz w:val="24"/>
                <w:szCs w:val="24"/>
                <w:lang w:val="ro-RO"/>
              </w:rPr>
            </w:pPr>
            <w:r w:rsidRPr="007F2450">
              <w:rPr>
                <w:rFonts w:ascii="Times New Roman" w:hAnsi="Times New Roman"/>
                <w:sz w:val="24"/>
                <w:szCs w:val="24"/>
                <w:lang w:val="ro-RO"/>
              </w:rPr>
              <w:t>Im</w:t>
            </w:r>
            <w:r w:rsidR="006244E8" w:rsidRPr="007F2450">
              <w:rPr>
                <w:rFonts w:ascii="Times New Roman" w:hAnsi="Times New Roman"/>
                <w:sz w:val="24"/>
                <w:szCs w:val="24"/>
                <w:lang w:val="ro-RO"/>
              </w:rPr>
              <w:t>plementarea prezentei hotărâri de către Guvern va contribui la</w:t>
            </w:r>
            <w:r w:rsidRPr="007F2450">
              <w:rPr>
                <w:rFonts w:ascii="Times New Roman" w:hAnsi="Times New Roman"/>
                <w:sz w:val="24"/>
                <w:szCs w:val="24"/>
                <w:lang w:val="ro-RO"/>
              </w:rPr>
              <w:t xml:space="preserve"> îmbunătățirea </w:t>
            </w:r>
            <w:r w:rsidR="00914360" w:rsidRPr="007F2450">
              <w:rPr>
                <w:rFonts w:ascii="Times New Roman" w:hAnsi="Times New Roman"/>
                <w:sz w:val="24"/>
                <w:szCs w:val="24"/>
                <w:lang w:val="ro-RO"/>
              </w:rPr>
              <w:t>organizării procedurii de evaluare și acreditare în sănătate și drept urmare asigurarea creșterii continue a calității și siguranței actului medical acordat populației de către prestatorii de servicii medicale acreditați, conform necesităților pacienților, sistemului de sănătate, conform bunelor practici ale țărilor Uniunii Europene.</w:t>
            </w:r>
          </w:p>
        </w:tc>
      </w:tr>
      <w:tr w:rsidR="00523806" w:rsidRPr="007F5BD2" w14:paraId="725AC128"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3F9599"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4.2. Impactul financiar și argumentarea costurilor estimative</w:t>
            </w:r>
          </w:p>
        </w:tc>
      </w:tr>
      <w:tr w:rsidR="00523806" w:rsidRPr="007F5BD2" w14:paraId="259D6260"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79ED" w14:textId="7407F73B" w:rsidR="00E0327B" w:rsidRPr="007F2450" w:rsidRDefault="00C340AA" w:rsidP="00375A30">
            <w:pPr>
              <w:ind w:left="23" w:firstLine="284"/>
              <w:rPr>
                <w:rFonts w:ascii="Times New Roman" w:hAnsi="Times New Roman"/>
                <w:sz w:val="24"/>
                <w:szCs w:val="24"/>
                <w:lang w:val="ro-RO"/>
              </w:rPr>
            </w:pPr>
            <w:r w:rsidRPr="007F2450">
              <w:rPr>
                <w:rFonts w:ascii="Times New Roman" w:hAnsi="Times New Roman"/>
                <w:sz w:val="24"/>
                <w:szCs w:val="24"/>
                <w:lang w:val="ro-RO"/>
              </w:rPr>
              <w:t xml:space="preserve">Adoptarea proiectului </w:t>
            </w:r>
            <w:r w:rsidR="00442687" w:rsidRPr="007F2450">
              <w:rPr>
                <w:rFonts w:ascii="Times New Roman" w:hAnsi="Times New Roman"/>
                <w:sz w:val="24"/>
                <w:szCs w:val="24"/>
                <w:lang w:val="ro-RO"/>
              </w:rPr>
              <w:t xml:space="preserve">de hotărâre </w:t>
            </w:r>
            <w:r w:rsidRPr="007F2450">
              <w:rPr>
                <w:rFonts w:ascii="Times New Roman" w:hAnsi="Times New Roman"/>
                <w:sz w:val="24"/>
                <w:szCs w:val="24"/>
                <w:lang w:val="ro-RO"/>
              </w:rPr>
              <w:t>nu necesită surse financiare suplimentare din bugetul de stat.</w:t>
            </w:r>
            <w:r w:rsidR="00AC1E35" w:rsidRPr="007F2450">
              <w:rPr>
                <w:lang w:val="ro-RO"/>
              </w:rPr>
              <w:t xml:space="preserve"> </w:t>
            </w:r>
            <w:r w:rsidR="002F29A1">
              <w:rPr>
                <w:rFonts w:ascii="Times New Roman" w:hAnsi="Times New Roman"/>
                <w:sz w:val="24"/>
                <w:szCs w:val="24"/>
                <w:lang w:val="ro-RO"/>
              </w:rPr>
              <w:t>CNEAS</w:t>
            </w:r>
            <w:r w:rsidR="00AC1E35" w:rsidRPr="007F2450">
              <w:rPr>
                <w:rFonts w:ascii="Times New Roman" w:hAnsi="Times New Roman"/>
                <w:sz w:val="24"/>
                <w:szCs w:val="24"/>
                <w:lang w:val="ro-RO"/>
              </w:rPr>
              <w:t xml:space="preserve"> este instituție publică, ce funcționează pe principii de autogestiune și nonprofit</w:t>
            </w:r>
            <w:r w:rsidR="006244E8" w:rsidRPr="007F2450">
              <w:rPr>
                <w:rFonts w:ascii="Times New Roman" w:hAnsi="Times New Roman"/>
                <w:sz w:val="24"/>
                <w:szCs w:val="24"/>
                <w:lang w:val="ro-RO"/>
              </w:rPr>
              <w:t xml:space="preserve">. </w:t>
            </w:r>
            <w:r w:rsidR="00375A30">
              <w:rPr>
                <w:rFonts w:ascii="Times New Roman" w:hAnsi="Times New Roman"/>
                <w:sz w:val="24"/>
                <w:szCs w:val="24"/>
                <w:lang w:val="ro-RO"/>
              </w:rPr>
              <w:t>Acoperirea cheltuielilor necesare prestării serviciilor de evaluare și acreditare</w:t>
            </w:r>
            <w:r w:rsidR="00AC1E35" w:rsidRPr="007F2450">
              <w:rPr>
                <w:rFonts w:ascii="Times New Roman" w:hAnsi="Times New Roman"/>
                <w:sz w:val="24"/>
                <w:szCs w:val="24"/>
                <w:lang w:val="ro-RO"/>
              </w:rPr>
              <w:t xml:space="preserve"> va fi efectuată din taxele acumulate de la prestatorii de servicii medicale </w:t>
            </w:r>
            <w:r w:rsidR="006244E8" w:rsidRPr="007F2450">
              <w:rPr>
                <w:rFonts w:ascii="Times New Roman" w:hAnsi="Times New Roman"/>
                <w:sz w:val="24"/>
                <w:szCs w:val="24"/>
                <w:lang w:val="ro-RO"/>
              </w:rPr>
              <w:t xml:space="preserve">evaluați și </w:t>
            </w:r>
            <w:r w:rsidR="00AC1E35" w:rsidRPr="007F2450">
              <w:rPr>
                <w:rFonts w:ascii="Times New Roman" w:hAnsi="Times New Roman"/>
                <w:sz w:val="24"/>
                <w:szCs w:val="24"/>
                <w:lang w:val="ro-RO"/>
              </w:rPr>
              <w:t>acreditați.</w:t>
            </w:r>
          </w:p>
        </w:tc>
      </w:tr>
      <w:tr w:rsidR="00523806" w:rsidRPr="007F2450" w14:paraId="0940071E"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B10CAD"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4.3. Impactul asupra sectorului privat</w:t>
            </w:r>
          </w:p>
        </w:tc>
      </w:tr>
      <w:tr w:rsidR="00523806" w:rsidRPr="007F5BD2" w14:paraId="3E43E40F"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4F10CA" w14:textId="5D8B5ADD" w:rsidR="00E0327B" w:rsidRPr="007F2450" w:rsidRDefault="00C340AA" w:rsidP="00FF207D">
            <w:pPr>
              <w:ind w:firstLine="307"/>
              <w:rPr>
                <w:rFonts w:ascii="Times New Roman" w:hAnsi="Times New Roman"/>
                <w:sz w:val="24"/>
                <w:szCs w:val="24"/>
                <w:lang w:val="ro-RO"/>
              </w:rPr>
            </w:pPr>
            <w:r w:rsidRPr="007F2450">
              <w:rPr>
                <w:rFonts w:ascii="Times New Roman" w:hAnsi="Times New Roman"/>
                <w:sz w:val="24"/>
                <w:szCs w:val="24"/>
                <w:lang w:val="ro-RO"/>
              </w:rPr>
              <w:t xml:space="preserve">Proiectul </w:t>
            </w:r>
            <w:r w:rsidR="00442687" w:rsidRPr="007F2450">
              <w:rPr>
                <w:rFonts w:ascii="Times New Roman" w:hAnsi="Times New Roman"/>
                <w:sz w:val="24"/>
                <w:szCs w:val="24"/>
                <w:lang w:val="ro-RO"/>
              </w:rPr>
              <w:t>de hotărâre</w:t>
            </w:r>
            <w:r w:rsidRPr="007F2450">
              <w:rPr>
                <w:rFonts w:ascii="Times New Roman" w:hAnsi="Times New Roman"/>
                <w:sz w:val="24"/>
                <w:szCs w:val="24"/>
                <w:lang w:val="ro-RO"/>
              </w:rPr>
              <w:t xml:space="preserve"> stabilește principiile unice de calculare a taxelor pentru serviciile de evaluare </w:t>
            </w:r>
            <w:r w:rsidR="00FF207D">
              <w:rPr>
                <w:rFonts w:ascii="Times New Roman" w:hAnsi="Times New Roman"/>
                <w:sz w:val="24"/>
                <w:szCs w:val="24"/>
                <w:lang w:val="ro-RO"/>
              </w:rPr>
              <w:t xml:space="preserve">și acreditare </w:t>
            </w:r>
            <w:r w:rsidRPr="007F2450">
              <w:rPr>
                <w:rFonts w:ascii="Times New Roman" w:hAnsi="Times New Roman"/>
                <w:sz w:val="24"/>
                <w:szCs w:val="24"/>
                <w:lang w:val="ro-RO"/>
              </w:rPr>
              <w:t>a prestatorilor de servicii medicale, indiferent de tipul de proprietate și forma juridică de organizare, astfel, asigurând evitarea concurenței neloiale și abordării neechitabile față de prestatorii publici și cei privați de servicii medicale.</w:t>
            </w:r>
          </w:p>
        </w:tc>
      </w:tr>
      <w:tr w:rsidR="00523806" w:rsidRPr="007F2450" w14:paraId="2272B878"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E41E7F" w14:textId="6B807EFF"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4.4. Impactul social</w:t>
            </w:r>
          </w:p>
        </w:tc>
      </w:tr>
      <w:tr w:rsidR="00523806" w:rsidRPr="007F5BD2" w14:paraId="3A2E9E44"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DFF7B4" w14:textId="173B3634" w:rsidR="00E0327B" w:rsidRPr="007F2450" w:rsidRDefault="007D4327" w:rsidP="00B924ED">
            <w:pPr>
              <w:ind w:firstLine="307"/>
              <w:rPr>
                <w:rFonts w:ascii="Times New Roman" w:hAnsi="Times New Roman"/>
                <w:sz w:val="24"/>
                <w:szCs w:val="24"/>
                <w:lang w:val="ro-RO"/>
              </w:rPr>
            </w:pPr>
            <w:r w:rsidRPr="007F2450">
              <w:rPr>
                <w:rFonts w:ascii="Times New Roman" w:hAnsi="Times New Roman"/>
                <w:sz w:val="24"/>
                <w:szCs w:val="24"/>
                <w:lang w:val="ro-RO"/>
              </w:rPr>
              <w:t xml:space="preserve">Impactul </w:t>
            </w:r>
            <w:r w:rsidR="001E4B9E" w:rsidRPr="007F2450">
              <w:rPr>
                <w:rFonts w:ascii="Times New Roman" w:hAnsi="Times New Roman"/>
                <w:sz w:val="24"/>
                <w:szCs w:val="24"/>
                <w:lang w:val="ro-RO"/>
              </w:rPr>
              <w:t xml:space="preserve">social al </w:t>
            </w:r>
            <w:r w:rsidRPr="007F2450">
              <w:rPr>
                <w:rFonts w:ascii="Times New Roman" w:hAnsi="Times New Roman"/>
                <w:sz w:val="24"/>
                <w:szCs w:val="24"/>
                <w:lang w:val="ro-RO"/>
              </w:rPr>
              <w:t xml:space="preserve">proiectului în cauză vizează </w:t>
            </w:r>
            <w:r w:rsidR="001E4B9E" w:rsidRPr="007F2450">
              <w:rPr>
                <w:rFonts w:ascii="Times New Roman" w:hAnsi="Times New Roman"/>
                <w:sz w:val="24"/>
                <w:szCs w:val="24"/>
                <w:lang w:val="ro-RO"/>
              </w:rPr>
              <w:t xml:space="preserve">atât îmbunătățirea continuă a calității și siguranței serviciilor medicale și creșterea satisfacției pacienților, cât și </w:t>
            </w:r>
            <w:r w:rsidRPr="007F2450">
              <w:rPr>
                <w:rFonts w:ascii="Times New Roman" w:hAnsi="Times New Roman"/>
                <w:sz w:val="24"/>
                <w:szCs w:val="24"/>
                <w:lang w:val="ro-RO"/>
              </w:rPr>
              <w:t xml:space="preserve">alinierea domeniului de evaluare și acreditare în sănătate din Republica Moldova la bunele practici europene, contribuind, astfel, la o mai mare încredere a populației în sistemul </w:t>
            </w:r>
            <w:r w:rsidR="00442687" w:rsidRPr="007F2450">
              <w:rPr>
                <w:rFonts w:ascii="Times New Roman" w:hAnsi="Times New Roman"/>
                <w:sz w:val="24"/>
                <w:szCs w:val="24"/>
                <w:lang w:val="ro-RO"/>
              </w:rPr>
              <w:t>de sănătate</w:t>
            </w:r>
            <w:r w:rsidRPr="007F2450">
              <w:rPr>
                <w:rFonts w:ascii="Times New Roman" w:hAnsi="Times New Roman"/>
                <w:sz w:val="24"/>
                <w:szCs w:val="24"/>
                <w:lang w:val="ro-RO"/>
              </w:rPr>
              <w:t>.</w:t>
            </w:r>
          </w:p>
        </w:tc>
      </w:tr>
      <w:tr w:rsidR="00523806" w:rsidRPr="007F5BD2" w14:paraId="3FACD861"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4A2652" w14:textId="3B94DA5F"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4.4.1. Impactul asupra datelor cu caracter personal</w:t>
            </w:r>
          </w:p>
        </w:tc>
      </w:tr>
      <w:tr w:rsidR="00523806" w:rsidRPr="007F2450" w14:paraId="5FF9706A"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5F66D9" w14:textId="1752EFBB" w:rsidR="00E0327B" w:rsidRPr="007F2450" w:rsidRDefault="006244E8" w:rsidP="00B924ED">
            <w:pPr>
              <w:ind w:firstLine="307"/>
              <w:rPr>
                <w:rFonts w:ascii="Times New Roman" w:hAnsi="Times New Roman"/>
                <w:sz w:val="24"/>
                <w:szCs w:val="24"/>
                <w:lang w:val="ro-RO"/>
              </w:rPr>
            </w:pPr>
            <w:r w:rsidRPr="007F2450">
              <w:rPr>
                <w:rFonts w:ascii="Times New Roman" w:hAnsi="Times New Roman"/>
                <w:sz w:val="24"/>
                <w:szCs w:val="24"/>
                <w:lang w:val="ro-RO"/>
              </w:rPr>
              <w:t>Nu este aplicabil.</w:t>
            </w:r>
          </w:p>
        </w:tc>
      </w:tr>
      <w:tr w:rsidR="00523806" w:rsidRPr="007F5BD2" w14:paraId="3FD80CD3"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FBB192" w14:textId="7D9E5411"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4.4.2. Impactul asupra echității și egalității de gen</w:t>
            </w:r>
          </w:p>
        </w:tc>
      </w:tr>
      <w:tr w:rsidR="00523806" w:rsidRPr="007F2450" w14:paraId="599E652C"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FA8A74" w14:textId="708D6105" w:rsidR="00E0327B" w:rsidRPr="007F2450" w:rsidRDefault="006244E8" w:rsidP="00B924ED">
            <w:pPr>
              <w:ind w:firstLine="307"/>
              <w:rPr>
                <w:rFonts w:ascii="Times New Roman" w:hAnsi="Times New Roman"/>
                <w:sz w:val="24"/>
                <w:szCs w:val="24"/>
                <w:lang w:val="ro-RO"/>
              </w:rPr>
            </w:pPr>
            <w:r w:rsidRPr="007F2450">
              <w:rPr>
                <w:rFonts w:ascii="Times New Roman" w:hAnsi="Times New Roman"/>
                <w:sz w:val="24"/>
                <w:szCs w:val="24"/>
                <w:lang w:val="ro-RO"/>
              </w:rPr>
              <w:t>Nu este aplicabil.</w:t>
            </w:r>
          </w:p>
        </w:tc>
      </w:tr>
      <w:tr w:rsidR="00523806" w:rsidRPr="007F2450" w14:paraId="0A2D82CD"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61B8E44"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4.5. Impactul asupra mediului</w:t>
            </w:r>
          </w:p>
        </w:tc>
      </w:tr>
      <w:tr w:rsidR="00523806" w:rsidRPr="007F2450" w14:paraId="46303CF8"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3B5B73" w14:textId="58274122" w:rsidR="00E0327B" w:rsidRPr="007F2450" w:rsidRDefault="00E0327B" w:rsidP="00B924ED">
            <w:pPr>
              <w:ind w:firstLine="307"/>
              <w:rPr>
                <w:rFonts w:ascii="Times New Roman" w:hAnsi="Times New Roman"/>
                <w:sz w:val="24"/>
                <w:szCs w:val="24"/>
                <w:lang w:val="ro-RO"/>
              </w:rPr>
            </w:pPr>
            <w:r w:rsidRPr="007F2450">
              <w:rPr>
                <w:rFonts w:ascii="Times New Roman" w:hAnsi="Times New Roman"/>
                <w:sz w:val="24"/>
                <w:szCs w:val="24"/>
                <w:lang w:val="ro-RO"/>
              </w:rPr>
              <w:t>Nu este aplicabil.</w:t>
            </w:r>
          </w:p>
        </w:tc>
      </w:tr>
      <w:tr w:rsidR="00523806" w:rsidRPr="007F5BD2" w14:paraId="7EB1026A"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FF9983"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4.6. Alte impacturi și informații relevante</w:t>
            </w:r>
          </w:p>
        </w:tc>
      </w:tr>
      <w:tr w:rsidR="00523806" w:rsidRPr="007F5BD2" w14:paraId="629E4FC3"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695D1" w14:textId="6FBF8A65" w:rsidR="00E0327B" w:rsidRPr="007F2450" w:rsidRDefault="00E0327B" w:rsidP="00B924ED">
            <w:pPr>
              <w:ind w:firstLine="307"/>
              <w:rPr>
                <w:rFonts w:ascii="Times New Roman" w:hAnsi="Times New Roman"/>
                <w:sz w:val="24"/>
                <w:szCs w:val="24"/>
                <w:lang w:val="ro-RO"/>
              </w:rPr>
            </w:pPr>
          </w:p>
        </w:tc>
      </w:tr>
      <w:tr w:rsidR="00523806" w:rsidRPr="007F5BD2" w14:paraId="78081263"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E66C7B3"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 xml:space="preserve">5. Compatibilitatea proiectului actului normativ cu legislația UE </w:t>
            </w:r>
          </w:p>
        </w:tc>
      </w:tr>
      <w:tr w:rsidR="00523806" w:rsidRPr="007F5BD2" w14:paraId="38185D6B"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8B6639D"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t>5.1. Măsuri normative necesare pentru transpunerea actelor juridice ale UE în legislația națională</w:t>
            </w:r>
          </w:p>
        </w:tc>
      </w:tr>
      <w:tr w:rsidR="00523806" w:rsidRPr="007F2450" w14:paraId="45F13E4B"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6E9258" w14:textId="600B2885" w:rsidR="00E0327B" w:rsidRPr="007F2450" w:rsidRDefault="006244E8" w:rsidP="00B924ED">
            <w:pPr>
              <w:ind w:firstLine="307"/>
              <w:rPr>
                <w:rFonts w:ascii="Times New Roman" w:hAnsi="Times New Roman"/>
                <w:sz w:val="24"/>
                <w:szCs w:val="24"/>
                <w:lang w:val="ro-RO"/>
              </w:rPr>
            </w:pPr>
            <w:r w:rsidRPr="007F2450">
              <w:rPr>
                <w:rFonts w:ascii="Times New Roman" w:hAnsi="Times New Roman"/>
                <w:sz w:val="24"/>
                <w:szCs w:val="24"/>
                <w:lang w:val="ro-RO"/>
              </w:rPr>
              <w:t>Nu este aplicabil.</w:t>
            </w:r>
          </w:p>
        </w:tc>
      </w:tr>
      <w:tr w:rsidR="00523806" w:rsidRPr="007F5BD2" w14:paraId="2A4C87A9"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C4B47B" w14:textId="77777777" w:rsidR="00E0327B" w:rsidRPr="007F2450" w:rsidRDefault="00E0327B" w:rsidP="00E0327B">
            <w:pPr>
              <w:rPr>
                <w:rFonts w:ascii="Times New Roman" w:hAnsi="Times New Roman"/>
                <w:sz w:val="24"/>
                <w:szCs w:val="24"/>
                <w:lang w:val="ro-RO"/>
              </w:rPr>
            </w:pPr>
            <w:r w:rsidRPr="007F2450">
              <w:rPr>
                <w:rFonts w:ascii="Times New Roman" w:hAnsi="Times New Roman"/>
                <w:sz w:val="24"/>
                <w:szCs w:val="24"/>
                <w:lang w:val="ro-RO"/>
              </w:rPr>
              <w:lastRenderedPageBreak/>
              <w:t>5.2. Măsuri normative care urmăresc crearea cadrului juridic intern necesar pentru implementarea legislației UE</w:t>
            </w:r>
          </w:p>
        </w:tc>
      </w:tr>
      <w:tr w:rsidR="00523806" w:rsidRPr="007F2450" w14:paraId="0E0D6DE2"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FD21FB" w14:textId="40DEAB47" w:rsidR="00E0327B" w:rsidRPr="007F2450" w:rsidRDefault="006244E8" w:rsidP="00B924ED">
            <w:pPr>
              <w:ind w:firstLine="307"/>
              <w:rPr>
                <w:rFonts w:ascii="Times New Roman" w:hAnsi="Times New Roman"/>
                <w:sz w:val="24"/>
                <w:szCs w:val="24"/>
                <w:lang w:val="ro-RO"/>
              </w:rPr>
            </w:pPr>
            <w:r w:rsidRPr="007F2450">
              <w:rPr>
                <w:rFonts w:ascii="Times New Roman" w:hAnsi="Times New Roman"/>
                <w:sz w:val="24"/>
                <w:szCs w:val="24"/>
                <w:lang w:val="ro-RO"/>
              </w:rPr>
              <w:t>Nu este aplicabil.</w:t>
            </w:r>
          </w:p>
        </w:tc>
      </w:tr>
      <w:tr w:rsidR="00523806" w:rsidRPr="007F5BD2" w14:paraId="28F9288D"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3D2675"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6. Avizarea și consultarea publică a proiectului actului normativ</w:t>
            </w:r>
          </w:p>
        </w:tc>
      </w:tr>
      <w:tr w:rsidR="00523806" w:rsidRPr="007F5BD2" w14:paraId="77397556"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A17A6" w14:textId="44BFF331" w:rsidR="00B924ED" w:rsidRPr="007F2450" w:rsidRDefault="00DE7DEB" w:rsidP="00B924ED">
            <w:pPr>
              <w:ind w:firstLine="307"/>
              <w:rPr>
                <w:rFonts w:ascii="Times New Roman" w:hAnsi="Times New Roman"/>
                <w:sz w:val="24"/>
                <w:szCs w:val="24"/>
                <w:lang w:val="ro-RO"/>
              </w:rPr>
            </w:pPr>
            <w:r w:rsidRPr="007F2450">
              <w:rPr>
                <w:rFonts w:ascii="Times New Roman" w:hAnsi="Times New Roman"/>
                <w:sz w:val="24"/>
                <w:szCs w:val="24"/>
                <w:lang w:val="ro-RO"/>
              </w:rPr>
              <w:t xml:space="preserve">În vederea respectării prevederilor Legii nr. 100/2017 cu privire la actele normative și Legii nr. 239/2008 privind transparența în procesul decizional, Ministerul Sănătății a publicat pe pagina web: </w:t>
            </w:r>
            <w:hyperlink r:id="rId12" w:history="1">
              <w:r w:rsidRPr="007F2450">
                <w:rPr>
                  <w:rFonts w:ascii="Times New Roman" w:hAnsi="Times New Roman"/>
                  <w:sz w:val="24"/>
                  <w:szCs w:val="24"/>
                  <w:lang w:val="ro-RO"/>
                </w:rPr>
                <w:t>www.particip.gov.md</w:t>
              </w:r>
            </w:hyperlink>
            <w:r w:rsidR="00FF207D">
              <w:rPr>
                <w:rFonts w:ascii="Times New Roman" w:hAnsi="Times New Roman"/>
                <w:sz w:val="24"/>
                <w:szCs w:val="24"/>
                <w:lang w:val="ro-RO"/>
              </w:rPr>
              <w:t xml:space="preserve"> a</w:t>
            </w:r>
            <w:r w:rsidRPr="007F2450">
              <w:rPr>
                <w:rFonts w:ascii="Times New Roman" w:hAnsi="Times New Roman"/>
                <w:sz w:val="24"/>
                <w:szCs w:val="24"/>
                <w:lang w:val="ro-RO"/>
              </w:rPr>
              <w:t xml:space="preserve">nunțul privind inițierea elaborării proiectului hotărârii Guvernului „Cu privire la aprobarea Metodologiei de calculare a taxelor pentru </w:t>
            </w:r>
            <w:r w:rsidR="00FF207D">
              <w:rPr>
                <w:rFonts w:ascii="Times New Roman" w:hAnsi="Times New Roman"/>
                <w:sz w:val="24"/>
                <w:szCs w:val="24"/>
                <w:lang w:val="ro-RO"/>
              </w:rPr>
              <w:t>serviciile</w:t>
            </w:r>
            <w:r w:rsidRPr="007F2450">
              <w:rPr>
                <w:rFonts w:ascii="Times New Roman" w:hAnsi="Times New Roman"/>
                <w:sz w:val="24"/>
                <w:szCs w:val="24"/>
                <w:lang w:val="ro-RO"/>
              </w:rPr>
              <w:t xml:space="preserve"> de evaluare şi acreditare în sănătate”.</w:t>
            </w:r>
          </w:p>
          <w:p w14:paraId="3BF12FE2" w14:textId="5C366EF4" w:rsidR="00442687" w:rsidRPr="007F2450" w:rsidRDefault="00165E5B" w:rsidP="00B924ED">
            <w:pPr>
              <w:ind w:firstLine="307"/>
              <w:rPr>
                <w:rFonts w:ascii="Times New Roman" w:hAnsi="Times New Roman"/>
                <w:sz w:val="24"/>
                <w:szCs w:val="24"/>
                <w:lang w:val="ro-RO"/>
              </w:rPr>
            </w:pPr>
            <w:hyperlink r:id="rId13" w:history="1">
              <w:r w:rsidR="00442687" w:rsidRPr="007F2450">
                <w:rPr>
                  <w:rStyle w:val="Hyperlink"/>
                  <w:rFonts w:ascii="Times New Roman" w:hAnsi="Times New Roman"/>
                  <w:color w:val="auto"/>
                  <w:sz w:val="24"/>
                  <w:szCs w:val="24"/>
                  <w:lang w:val="ro-RO"/>
                </w:rPr>
                <w:t>https://particip.gov.md/ro/document/stages/*/12880</w:t>
              </w:r>
            </w:hyperlink>
          </w:p>
          <w:p w14:paraId="79957F16" w14:textId="756CBFC4" w:rsidR="00E0327B" w:rsidRPr="007F2450" w:rsidRDefault="00B924ED" w:rsidP="00FF207D">
            <w:pPr>
              <w:ind w:firstLine="307"/>
              <w:rPr>
                <w:rFonts w:ascii="Times New Roman" w:hAnsi="Times New Roman"/>
                <w:sz w:val="24"/>
                <w:szCs w:val="24"/>
                <w:lang w:val="ro-RO"/>
              </w:rPr>
            </w:pPr>
            <w:r w:rsidRPr="007F2450">
              <w:rPr>
                <w:rFonts w:ascii="Times New Roman" w:hAnsi="Times New Roman"/>
                <w:sz w:val="24"/>
                <w:szCs w:val="24"/>
                <w:lang w:val="ro-RO"/>
              </w:rPr>
              <w:t xml:space="preserve"> </w:t>
            </w:r>
            <w:r w:rsidR="00DE7DEB" w:rsidRPr="007F2450">
              <w:rPr>
                <w:rFonts w:ascii="Times New Roman" w:hAnsi="Times New Roman"/>
                <w:sz w:val="24"/>
                <w:szCs w:val="24"/>
                <w:lang w:val="ro-RO"/>
              </w:rPr>
              <w:t xml:space="preserve">De asemenea, proiectul </w:t>
            </w:r>
            <w:r w:rsidR="00442687" w:rsidRPr="007F2450">
              <w:rPr>
                <w:rFonts w:ascii="Times New Roman" w:hAnsi="Times New Roman"/>
                <w:sz w:val="24"/>
                <w:szCs w:val="24"/>
                <w:lang w:val="ro-RO"/>
              </w:rPr>
              <w:t xml:space="preserve">de hotărâre </w:t>
            </w:r>
            <w:r w:rsidR="00DE7DEB" w:rsidRPr="007F2450">
              <w:rPr>
                <w:rFonts w:ascii="Times New Roman" w:hAnsi="Times New Roman"/>
                <w:sz w:val="24"/>
                <w:szCs w:val="24"/>
                <w:lang w:val="ro-RO"/>
              </w:rPr>
              <w:t>urmează să fie avizat de către Ministerul Finanțelor, Ministerul Dezvoltării Economice și Digitalizării, C</w:t>
            </w:r>
            <w:r w:rsidR="00BA243F">
              <w:rPr>
                <w:rFonts w:ascii="Times New Roman" w:hAnsi="Times New Roman"/>
                <w:sz w:val="24"/>
                <w:szCs w:val="24"/>
                <w:lang w:val="ro-RO"/>
              </w:rPr>
              <w:t>ancelaria de Stat și Consiliul</w:t>
            </w:r>
            <w:r w:rsidR="00DE7DEB" w:rsidRPr="007F2450">
              <w:rPr>
                <w:rFonts w:ascii="Times New Roman" w:hAnsi="Times New Roman"/>
                <w:sz w:val="24"/>
                <w:szCs w:val="24"/>
                <w:lang w:val="ro-RO"/>
              </w:rPr>
              <w:t xml:space="preserve"> Concurenței.</w:t>
            </w:r>
          </w:p>
        </w:tc>
      </w:tr>
      <w:tr w:rsidR="00523806" w:rsidRPr="007F2450" w14:paraId="1BE3901D"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257584E"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7. Concluziile expertizelor</w:t>
            </w:r>
          </w:p>
        </w:tc>
      </w:tr>
      <w:tr w:rsidR="00523806" w:rsidRPr="007F5BD2" w14:paraId="524FCABD"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1C720B" w14:textId="277A3D3D" w:rsidR="00D912FA" w:rsidRPr="007F2450" w:rsidRDefault="00DE7DEB" w:rsidP="00B924ED">
            <w:pPr>
              <w:ind w:firstLine="307"/>
              <w:rPr>
                <w:rFonts w:ascii="Times New Roman" w:hAnsi="Times New Roman"/>
                <w:sz w:val="24"/>
                <w:szCs w:val="24"/>
                <w:lang w:val="ro-RO"/>
              </w:rPr>
            </w:pPr>
            <w:r w:rsidRPr="007F2450">
              <w:rPr>
                <w:rFonts w:ascii="Times New Roman" w:hAnsi="Times New Roman"/>
                <w:sz w:val="24"/>
                <w:szCs w:val="24"/>
                <w:lang w:val="ro-RO"/>
              </w:rPr>
              <w:t xml:space="preserve">Proiectul </w:t>
            </w:r>
            <w:r w:rsidR="00442687" w:rsidRPr="007F2450">
              <w:rPr>
                <w:rFonts w:ascii="Times New Roman" w:hAnsi="Times New Roman"/>
                <w:sz w:val="24"/>
                <w:szCs w:val="24"/>
                <w:lang w:val="ro-RO"/>
              </w:rPr>
              <w:t xml:space="preserve">de hotărâre </w:t>
            </w:r>
            <w:r w:rsidRPr="007F2450">
              <w:rPr>
                <w:rFonts w:ascii="Times New Roman" w:hAnsi="Times New Roman"/>
                <w:sz w:val="24"/>
                <w:szCs w:val="24"/>
                <w:lang w:val="ro-RO"/>
              </w:rPr>
              <w:t xml:space="preserve">urmează să fie supus </w:t>
            </w:r>
            <w:r w:rsidR="00D912FA" w:rsidRPr="007F2450">
              <w:rPr>
                <w:rFonts w:ascii="Times New Roman" w:hAnsi="Times New Roman"/>
                <w:sz w:val="24"/>
                <w:szCs w:val="24"/>
                <w:lang w:val="ro-RO"/>
              </w:rPr>
              <w:t xml:space="preserve">expertizei juridice de către Ministerul Justiției și </w:t>
            </w:r>
            <w:r w:rsidRPr="007F2450">
              <w:rPr>
                <w:rFonts w:ascii="Times New Roman" w:hAnsi="Times New Roman"/>
                <w:sz w:val="24"/>
                <w:szCs w:val="24"/>
                <w:lang w:val="ro-RO"/>
              </w:rPr>
              <w:t>expertizei anticorupție de către Centrul Național Anticorupție.</w:t>
            </w:r>
          </w:p>
        </w:tc>
      </w:tr>
      <w:tr w:rsidR="00523806" w:rsidRPr="007F5BD2" w14:paraId="56BA7B45"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219E15"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8. Modul de încorporare a actului în cadrul normativ existent</w:t>
            </w:r>
          </w:p>
        </w:tc>
      </w:tr>
      <w:tr w:rsidR="00523806" w:rsidRPr="007F5BD2" w14:paraId="71AA2E46"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7F8A2" w14:textId="6065B1CB" w:rsidR="00E0327B" w:rsidRPr="007F2450" w:rsidRDefault="00442687" w:rsidP="00B924ED">
            <w:pPr>
              <w:ind w:firstLine="307"/>
              <w:rPr>
                <w:rFonts w:ascii="Times New Roman" w:hAnsi="Times New Roman"/>
                <w:sz w:val="24"/>
                <w:szCs w:val="24"/>
                <w:lang w:val="ro-RO"/>
              </w:rPr>
            </w:pPr>
            <w:r w:rsidRPr="007F2450">
              <w:rPr>
                <w:rFonts w:ascii="Times New Roman" w:hAnsi="Times New Roman"/>
                <w:sz w:val="24"/>
                <w:szCs w:val="24"/>
                <w:lang w:val="ro-RO"/>
              </w:rPr>
              <w:t>Aprobarea proiectului de hotărâre nu implică modificarea sau elaborarea unor acte normative noi.</w:t>
            </w:r>
          </w:p>
        </w:tc>
      </w:tr>
      <w:tr w:rsidR="00523806" w:rsidRPr="007F5BD2" w14:paraId="21293E1F" w14:textId="77777777" w:rsidTr="00F20B74">
        <w:tc>
          <w:tcPr>
            <w:tcW w:w="906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8BE21F3" w14:textId="77777777" w:rsidR="00E0327B" w:rsidRPr="007F2450" w:rsidRDefault="00E0327B" w:rsidP="00E0327B">
            <w:pPr>
              <w:rPr>
                <w:rFonts w:ascii="Times New Roman" w:hAnsi="Times New Roman"/>
                <w:b/>
                <w:bCs/>
                <w:sz w:val="24"/>
                <w:szCs w:val="24"/>
                <w:lang w:val="ro-RO"/>
              </w:rPr>
            </w:pPr>
            <w:r w:rsidRPr="007F2450">
              <w:rPr>
                <w:rFonts w:ascii="Times New Roman" w:hAnsi="Times New Roman"/>
                <w:b/>
                <w:bCs/>
                <w:sz w:val="24"/>
                <w:szCs w:val="24"/>
                <w:lang w:val="ro-RO"/>
              </w:rPr>
              <w:t>9. Măsurile necesare pentru implementarea prevederilor proiectului actului normativ</w:t>
            </w:r>
          </w:p>
        </w:tc>
      </w:tr>
      <w:tr w:rsidR="0084721F" w:rsidRPr="007F5BD2" w14:paraId="44AD47CD" w14:textId="77777777" w:rsidTr="00F20B74">
        <w:tc>
          <w:tcPr>
            <w:tcW w:w="906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23D82E" w14:textId="77777777" w:rsidR="006B748C" w:rsidRDefault="006B748C" w:rsidP="00C8336C">
            <w:pPr>
              <w:ind w:firstLine="307"/>
              <w:rPr>
                <w:rFonts w:ascii="Times New Roman" w:hAnsi="Times New Roman"/>
                <w:sz w:val="24"/>
                <w:szCs w:val="24"/>
                <w:lang w:val="ro-RO"/>
              </w:rPr>
            </w:pPr>
            <w:r>
              <w:rPr>
                <w:rFonts w:ascii="Times New Roman" w:hAnsi="Times New Roman"/>
                <w:sz w:val="24"/>
                <w:szCs w:val="24"/>
                <w:lang w:val="ro-RO"/>
              </w:rPr>
              <w:t>Aprobarea proiectului în cauză implică următoarele măsuri:</w:t>
            </w:r>
          </w:p>
          <w:p w14:paraId="25AE18F1" w14:textId="75C8A9CA" w:rsidR="006B748C" w:rsidRPr="006B748C" w:rsidRDefault="006B748C" w:rsidP="006B748C">
            <w:pPr>
              <w:pStyle w:val="ListParagraph"/>
              <w:numPr>
                <w:ilvl w:val="0"/>
                <w:numId w:val="47"/>
              </w:numPr>
              <w:rPr>
                <w:rFonts w:ascii="Times New Roman" w:hAnsi="Times New Roman"/>
                <w:sz w:val="24"/>
                <w:szCs w:val="24"/>
                <w:lang w:val="ro-RO"/>
              </w:rPr>
            </w:pPr>
            <w:r>
              <w:rPr>
                <w:rFonts w:ascii="Times New Roman" w:hAnsi="Times New Roman"/>
                <w:sz w:val="24"/>
                <w:szCs w:val="24"/>
                <w:lang w:val="ro-RO"/>
              </w:rPr>
              <w:t>c</w:t>
            </w:r>
            <w:r w:rsidRPr="006B748C">
              <w:rPr>
                <w:rFonts w:ascii="Times New Roman" w:hAnsi="Times New Roman"/>
                <w:sz w:val="24"/>
                <w:szCs w:val="24"/>
                <w:lang w:val="ro-RO"/>
              </w:rPr>
              <w:t>alcularea tarifelor pentru serviciile de evaluare și acreditare de către CNEAS;</w:t>
            </w:r>
          </w:p>
          <w:p w14:paraId="4640F2BE" w14:textId="078D1134" w:rsidR="006B748C" w:rsidRPr="006B748C" w:rsidRDefault="006B748C" w:rsidP="006B748C">
            <w:pPr>
              <w:pStyle w:val="ListParagraph"/>
              <w:numPr>
                <w:ilvl w:val="0"/>
                <w:numId w:val="47"/>
              </w:numPr>
              <w:rPr>
                <w:sz w:val="24"/>
                <w:szCs w:val="24"/>
                <w:lang w:val="ro-RO"/>
              </w:rPr>
            </w:pPr>
            <w:r>
              <w:rPr>
                <w:rFonts w:ascii="Times New Roman" w:hAnsi="Times New Roman"/>
                <w:sz w:val="24"/>
                <w:szCs w:val="24"/>
                <w:lang w:val="ro-RO"/>
              </w:rPr>
              <w:t>a</w:t>
            </w:r>
            <w:r w:rsidRPr="006B748C">
              <w:rPr>
                <w:rFonts w:ascii="Times New Roman" w:hAnsi="Times New Roman"/>
                <w:sz w:val="24"/>
                <w:szCs w:val="24"/>
                <w:lang w:val="ro-RO"/>
              </w:rPr>
              <w:t xml:space="preserve">probarea tarifelor pentru serviciile de evaluare și </w:t>
            </w:r>
            <w:r w:rsidR="00BE1CE0">
              <w:rPr>
                <w:rFonts w:ascii="Times New Roman" w:hAnsi="Times New Roman"/>
                <w:sz w:val="24"/>
                <w:szCs w:val="24"/>
                <w:lang w:val="ro-RO"/>
              </w:rPr>
              <w:t>acreditare de către Ministerul</w:t>
            </w:r>
            <w:r w:rsidRPr="006B748C">
              <w:rPr>
                <w:rFonts w:ascii="Times New Roman" w:hAnsi="Times New Roman"/>
                <w:sz w:val="24"/>
                <w:szCs w:val="24"/>
                <w:lang w:val="ro-RO"/>
              </w:rPr>
              <w:t xml:space="preserve"> Sănătății</w:t>
            </w:r>
            <w:r>
              <w:rPr>
                <w:rFonts w:ascii="Times New Roman" w:hAnsi="Times New Roman"/>
                <w:sz w:val="24"/>
                <w:szCs w:val="24"/>
                <w:lang w:val="ro-RO"/>
              </w:rPr>
              <w:t>.</w:t>
            </w:r>
          </w:p>
        </w:tc>
      </w:tr>
    </w:tbl>
    <w:p w14:paraId="6DBA6EE2" w14:textId="3A87E3B5" w:rsidR="00B159B4" w:rsidRPr="007F2450" w:rsidRDefault="00B159B4"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A3C97D4" w14:textId="77777777" w:rsidR="00CD2CA8" w:rsidRDefault="00CD2CA8"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A4772D8" w14:textId="77777777" w:rsidR="00F01EE7" w:rsidRDefault="00F01EE7"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20D950C" w14:textId="77777777" w:rsidR="00F01EE7" w:rsidRDefault="00F01EE7"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75921EB" w14:textId="77777777" w:rsidR="00F5290E" w:rsidRPr="007F2450" w:rsidRDefault="00F5290E"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E39CF5D" w14:textId="77777777" w:rsidR="00CD2CA8" w:rsidRPr="007F2450" w:rsidRDefault="00CD2CA8" w:rsidP="000F564F">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F03E8DA" w14:textId="3383AFF6" w:rsidR="00CD2CA8" w:rsidRPr="007F2450" w:rsidRDefault="000E1576" w:rsidP="000F564F">
      <w:pPr>
        <w:pBdr>
          <w:top w:val="none" w:sz="4" w:space="0" w:color="000000"/>
          <w:left w:val="none" w:sz="4" w:space="0" w:color="000000"/>
          <w:bottom w:val="none" w:sz="4" w:space="0" w:color="000000"/>
          <w:right w:val="none" w:sz="4" w:space="0" w:color="000000"/>
        </w:pBdr>
        <w:tabs>
          <w:tab w:val="left" w:pos="884"/>
          <w:tab w:val="left" w:pos="1196"/>
        </w:tabs>
        <w:rPr>
          <w:b/>
          <w:bCs/>
          <w:sz w:val="24"/>
          <w:szCs w:val="24"/>
          <w:lang w:val="ro-RO"/>
        </w:rPr>
      </w:pPr>
      <w:r w:rsidRPr="007F2450">
        <w:rPr>
          <w:b/>
          <w:bCs/>
          <w:sz w:val="24"/>
          <w:szCs w:val="24"/>
          <w:lang w:val="ro-RO"/>
        </w:rPr>
        <w:t xml:space="preserve">Ministru  </w:t>
      </w:r>
      <w:r w:rsidR="00BD5B7B">
        <w:rPr>
          <w:b/>
          <w:bCs/>
          <w:sz w:val="24"/>
          <w:szCs w:val="24"/>
          <w:lang w:val="ro-RO"/>
        </w:rPr>
        <w:t xml:space="preserve">                         </w:t>
      </w:r>
      <w:r w:rsidRPr="007F2450">
        <w:rPr>
          <w:b/>
          <w:bCs/>
          <w:sz w:val="24"/>
          <w:szCs w:val="24"/>
          <w:lang w:val="ro-RO"/>
        </w:rPr>
        <w:t xml:space="preserve">                                           Ala NEMERENCO</w:t>
      </w:r>
    </w:p>
    <w:sectPr w:rsidR="00CD2CA8" w:rsidRPr="007F2450">
      <w:headerReference w:type="default" r:id="rId14"/>
      <w:headerReference w:type="first" r:id="rId15"/>
      <w:pgSz w:w="11907" w:h="16840" w:orient="landscape"/>
      <w:pgMar w:top="1418" w:right="567" w:bottom="1418" w:left="1985"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10B8" w14:textId="77777777" w:rsidR="00165E5B" w:rsidRPr="00AC1E35" w:rsidRDefault="00165E5B">
      <w:r w:rsidRPr="00AC1E35">
        <w:separator/>
      </w:r>
    </w:p>
  </w:endnote>
  <w:endnote w:type="continuationSeparator" w:id="0">
    <w:p w14:paraId="06BE91B5" w14:textId="77777777" w:rsidR="00165E5B" w:rsidRPr="00AC1E35" w:rsidRDefault="00165E5B">
      <w:r w:rsidRPr="00AC1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A7D1F" w14:textId="77777777" w:rsidR="00165E5B" w:rsidRPr="00AC1E35" w:rsidRDefault="00165E5B">
      <w:r w:rsidRPr="00AC1E35">
        <w:separator/>
      </w:r>
    </w:p>
  </w:footnote>
  <w:footnote w:type="continuationSeparator" w:id="0">
    <w:p w14:paraId="3EF452EC" w14:textId="77777777" w:rsidR="00165E5B" w:rsidRPr="00AC1E35" w:rsidRDefault="00165E5B">
      <w:r w:rsidRPr="00AC1E3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F8AF" w14:textId="77777777" w:rsidR="00B159B4" w:rsidRPr="00AC1E35" w:rsidRDefault="00B159B4">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786D" w14:textId="77777777" w:rsidR="00B159B4" w:rsidRPr="00AC1E35" w:rsidRDefault="00B159B4">
    <w:pPr>
      <w:pStyle w:val="Header"/>
      <w:ind w:firstLine="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58C"/>
    <w:multiLevelType w:val="multilevel"/>
    <w:tmpl w:val="4BC4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A87DD3"/>
    <w:multiLevelType w:val="multilevel"/>
    <w:tmpl w:val="A81CEA9A"/>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A94132D"/>
    <w:multiLevelType w:val="multilevel"/>
    <w:tmpl w:val="AFAC086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D45403"/>
    <w:multiLevelType w:val="multilevel"/>
    <w:tmpl w:val="9B547854"/>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73FD8"/>
    <w:multiLevelType w:val="multilevel"/>
    <w:tmpl w:val="FB92D2C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442182"/>
    <w:multiLevelType w:val="multilevel"/>
    <w:tmpl w:val="77546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FD19CA"/>
    <w:multiLevelType w:val="hybridMultilevel"/>
    <w:tmpl w:val="984ADCC6"/>
    <w:lvl w:ilvl="0" w:tplc="2A78C5B0">
      <w:start w:val="10"/>
      <w:numFmt w:val="decimal"/>
      <w:lvlText w:val="%1."/>
      <w:lvlJc w:val="left"/>
      <w:pPr>
        <w:ind w:left="360" w:hanging="360"/>
      </w:pPr>
      <w:rPr>
        <w:rFonts w:hint="default"/>
        <w:b/>
        <w:b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8578EA"/>
    <w:multiLevelType w:val="multilevel"/>
    <w:tmpl w:val="E0689D7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1ACD5500"/>
    <w:multiLevelType w:val="multilevel"/>
    <w:tmpl w:val="54D27FC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2F5B5A"/>
    <w:multiLevelType w:val="multilevel"/>
    <w:tmpl w:val="AADAF6A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nsid w:val="1D631CA7"/>
    <w:multiLevelType w:val="multilevel"/>
    <w:tmpl w:val="D1D43D90"/>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002CA4"/>
    <w:multiLevelType w:val="multilevel"/>
    <w:tmpl w:val="9F3072E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1534CD"/>
    <w:multiLevelType w:val="multilevel"/>
    <w:tmpl w:val="B5C83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3D7799"/>
    <w:multiLevelType w:val="multilevel"/>
    <w:tmpl w:val="065A2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64B3E88"/>
    <w:multiLevelType w:val="multilevel"/>
    <w:tmpl w:val="6A2A6DA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5E3B4B"/>
    <w:multiLevelType w:val="multilevel"/>
    <w:tmpl w:val="DC1835D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8A18DE"/>
    <w:multiLevelType w:val="multilevel"/>
    <w:tmpl w:val="4BF2E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EF65AF4"/>
    <w:multiLevelType w:val="multilevel"/>
    <w:tmpl w:val="09AA30A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D0094E"/>
    <w:multiLevelType w:val="multilevel"/>
    <w:tmpl w:val="4252A49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30D92AD0"/>
    <w:multiLevelType w:val="multilevel"/>
    <w:tmpl w:val="5B148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F321E4"/>
    <w:multiLevelType w:val="multilevel"/>
    <w:tmpl w:val="B1B860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33704F7"/>
    <w:multiLevelType w:val="multilevel"/>
    <w:tmpl w:val="634CE2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F34EE1"/>
    <w:multiLevelType w:val="multilevel"/>
    <w:tmpl w:val="9868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A6A2A77"/>
    <w:multiLevelType w:val="multilevel"/>
    <w:tmpl w:val="BAE437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ED10B22"/>
    <w:multiLevelType w:val="hybridMultilevel"/>
    <w:tmpl w:val="6098443C"/>
    <w:lvl w:ilvl="0" w:tplc="13C2666A">
      <w:start w:val="1"/>
      <w:numFmt w:val="decimal"/>
      <w:lvlText w:val="%1."/>
      <w:lvlJc w:val="left"/>
      <w:pPr>
        <w:ind w:left="1068" w:hanging="360"/>
      </w:pPr>
      <w:rPr>
        <w:strike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nsid w:val="45AA4877"/>
    <w:multiLevelType w:val="multilevel"/>
    <w:tmpl w:val="94564D9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5E0A15"/>
    <w:multiLevelType w:val="multilevel"/>
    <w:tmpl w:val="FD22846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4CEF338B"/>
    <w:multiLevelType w:val="multilevel"/>
    <w:tmpl w:val="3530B8F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A4629D"/>
    <w:multiLevelType w:val="multilevel"/>
    <w:tmpl w:val="CF5455C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A35D17"/>
    <w:multiLevelType w:val="hybridMultilevel"/>
    <w:tmpl w:val="14F080F6"/>
    <w:lvl w:ilvl="0" w:tplc="9A2C042A">
      <w:start w:val="4"/>
      <w:numFmt w:val="bullet"/>
      <w:lvlText w:val="-"/>
      <w:lvlJc w:val="left"/>
      <w:pPr>
        <w:ind w:left="667" w:hanging="360"/>
      </w:pPr>
      <w:rPr>
        <w:rFonts w:ascii="Times New Roman" w:eastAsia="Calibri" w:hAnsi="Times New Roman" w:cs="Times New Roman" w:hint="default"/>
      </w:rPr>
    </w:lvl>
    <w:lvl w:ilvl="1" w:tplc="04190003" w:tentative="1">
      <w:start w:val="1"/>
      <w:numFmt w:val="bullet"/>
      <w:lvlText w:val="o"/>
      <w:lvlJc w:val="left"/>
      <w:pPr>
        <w:ind w:left="1387" w:hanging="360"/>
      </w:pPr>
      <w:rPr>
        <w:rFonts w:ascii="Courier New" w:hAnsi="Courier New" w:cs="Courier New" w:hint="default"/>
      </w:rPr>
    </w:lvl>
    <w:lvl w:ilvl="2" w:tplc="04190005" w:tentative="1">
      <w:start w:val="1"/>
      <w:numFmt w:val="bullet"/>
      <w:lvlText w:val=""/>
      <w:lvlJc w:val="left"/>
      <w:pPr>
        <w:ind w:left="2107" w:hanging="360"/>
      </w:pPr>
      <w:rPr>
        <w:rFonts w:ascii="Wingdings" w:hAnsi="Wingdings" w:hint="default"/>
      </w:rPr>
    </w:lvl>
    <w:lvl w:ilvl="3" w:tplc="04190001" w:tentative="1">
      <w:start w:val="1"/>
      <w:numFmt w:val="bullet"/>
      <w:lvlText w:val=""/>
      <w:lvlJc w:val="left"/>
      <w:pPr>
        <w:ind w:left="2827" w:hanging="360"/>
      </w:pPr>
      <w:rPr>
        <w:rFonts w:ascii="Symbol" w:hAnsi="Symbol" w:hint="default"/>
      </w:rPr>
    </w:lvl>
    <w:lvl w:ilvl="4" w:tplc="04190003" w:tentative="1">
      <w:start w:val="1"/>
      <w:numFmt w:val="bullet"/>
      <w:lvlText w:val="o"/>
      <w:lvlJc w:val="left"/>
      <w:pPr>
        <w:ind w:left="3547" w:hanging="360"/>
      </w:pPr>
      <w:rPr>
        <w:rFonts w:ascii="Courier New" w:hAnsi="Courier New" w:cs="Courier New" w:hint="default"/>
      </w:rPr>
    </w:lvl>
    <w:lvl w:ilvl="5" w:tplc="04190005" w:tentative="1">
      <w:start w:val="1"/>
      <w:numFmt w:val="bullet"/>
      <w:lvlText w:val=""/>
      <w:lvlJc w:val="left"/>
      <w:pPr>
        <w:ind w:left="4267" w:hanging="360"/>
      </w:pPr>
      <w:rPr>
        <w:rFonts w:ascii="Wingdings" w:hAnsi="Wingdings" w:hint="default"/>
      </w:rPr>
    </w:lvl>
    <w:lvl w:ilvl="6" w:tplc="04190001" w:tentative="1">
      <w:start w:val="1"/>
      <w:numFmt w:val="bullet"/>
      <w:lvlText w:val=""/>
      <w:lvlJc w:val="left"/>
      <w:pPr>
        <w:ind w:left="4987" w:hanging="360"/>
      </w:pPr>
      <w:rPr>
        <w:rFonts w:ascii="Symbol" w:hAnsi="Symbol" w:hint="default"/>
      </w:rPr>
    </w:lvl>
    <w:lvl w:ilvl="7" w:tplc="04190003" w:tentative="1">
      <w:start w:val="1"/>
      <w:numFmt w:val="bullet"/>
      <w:lvlText w:val="o"/>
      <w:lvlJc w:val="left"/>
      <w:pPr>
        <w:ind w:left="5707" w:hanging="360"/>
      </w:pPr>
      <w:rPr>
        <w:rFonts w:ascii="Courier New" w:hAnsi="Courier New" w:cs="Courier New" w:hint="default"/>
      </w:rPr>
    </w:lvl>
    <w:lvl w:ilvl="8" w:tplc="04190005" w:tentative="1">
      <w:start w:val="1"/>
      <w:numFmt w:val="bullet"/>
      <w:lvlText w:val=""/>
      <w:lvlJc w:val="left"/>
      <w:pPr>
        <w:ind w:left="6427" w:hanging="360"/>
      </w:pPr>
      <w:rPr>
        <w:rFonts w:ascii="Wingdings" w:hAnsi="Wingdings" w:hint="default"/>
      </w:rPr>
    </w:lvl>
  </w:abstractNum>
  <w:abstractNum w:abstractNumId="30">
    <w:nsid w:val="514C2558"/>
    <w:multiLevelType w:val="multilevel"/>
    <w:tmpl w:val="97D0A62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1">
    <w:nsid w:val="5B6A3C41"/>
    <w:multiLevelType w:val="multilevel"/>
    <w:tmpl w:val="8864D722"/>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nsid w:val="5E4371C7"/>
    <w:multiLevelType w:val="multilevel"/>
    <w:tmpl w:val="84F2B20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8061C1"/>
    <w:multiLevelType w:val="hybridMultilevel"/>
    <w:tmpl w:val="A97ECEA8"/>
    <w:lvl w:ilvl="0" w:tplc="319C8E3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4F4399D"/>
    <w:multiLevelType w:val="multilevel"/>
    <w:tmpl w:val="F5E856B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6BE5ED0"/>
    <w:multiLevelType w:val="multilevel"/>
    <w:tmpl w:val="1402169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6C182EF0"/>
    <w:multiLevelType w:val="multilevel"/>
    <w:tmpl w:val="B8E0133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BE44F2"/>
    <w:multiLevelType w:val="multilevel"/>
    <w:tmpl w:val="68E8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F710A9D"/>
    <w:multiLevelType w:val="multilevel"/>
    <w:tmpl w:val="ABF0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19B255A"/>
    <w:multiLevelType w:val="multilevel"/>
    <w:tmpl w:val="5DFE3B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794AF7"/>
    <w:multiLevelType w:val="multilevel"/>
    <w:tmpl w:val="3C84F6B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CA6469"/>
    <w:multiLevelType w:val="multilevel"/>
    <w:tmpl w:val="D9505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6417DBA"/>
    <w:multiLevelType w:val="multilevel"/>
    <w:tmpl w:val="292C0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C273A48"/>
    <w:multiLevelType w:val="multilevel"/>
    <w:tmpl w:val="3CFE6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CC60B19"/>
    <w:multiLevelType w:val="multilevel"/>
    <w:tmpl w:val="C0C4A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DBB3CED"/>
    <w:multiLevelType w:val="multilevel"/>
    <w:tmpl w:val="0532A9F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15"/>
  </w:num>
  <w:num w:numId="3">
    <w:abstractNumId w:val="5"/>
  </w:num>
  <w:num w:numId="4">
    <w:abstractNumId w:val="19"/>
  </w:num>
  <w:num w:numId="5">
    <w:abstractNumId w:val="3"/>
  </w:num>
  <w:num w:numId="6">
    <w:abstractNumId w:val="41"/>
  </w:num>
  <w:num w:numId="7">
    <w:abstractNumId w:val="12"/>
  </w:num>
  <w:num w:numId="8">
    <w:abstractNumId w:val="42"/>
  </w:num>
  <w:num w:numId="9">
    <w:abstractNumId w:val="8"/>
  </w:num>
  <w:num w:numId="10">
    <w:abstractNumId w:val="18"/>
  </w:num>
  <w:num w:numId="11">
    <w:abstractNumId w:val="30"/>
  </w:num>
  <w:num w:numId="12">
    <w:abstractNumId w:val="10"/>
  </w:num>
  <w:num w:numId="13">
    <w:abstractNumId w:val="39"/>
  </w:num>
  <w:num w:numId="14">
    <w:abstractNumId w:val="23"/>
  </w:num>
  <w:num w:numId="15">
    <w:abstractNumId w:val="1"/>
  </w:num>
  <w:num w:numId="16">
    <w:abstractNumId w:val="25"/>
  </w:num>
  <w:num w:numId="17">
    <w:abstractNumId w:val="14"/>
  </w:num>
  <w:num w:numId="18">
    <w:abstractNumId w:val="17"/>
  </w:num>
  <w:num w:numId="19">
    <w:abstractNumId w:val="45"/>
  </w:num>
  <w:num w:numId="20">
    <w:abstractNumId w:val="28"/>
  </w:num>
  <w:num w:numId="21">
    <w:abstractNumId w:val="4"/>
  </w:num>
  <w:num w:numId="22">
    <w:abstractNumId w:val="20"/>
  </w:num>
  <w:num w:numId="23">
    <w:abstractNumId w:val="0"/>
  </w:num>
  <w:num w:numId="24">
    <w:abstractNumId w:val="37"/>
  </w:num>
  <w:num w:numId="25">
    <w:abstractNumId w:val="43"/>
  </w:num>
  <w:num w:numId="26">
    <w:abstractNumId w:val="44"/>
  </w:num>
  <w:num w:numId="27">
    <w:abstractNumId w:val="21"/>
  </w:num>
  <w:num w:numId="28">
    <w:abstractNumId w:val="34"/>
    <w:lvlOverride w:ilvl="0">
      <w:startOverride w:val="1"/>
    </w:lvlOverride>
  </w:num>
  <w:num w:numId="29">
    <w:abstractNumId w:val="36"/>
  </w:num>
  <w:num w:numId="30">
    <w:abstractNumId w:val="32"/>
  </w:num>
  <w:num w:numId="31">
    <w:abstractNumId w:val="2"/>
  </w:num>
  <w:num w:numId="32">
    <w:abstractNumId w:val="34"/>
  </w:num>
  <w:num w:numId="33">
    <w:abstractNumId w:val="13"/>
  </w:num>
  <w:num w:numId="34">
    <w:abstractNumId w:val="16"/>
  </w:num>
  <w:num w:numId="35">
    <w:abstractNumId w:val="38"/>
  </w:num>
  <w:num w:numId="36">
    <w:abstractNumId w:val="22"/>
  </w:num>
  <w:num w:numId="37">
    <w:abstractNumId w:val="40"/>
  </w:num>
  <w:num w:numId="38">
    <w:abstractNumId w:val="27"/>
  </w:num>
  <w:num w:numId="39">
    <w:abstractNumId w:val="31"/>
  </w:num>
  <w:num w:numId="40">
    <w:abstractNumId w:val="9"/>
  </w:num>
  <w:num w:numId="41">
    <w:abstractNumId w:val="7"/>
  </w:num>
  <w:num w:numId="42">
    <w:abstractNumId w:val="26"/>
  </w:num>
  <w:num w:numId="43">
    <w:abstractNumId w:val="35"/>
  </w:num>
  <w:num w:numId="44">
    <w:abstractNumId w:val="33"/>
  </w:num>
  <w:num w:numId="45">
    <w:abstractNumId w:val="6"/>
  </w:num>
  <w:num w:numId="46">
    <w:abstractNumId w:val="2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B4"/>
    <w:rsid w:val="0001243C"/>
    <w:rsid w:val="00020EC5"/>
    <w:rsid w:val="00072198"/>
    <w:rsid w:val="000851AF"/>
    <w:rsid w:val="00087B91"/>
    <w:rsid w:val="00097B24"/>
    <w:rsid w:val="000C7F85"/>
    <w:rsid w:val="000D5729"/>
    <w:rsid w:val="000E1576"/>
    <w:rsid w:val="000E4F55"/>
    <w:rsid w:val="000F564F"/>
    <w:rsid w:val="00104D66"/>
    <w:rsid w:val="00121568"/>
    <w:rsid w:val="001321F2"/>
    <w:rsid w:val="00165E5B"/>
    <w:rsid w:val="0017692A"/>
    <w:rsid w:val="00187CEB"/>
    <w:rsid w:val="0019140B"/>
    <w:rsid w:val="001A71E3"/>
    <w:rsid w:val="001B362F"/>
    <w:rsid w:val="001D1000"/>
    <w:rsid w:val="001E0695"/>
    <w:rsid w:val="001E4B9E"/>
    <w:rsid w:val="00223E40"/>
    <w:rsid w:val="0023558C"/>
    <w:rsid w:val="00246D59"/>
    <w:rsid w:val="002521A8"/>
    <w:rsid w:val="0027020A"/>
    <w:rsid w:val="0028171D"/>
    <w:rsid w:val="002847A4"/>
    <w:rsid w:val="002A35C7"/>
    <w:rsid w:val="002B44D4"/>
    <w:rsid w:val="002D4637"/>
    <w:rsid w:val="002D4AD8"/>
    <w:rsid w:val="002E4212"/>
    <w:rsid w:val="002F29A1"/>
    <w:rsid w:val="003106DC"/>
    <w:rsid w:val="003204C7"/>
    <w:rsid w:val="0035322F"/>
    <w:rsid w:val="00367DD2"/>
    <w:rsid w:val="00375A30"/>
    <w:rsid w:val="00382FB7"/>
    <w:rsid w:val="003B30CF"/>
    <w:rsid w:val="003B61F1"/>
    <w:rsid w:val="003B720C"/>
    <w:rsid w:val="003E4A78"/>
    <w:rsid w:val="00411B59"/>
    <w:rsid w:val="00442687"/>
    <w:rsid w:val="00487B2B"/>
    <w:rsid w:val="00523806"/>
    <w:rsid w:val="0052411C"/>
    <w:rsid w:val="005244D0"/>
    <w:rsid w:val="0053275F"/>
    <w:rsid w:val="00552759"/>
    <w:rsid w:val="00554EF3"/>
    <w:rsid w:val="00580BFE"/>
    <w:rsid w:val="00597FB0"/>
    <w:rsid w:val="005A55DD"/>
    <w:rsid w:val="005D2D79"/>
    <w:rsid w:val="005E3D4A"/>
    <w:rsid w:val="005F0C47"/>
    <w:rsid w:val="005F3F61"/>
    <w:rsid w:val="006126E2"/>
    <w:rsid w:val="00613330"/>
    <w:rsid w:val="006244E8"/>
    <w:rsid w:val="00626FFE"/>
    <w:rsid w:val="00652A9E"/>
    <w:rsid w:val="006551DF"/>
    <w:rsid w:val="006706E7"/>
    <w:rsid w:val="006B748C"/>
    <w:rsid w:val="006D588D"/>
    <w:rsid w:val="006E5F3C"/>
    <w:rsid w:val="00714C81"/>
    <w:rsid w:val="00715037"/>
    <w:rsid w:val="00720555"/>
    <w:rsid w:val="00726A30"/>
    <w:rsid w:val="00751C1F"/>
    <w:rsid w:val="007703A5"/>
    <w:rsid w:val="00777A8A"/>
    <w:rsid w:val="00797DEA"/>
    <w:rsid w:val="007D4327"/>
    <w:rsid w:val="007F2450"/>
    <w:rsid w:val="007F5BD2"/>
    <w:rsid w:val="00806E52"/>
    <w:rsid w:val="00845E73"/>
    <w:rsid w:val="0084721F"/>
    <w:rsid w:val="008577EC"/>
    <w:rsid w:val="00862B11"/>
    <w:rsid w:val="00872217"/>
    <w:rsid w:val="008861A3"/>
    <w:rsid w:val="008B28EA"/>
    <w:rsid w:val="008B34FE"/>
    <w:rsid w:val="008C4008"/>
    <w:rsid w:val="008D159B"/>
    <w:rsid w:val="008F4157"/>
    <w:rsid w:val="00914360"/>
    <w:rsid w:val="00916D95"/>
    <w:rsid w:val="00931177"/>
    <w:rsid w:val="00965ED8"/>
    <w:rsid w:val="00991A5F"/>
    <w:rsid w:val="009B5892"/>
    <w:rsid w:val="00A01E2D"/>
    <w:rsid w:val="00A125C5"/>
    <w:rsid w:val="00AA6403"/>
    <w:rsid w:val="00AB01CB"/>
    <w:rsid w:val="00AC1E35"/>
    <w:rsid w:val="00AD2AE0"/>
    <w:rsid w:val="00B02CEA"/>
    <w:rsid w:val="00B1332D"/>
    <w:rsid w:val="00B159B4"/>
    <w:rsid w:val="00B342F7"/>
    <w:rsid w:val="00B351C6"/>
    <w:rsid w:val="00B4429D"/>
    <w:rsid w:val="00B460BF"/>
    <w:rsid w:val="00B7657C"/>
    <w:rsid w:val="00B82114"/>
    <w:rsid w:val="00B924ED"/>
    <w:rsid w:val="00BA243F"/>
    <w:rsid w:val="00BC36DE"/>
    <w:rsid w:val="00BC6CEA"/>
    <w:rsid w:val="00BD5B7B"/>
    <w:rsid w:val="00BE1CE0"/>
    <w:rsid w:val="00BF5447"/>
    <w:rsid w:val="00C25DA5"/>
    <w:rsid w:val="00C340AA"/>
    <w:rsid w:val="00C56F93"/>
    <w:rsid w:val="00C74A84"/>
    <w:rsid w:val="00C75492"/>
    <w:rsid w:val="00C8336C"/>
    <w:rsid w:val="00C9474C"/>
    <w:rsid w:val="00CA7803"/>
    <w:rsid w:val="00CC7BAA"/>
    <w:rsid w:val="00CD2CA8"/>
    <w:rsid w:val="00CE4795"/>
    <w:rsid w:val="00D10FA2"/>
    <w:rsid w:val="00D64F4D"/>
    <w:rsid w:val="00D871CF"/>
    <w:rsid w:val="00D912FA"/>
    <w:rsid w:val="00D9218C"/>
    <w:rsid w:val="00DC2726"/>
    <w:rsid w:val="00DD4905"/>
    <w:rsid w:val="00DE7DEB"/>
    <w:rsid w:val="00E0327B"/>
    <w:rsid w:val="00E071F4"/>
    <w:rsid w:val="00E21849"/>
    <w:rsid w:val="00E34130"/>
    <w:rsid w:val="00E62BD1"/>
    <w:rsid w:val="00E63CE4"/>
    <w:rsid w:val="00E65C4B"/>
    <w:rsid w:val="00EA0001"/>
    <w:rsid w:val="00F01EE7"/>
    <w:rsid w:val="00F20B74"/>
    <w:rsid w:val="00F317BF"/>
    <w:rsid w:val="00F47285"/>
    <w:rsid w:val="00F47D9E"/>
    <w:rsid w:val="00F5290E"/>
    <w:rsid w:val="00F54252"/>
    <w:rsid w:val="00F74AE2"/>
    <w:rsid w:val="00F83EEF"/>
    <w:rsid w:val="00F8428D"/>
    <w:rsid w:val="00F855B9"/>
    <w:rsid w:val="00F95943"/>
    <w:rsid w:val="00FA1F10"/>
    <w:rsid w:val="00FB57B1"/>
    <w:rsid w:val="00FB5DA1"/>
    <w:rsid w:val="00FD44B6"/>
    <w:rsid w:val="00FE0A8C"/>
    <w:rsid w:val="00FF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GridTable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eastAsia="ru-RU"/>
    </w:rPr>
  </w:style>
  <w:style w:type="paragraph" w:customStyle="1" w:styleId="cn">
    <w:name w:val="cn"/>
    <w:basedOn w:val="Normal"/>
    <w:pPr>
      <w:ind w:firstLine="0"/>
      <w:jc w:val="center"/>
    </w:pPr>
    <w:rPr>
      <w:sz w:val="24"/>
      <w:szCs w:val="24"/>
      <w:lang w:eastAsia="ru-RU"/>
    </w:rPr>
  </w:style>
  <w:style w:type="paragraph" w:customStyle="1" w:styleId="cb">
    <w:name w:val="cb"/>
    <w:basedOn w:val="Normal"/>
    <w:uiPriority w:val="99"/>
    <w:semiHidden/>
    <w:pPr>
      <w:ind w:firstLine="0"/>
      <w:jc w:val="center"/>
    </w:pPr>
    <w:rPr>
      <w:b/>
      <w:bCs/>
      <w:sz w:val="24"/>
      <w:szCs w:val="24"/>
      <w:lang w:eastAsia="ru-RU"/>
    </w:rPr>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List Paragraph1,Абзац списка1,List Paragraph11,Абзац списка2,HotarirePunct1,Normal bullet 2,Bullet List,Scriptoria bullet points"/>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2Exact">
    <w:name w:val="Основной текст (2) Exact"/>
    <w:basedOn w:val="DefaultParagraphFont"/>
    <w:rsid w:val="00367DD2"/>
    <w:rPr>
      <w:rFonts w:ascii="Times New Roman" w:eastAsia="Times New Roman" w:hAnsi="Times New Roman" w:cs="Times New Roman"/>
      <w:b w:val="0"/>
      <w:bCs w:val="0"/>
      <w:i w:val="0"/>
      <w:iCs w:val="0"/>
      <w:smallCaps w:val="0"/>
      <w:strike w:val="0"/>
      <w:sz w:val="26"/>
      <w:szCs w:val="26"/>
      <w:u w:val="none"/>
    </w:rPr>
  </w:style>
  <w:style w:type="character" w:styleId="FollowedHyperlink">
    <w:name w:val="FollowedHyperlink"/>
    <w:basedOn w:val="DefaultParagraphFont"/>
    <w:uiPriority w:val="99"/>
    <w:semiHidden/>
    <w:unhideWhenUsed/>
    <w:rsid w:val="00B02CEA"/>
    <w:rPr>
      <w:color w:val="800080" w:themeColor="followedHyperlink"/>
      <w:u w:val="single"/>
    </w:rPr>
  </w:style>
  <w:style w:type="character" w:customStyle="1" w:styleId="ListParagraphChar">
    <w:name w:val="List Paragraph Char"/>
    <w:aliases w:val="List Paragraph 1 Char,List Paragraph1 Char,Абзац списка1 Char,List Paragraph11 Char,Абзац списка2 Char,HotarirePunct1 Char,Normal bullet 2 Char,Bullet List Char,Scriptoria bullet points Char"/>
    <w:basedOn w:val="DefaultParagraphFont"/>
    <w:link w:val="ListParagraph"/>
    <w:uiPriority w:val="34"/>
    <w:locked/>
    <w:rsid w:val="00E071F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GridTable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eastAsia="ru-RU"/>
    </w:rPr>
  </w:style>
  <w:style w:type="paragraph" w:customStyle="1" w:styleId="cn">
    <w:name w:val="cn"/>
    <w:basedOn w:val="Normal"/>
    <w:pPr>
      <w:ind w:firstLine="0"/>
      <w:jc w:val="center"/>
    </w:pPr>
    <w:rPr>
      <w:sz w:val="24"/>
      <w:szCs w:val="24"/>
      <w:lang w:eastAsia="ru-RU"/>
    </w:rPr>
  </w:style>
  <w:style w:type="paragraph" w:customStyle="1" w:styleId="cb">
    <w:name w:val="cb"/>
    <w:basedOn w:val="Normal"/>
    <w:uiPriority w:val="99"/>
    <w:semiHidden/>
    <w:pPr>
      <w:ind w:firstLine="0"/>
      <w:jc w:val="center"/>
    </w:pPr>
    <w:rPr>
      <w:b/>
      <w:bCs/>
      <w:sz w:val="24"/>
      <w:szCs w:val="24"/>
      <w:lang w:eastAsia="ru-RU"/>
    </w:rPr>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List Paragraph1,Абзац списка1,List Paragraph11,Абзац списка2,HotarirePunct1,Normal bullet 2,Bullet List,Scriptoria bullet points"/>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2Exact">
    <w:name w:val="Основной текст (2) Exact"/>
    <w:basedOn w:val="DefaultParagraphFont"/>
    <w:rsid w:val="00367DD2"/>
    <w:rPr>
      <w:rFonts w:ascii="Times New Roman" w:eastAsia="Times New Roman" w:hAnsi="Times New Roman" w:cs="Times New Roman"/>
      <w:b w:val="0"/>
      <w:bCs w:val="0"/>
      <w:i w:val="0"/>
      <w:iCs w:val="0"/>
      <w:smallCaps w:val="0"/>
      <w:strike w:val="0"/>
      <w:sz w:val="26"/>
      <w:szCs w:val="26"/>
      <w:u w:val="none"/>
    </w:rPr>
  </w:style>
  <w:style w:type="character" w:styleId="FollowedHyperlink">
    <w:name w:val="FollowedHyperlink"/>
    <w:basedOn w:val="DefaultParagraphFont"/>
    <w:uiPriority w:val="99"/>
    <w:semiHidden/>
    <w:unhideWhenUsed/>
    <w:rsid w:val="00B02CEA"/>
    <w:rPr>
      <w:color w:val="800080" w:themeColor="followedHyperlink"/>
      <w:u w:val="single"/>
    </w:rPr>
  </w:style>
  <w:style w:type="character" w:customStyle="1" w:styleId="ListParagraphChar">
    <w:name w:val="List Paragraph Char"/>
    <w:aliases w:val="List Paragraph 1 Char,List Paragraph1 Char,Абзац списка1 Char,List Paragraph11 Char,Абзац списка2 Char,HotarirePunct1 Char,Normal bullet 2 Char,Bullet List Char,Scriptoria bullet points Char"/>
    <w:basedOn w:val="DefaultParagraphFont"/>
    <w:link w:val="ListParagraph"/>
    <w:uiPriority w:val="34"/>
    <w:locked/>
    <w:rsid w:val="00E071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403">
      <w:bodyDiv w:val="1"/>
      <w:marLeft w:val="0"/>
      <w:marRight w:val="0"/>
      <w:marTop w:val="0"/>
      <w:marBottom w:val="0"/>
      <w:divBdr>
        <w:top w:val="none" w:sz="0" w:space="0" w:color="auto"/>
        <w:left w:val="none" w:sz="0" w:space="0" w:color="auto"/>
        <w:bottom w:val="none" w:sz="0" w:space="0" w:color="auto"/>
        <w:right w:val="none" w:sz="0" w:space="0" w:color="auto"/>
      </w:divBdr>
    </w:div>
    <w:div w:id="239605003">
      <w:bodyDiv w:val="1"/>
      <w:marLeft w:val="0"/>
      <w:marRight w:val="0"/>
      <w:marTop w:val="0"/>
      <w:marBottom w:val="0"/>
      <w:divBdr>
        <w:top w:val="none" w:sz="0" w:space="0" w:color="auto"/>
        <w:left w:val="none" w:sz="0" w:space="0" w:color="auto"/>
        <w:bottom w:val="none" w:sz="0" w:space="0" w:color="auto"/>
        <w:right w:val="none" w:sz="0" w:space="0" w:color="auto"/>
      </w:divBdr>
    </w:div>
    <w:div w:id="1171718502">
      <w:bodyDiv w:val="1"/>
      <w:marLeft w:val="0"/>
      <w:marRight w:val="0"/>
      <w:marTop w:val="0"/>
      <w:marBottom w:val="0"/>
      <w:divBdr>
        <w:top w:val="none" w:sz="0" w:space="0" w:color="auto"/>
        <w:left w:val="none" w:sz="0" w:space="0" w:color="auto"/>
        <w:bottom w:val="none" w:sz="0" w:space="0" w:color="auto"/>
        <w:right w:val="none" w:sz="0" w:space="0" w:color="auto"/>
      </w:divBdr>
    </w:div>
    <w:div w:id="1186794522">
      <w:bodyDiv w:val="1"/>
      <w:marLeft w:val="0"/>
      <w:marRight w:val="0"/>
      <w:marTop w:val="0"/>
      <w:marBottom w:val="0"/>
      <w:divBdr>
        <w:top w:val="none" w:sz="0" w:space="0" w:color="auto"/>
        <w:left w:val="none" w:sz="0" w:space="0" w:color="auto"/>
        <w:bottom w:val="none" w:sz="0" w:space="0" w:color="auto"/>
        <w:right w:val="none" w:sz="0" w:space="0" w:color="auto"/>
      </w:divBdr>
    </w:div>
    <w:div w:id="1798983776">
      <w:bodyDiv w:val="1"/>
      <w:marLeft w:val="0"/>
      <w:marRight w:val="0"/>
      <w:marTop w:val="0"/>
      <w:marBottom w:val="0"/>
      <w:divBdr>
        <w:top w:val="none" w:sz="0" w:space="0" w:color="auto"/>
        <w:left w:val="none" w:sz="0" w:space="0" w:color="auto"/>
        <w:bottom w:val="none" w:sz="0" w:space="0" w:color="auto"/>
        <w:right w:val="none" w:sz="0" w:space="0" w:color="auto"/>
      </w:divBdr>
    </w:div>
    <w:div w:id="185068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ticip.gov.md/ro/document/stages/*/1288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3176381-0578-47F2-8376-F8B893F6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Pages>
  <Words>1899</Words>
  <Characters>10827</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435.2023.ro</vt:lpstr>
      <vt:lpstr>435.2023.ro</vt:lpstr>
    </vt:vector>
  </TitlesOfParts>
  <Company>Cancelaria Guvernului</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Igor Sajin</cp:lastModifiedBy>
  <cp:revision>63</cp:revision>
  <cp:lastPrinted>2024-07-31T05:30:00Z</cp:lastPrinted>
  <dcterms:created xsi:type="dcterms:W3CDTF">2024-07-11T12:46:00Z</dcterms:created>
  <dcterms:modified xsi:type="dcterms:W3CDTF">2024-08-06T11:51:00Z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