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73" w:rsidRPr="00723A48" w:rsidRDefault="00610F73" w:rsidP="00610F73">
      <w:pPr>
        <w:autoSpaceDE w:val="0"/>
        <w:autoSpaceDN w:val="0"/>
        <w:adjustRightInd w:val="0"/>
        <w:jc w:val="center"/>
        <w:rPr>
          <w:b/>
          <w:bCs/>
          <w:sz w:val="28"/>
          <w:szCs w:val="28"/>
          <w:lang w:val="ro-RO"/>
        </w:rPr>
      </w:pPr>
      <w:r w:rsidRPr="00723A48">
        <w:rPr>
          <w:b/>
          <w:bCs/>
          <w:sz w:val="28"/>
          <w:szCs w:val="28"/>
          <w:lang w:val="ro-RO"/>
        </w:rPr>
        <w:t>NOTĂ INFORMATIVĂ</w:t>
      </w:r>
    </w:p>
    <w:p w:rsidR="00610F73" w:rsidRPr="00723A48" w:rsidRDefault="00610F73" w:rsidP="00610F73">
      <w:pPr>
        <w:autoSpaceDE w:val="0"/>
        <w:autoSpaceDN w:val="0"/>
        <w:adjustRightInd w:val="0"/>
        <w:jc w:val="center"/>
        <w:rPr>
          <w:b/>
          <w:bCs/>
          <w:sz w:val="28"/>
          <w:szCs w:val="28"/>
          <w:lang w:val="ro-RO"/>
        </w:rPr>
      </w:pPr>
      <w:r w:rsidRPr="00723A48">
        <w:rPr>
          <w:b/>
          <w:bCs/>
          <w:sz w:val="28"/>
          <w:szCs w:val="28"/>
          <w:lang w:val="ro-RO"/>
        </w:rPr>
        <w:t xml:space="preserve">la proiectul </w:t>
      </w:r>
      <w:proofErr w:type="spellStart"/>
      <w:r w:rsidRPr="00723A48">
        <w:rPr>
          <w:b/>
          <w:bCs/>
          <w:sz w:val="28"/>
          <w:szCs w:val="28"/>
          <w:lang w:val="ro-RO"/>
        </w:rPr>
        <w:t>Hotărîrii</w:t>
      </w:r>
      <w:proofErr w:type="spellEnd"/>
      <w:r w:rsidRPr="00723A48">
        <w:rPr>
          <w:b/>
          <w:bCs/>
          <w:sz w:val="28"/>
          <w:szCs w:val="28"/>
          <w:lang w:val="ro-RO"/>
        </w:rPr>
        <w:t xml:space="preserve"> Guvernului</w:t>
      </w:r>
    </w:p>
    <w:p w:rsidR="00610F73" w:rsidRPr="00723A48" w:rsidRDefault="00610F73" w:rsidP="00610F73">
      <w:pPr>
        <w:autoSpaceDE w:val="0"/>
        <w:autoSpaceDN w:val="0"/>
        <w:adjustRightInd w:val="0"/>
        <w:jc w:val="center"/>
        <w:rPr>
          <w:b/>
          <w:bCs/>
          <w:sz w:val="28"/>
          <w:szCs w:val="28"/>
          <w:lang w:val="ro-RO"/>
        </w:rPr>
      </w:pPr>
      <w:r w:rsidRPr="00723A48">
        <w:rPr>
          <w:b/>
          <w:bCs/>
          <w:sz w:val="28"/>
          <w:szCs w:val="28"/>
          <w:lang w:val="ro-RO"/>
        </w:rPr>
        <w:t>privind aprobarea Strategiei de dezvoltare a Poliției pentru anii 2016-2020</w:t>
      </w:r>
    </w:p>
    <w:p w:rsidR="00610F73" w:rsidRPr="00723A48" w:rsidRDefault="00610F73" w:rsidP="00610F73">
      <w:pPr>
        <w:autoSpaceDE w:val="0"/>
        <w:autoSpaceDN w:val="0"/>
        <w:adjustRightInd w:val="0"/>
        <w:jc w:val="both"/>
        <w:rPr>
          <w:b/>
          <w:bCs/>
          <w:sz w:val="28"/>
          <w:szCs w:val="28"/>
          <w:lang w:val="ro-RO"/>
        </w:rPr>
      </w:pPr>
    </w:p>
    <w:p w:rsidR="00610F73" w:rsidRPr="00723A48" w:rsidRDefault="00610F73" w:rsidP="00610F73">
      <w:pPr>
        <w:autoSpaceDE w:val="0"/>
        <w:autoSpaceDN w:val="0"/>
        <w:adjustRightInd w:val="0"/>
        <w:ind w:firstLine="540"/>
        <w:jc w:val="both"/>
        <w:rPr>
          <w:b/>
          <w:bCs/>
          <w:sz w:val="28"/>
          <w:szCs w:val="28"/>
          <w:lang w:val="ro-RO"/>
        </w:rPr>
      </w:pPr>
      <w:r w:rsidRPr="00723A48">
        <w:rPr>
          <w:b/>
          <w:bCs/>
          <w:sz w:val="28"/>
          <w:szCs w:val="28"/>
          <w:lang w:val="ro-RO"/>
        </w:rPr>
        <w:t>Condiţiile ce au impus elaborarea proiectului</w:t>
      </w:r>
    </w:p>
    <w:p w:rsidR="00610F73" w:rsidRPr="00723A48" w:rsidRDefault="00610F73" w:rsidP="00610F73">
      <w:pPr>
        <w:pStyle w:val="ListParagraph"/>
        <w:ind w:left="0" w:firstLine="567"/>
        <w:jc w:val="both"/>
        <w:rPr>
          <w:rFonts w:ascii="Times New Roman" w:hAnsi="Times New Roman"/>
          <w:sz w:val="28"/>
          <w:szCs w:val="28"/>
        </w:rPr>
      </w:pPr>
      <w:proofErr w:type="spellStart"/>
      <w:r w:rsidRPr="00723A48">
        <w:rPr>
          <w:rFonts w:ascii="Times New Roman" w:hAnsi="Times New Roman"/>
          <w:sz w:val="28"/>
          <w:szCs w:val="28"/>
        </w:rPr>
        <w:t>Hotărîrea</w:t>
      </w:r>
      <w:proofErr w:type="spellEnd"/>
      <w:r w:rsidRPr="00723A48">
        <w:rPr>
          <w:rFonts w:ascii="Times New Roman" w:hAnsi="Times New Roman"/>
          <w:sz w:val="28"/>
          <w:szCs w:val="28"/>
        </w:rPr>
        <w:t xml:space="preserve"> Guvernului 1109/06.12.2010 privind aprobarea Concepţiei de reformare a MAI şi a structurilor subordonate ale acestuia reprezintă primul document de politici publice care a identificat principalele probleme ale sistemului afacerilor interne existente în momentul adoptării actului normativ, a stabilit obiectivele procesului de reformă, precum şi actele normative care urmau a fi modificate. O parte dintre obiectivele şi măsurile stabilite în cadrul acestei Concepţii de reformă au fost puse în aplicare, fapt ce a indicat practic la iniţierea procesului de reformă instituţională a MAI şi a structurilor subordonate. </w:t>
      </w:r>
      <w:r w:rsidRPr="00723A48">
        <w:rPr>
          <w:rFonts w:ascii="Times New Roman" w:hAnsi="Times New Roman"/>
          <w:bCs/>
          <w:iCs/>
          <w:sz w:val="28"/>
          <w:szCs w:val="28"/>
        </w:rPr>
        <w:t xml:space="preserve">Astfel, dacă anterior Poliţia era un departament în cadrul MAI, fără o identitate proprie şi fără un centru propriu de administrare şi dirijare, cu dublări de funcţii şi competenţe, prin acțiunile de reformare a fost realizată delimitarea strictă a funcţiilor subdiviziunilor MAI potrivit specializării lor, cu identificarea şi stabilirea clară a competenţelor acestora, </w:t>
      </w:r>
      <w:proofErr w:type="spellStart"/>
      <w:r w:rsidRPr="00723A48">
        <w:rPr>
          <w:rFonts w:ascii="Times New Roman" w:hAnsi="Times New Roman"/>
          <w:bCs/>
          <w:iCs/>
          <w:sz w:val="28"/>
          <w:szCs w:val="28"/>
        </w:rPr>
        <w:t>asigurîndu-se</w:t>
      </w:r>
      <w:proofErr w:type="spellEnd"/>
      <w:r w:rsidRPr="00723A48">
        <w:rPr>
          <w:rFonts w:ascii="Times New Roman" w:hAnsi="Times New Roman"/>
          <w:bCs/>
          <w:iCs/>
          <w:sz w:val="28"/>
          <w:szCs w:val="28"/>
        </w:rPr>
        <w:t xml:space="preserve"> independența uneia față de alta şi complementaritatea atribuţiilor. </w:t>
      </w:r>
    </w:p>
    <w:p w:rsidR="00610F73" w:rsidRPr="00723A48" w:rsidRDefault="00610F73" w:rsidP="00610F73">
      <w:pPr>
        <w:pStyle w:val="ListParagraph"/>
        <w:spacing w:after="0"/>
        <w:ind w:left="0" w:firstLine="562"/>
        <w:jc w:val="both"/>
        <w:rPr>
          <w:rFonts w:ascii="Times New Roman" w:hAnsi="Times New Roman"/>
          <w:sz w:val="28"/>
          <w:szCs w:val="28"/>
        </w:rPr>
      </w:pPr>
      <w:r w:rsidRPr="00723A48">
        <w:rPr>
          <w:rFonts w:ascii="Times New Roman" w:hAnsi="Times New Roman"/>
          <w:sz w:val="28"/>
          <w:szCs w:val="28"/>
        </w:rPr>
        <w:t xml:space="preserve">Prin Legea nr. 320/2013 a fost creată instituţia Poliţiei - ca entitate distinctă, coordonată la nivel central de Inspectoratul General al Poliţiei, fapt care a servit drept imbold pentru realizarea unor măsuri concrete care au determinat soluționarea mai multor probleme de funcționare a sistemului afacerilor interne cu referire la activitatea polițienească, fiind depășit stereotipul unei autorități de represiune, lipsită de încredere și respect din partea societății. </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În ipoteza progreselor realizate de la începutul procesului de reformă, există în continuare suficient de multe probleme de natură obiectivă şi subiectivă, care au conduc la tergiversarea implementării procesului de reformă sau pur şi simplu la nerealizarea unora dintre obiectivele propuse în Concepţia de reformare. De altfel, ca urmare a evoluţiei societăţii moldoveneşti şi a deciziei de asociere la valorile şi standardele europene, anumite măsuri propuse în concepţie nu mai sunt de actualitate.</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 xml:space="preserve">Una dintre vulnerabilităţile esenţiale ale reformei sistemului de ordine şi securitate publică o reprezintă lipsa de progres privind reforma Trupelor de Carabinieri. Cadrul normativ care reglementează activitatea  carabinierilor a fost elaborat şi adoptat încă la începutul anilor 90 ai secolului trecut. Pe parcursul perioadei care s-a scurs de atunci au fost adoptate Constituţia Republicii Moldova, Codul penal, Codul de procedură penală, Legea cu privire la activitatea Poliţiei şi statutul poliţistului, precum şi alte acte legislative, care implicit reglementează anumite categorii de raporturi ce privesc activitatea autorităţilor vizate cu sarcina de luptă cu criminalitatea şi de menţinere a ordinii publice. În acelaşi timp, au avut loc evenimente care au schimbat viziunile referitoare la Poliţie, rolul acesteia şi </w:t>
      </w:r>
      <w:r w:rsidRPr="00723A48">
        <w:rPr>
          <w:rFonts w:eastAsia="Calibri"/>
          <w:sz w:val="28"/>
          <w:szCs w:val="28"/>
          <w:lang w:val="ro-RO"/>
        </w:rPr>
        <w:lastRenderedPageBreak/>
        <w:t xml:space="preserve">modul de acţiune a Trupelor de carabinieri în menţinerea ordinii publice şi lupta cu criminalitatea. </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Aceste procese au relevat faptul că Legea cu privire la trupele de carabinieri este învechită din punct de vedere moral şi, în mare parte, este inaplicabilă, iar aportul acestei instituţii la îmbunătăţirea climatului de securitate publică este nesemnificativ în raport cu resursele utilizate.</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Mai mult decât atât, se menţin în continuare paralelisme privind competenţele Poliţiei şi Carabinierilor în activităţile de menţinere a ordinii publice, ceea ce generează deseori conflicte de competenţă.</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 xml:space="preserve">Realizarea reformei nu a fost susținută printr-un suport consistent din punct de vedere al asigurării cu mijloace financiare de la bugetul de stat, elocventă fiind situația privind dotarea cu uniformă, echipament și mijloace speciale a polițiștilor. Aceste lipsuri privind dotarea logistică afectează semnificativ capacitatea de acţiune şi eficacitatea activităţii poliţieneşti şi implicit imaginea instituţională. </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Unele dintre nerealizările procesului de reformă au fost evidenţiate şi în evaluările unor institute de politici din Republica Moldova, individual sau în cooperare cu experţi internaţionali. Poate fi menţionat astfel „Reforma MAI. Obiective, activităţi, rezultate” - studiu realizat de Asociaţia pentru Politică Externă şi Fundaţia Friedrich Ebert (2013) şi „Evaluarea gradului de implementare a legii cu privire la activitatea Poliţiei şi statutul poliţistului” - Institutul de Politici Publice cu suportul Fundaţiei Soros (2014).</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Un exemplu elocvent al tempoului de realizare a reformării Poliției îl reprezintă și datele BOP, care reflectă indirect percepția societății asupra calității măsurilor realizate, iar, în mod direct, asupra calităţii serviciului poliţienesc..</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Astfel, pe parcursul anului 2013 nivelul de încredere în Poliție a înregistrat o creştere de la 33.5% (în luna mai) la 42.4% (în luna decembrie). Un indicator ridicat  s-a constatat și în luna noiembrie 2014, respectiv 39%, pe fondul unui proces continuu şi relativ constant al reformei.</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 xml:space="preserve">Din evaluarea realizărilor procesului de reformă şi a neîmplinirilor care persistă încă, în calitate de obiective se </w:t>
      </w:r>
      <w:proofErr w:type="spellStart"/>
      <w:r w:rsidRPr="00723A48">
        <w:rPr>
          <w:rFonts w:eastAsia="Calibri"/>
          <w:sz w:val="28"/>
          <w:szCs w:val="28"/>
          <w:lang w:val="ro-RO"/>
        </w:rPr>
        <w:t>însciu</w:t>
      </w:r>
      <w:proofErr w:type="spellEnd"/>
      <w:r w:rsidRPr="00723A48">
        <w:rPr>
          <w:rFonts w:eastAsia="Calibri"/>
          <w:sz w:val="28"/>
          <w:szCs w:val="28"/>
          <w:lang w:val="ro-RO"/>
        </w:rPr>
        <w:t xml:space="preserve"> următoarele priorităţi ale continuării procesului de reformă :</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a) stabilirea unui management instituțional eficient, bazat pe un cadru legislativ și normativ bine definit pentru realizarea misiunii Poliției și pe un sistem dezvoltat pe verticală, cu mecanisme viabile de coordonare și control la nivel regional și local;</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b) dezvoltarea capacităţilor instituţionale ale Poliţiei în domeniul creării şi utilizării instrumentelor moderne bazate pe analiza informaţiilor şi analiza de risc, în cadrul unui sistem informatic integrat, care asigură protecţia datelor personale la standardele UE;</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c) asigurarea unui management modern al resurselor umane, bazat pe criterii concrete de evaluare a performanțelor și îmbunătăţirea calității sistemului de pregătire a personalului care să conducă la creşterea responsabilităţii şi eficienţei activităţii poliţieneşti;</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 xml:space="preserve">d) consolidarea capacităților instituționale în domeniul combaterii și investigării infracțiunilor, îndeosebi a crimei organizate transnaţionale; </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lastRenderedPageBreak/>
        <w:t xml:space="preserve">e) alinierea procesului de anchetă prejudiciară la standardele internaţionale; </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f) reorganizarea Trupelor de Carabinieri prin profesionalizarea, demilitarizarea şi includerea acestora în sistemul complex de ordine public, cu stabilirea competenţelor în domeniul menţinerii, asigurării şi restabilirii ordinii publice ;</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g) consolidarea capacităților necesare pentru creșterea nivelului de încredere a societății în Poliție, prin sporirea abilităților de comunicare ale polițiștilor, amplificarea prezenței Poliției în teritoriu, reducerea timpului de reacție la apelurile cetățenilor și implementarea activității polițienești bazate pe politici comunitare, cu implicarea activă a comunității în crearea unui mediu de dezvoltare în siguranță;</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h) asigurarea unui nivel ridicat de integritate al polițiștilor și aplicarea eficientă în activitatea polițienească a abordării axate pe respectarea drepturilor omului.</w:t>
      </w:r>
    </w:p>
    <w:p w:rsidR="00610F73" w:rsidRPr="00723A48" w:rsidRDefault="00610F73" w:rsidP="00610F73">
      <w:pPr>
        <w:tabs>
          <w:tab w:val="num" w:pos="426"/>
        </w:tabs>
        <w:ind w:firstLine="540"/>
        <w:jc w:val="both"/>
        <w:rPr>
          <w:rFonts w:eastAsia="Calibri"/>
          <w:sz w:val="28"/>
          <w:szCs w:val="28"/>
          <w:lang w:val="ro-RO"/>
        </w:rPr>
      </w:pPr>
      <w:r w:rsidRPr="00723A48">
        <w:rPr>
          <w:rFonts w:eastAsia="Calibri"/>
          <w:sz w:val="28"/>
          <w:szCs w:val="28"/>
          <w:lang w:val="ro-RO"/>
        </w:rPr>
        <w:t xml:space="preserve">Evaluarea efectuată a determinat elaborarea prezentei Strategii de dezvoltare a Poliției - ca rezultat al necesităților și vulnerabilităţilor identificate, dar și din oportunitatea stabilirii următorilor pași pentru modernizarea Poliției, reieșind din așteptările societății și  standardele existente la nivel european. </w:t>
      </w:r>
    </w:p>
    <w:p w:rsidR="00610F73" w:rsidRPr="00723A48" w:rsidRDefault="00610F73" w:rsidP="00610F73">
      <w:pPr>
        <w:tabs>
          <w:tab w:val="num" w:pos="426"/>
        </w:tabs>
        <w:ind w:firstLine="540"/>
        <w:jc w:val="both"/>
        <w:rPr>
          <w:b/>
          <w:bCs/>
          <w:sz w:val="28"/>
          <w:szCs w:val="28"/>
          <w:lang w:val="ro-RO"/>
        </w:rPr>
      </w:pPr>
      <w:r w:rsidRPr="00723A48">
        <w:rPr>
          <w:b/>
          <w:bCs/>
          <w:sz w:val="28"/>
          <w:szCs w:val="28"/>
          <w:lang w:val="ro-RO"/>
        </w:rPr>
        <w:t>Principalele prevederi</w:t>
      </w:r>
    </w:p>
    <w:p w:rsidR="00610F73" w:rsidRPr="00723A48" w:rsidRDefault="00610F73" w:rsidP="00610F73">
      <w:pPr>
        <w:tabs>
          <w:tab w:val="num" w:pos="426"/>
        </w:tabs>
        <w:ind w:firstLine="540"/>
        <w:jc w:val="both"/>
        <w:rPr>
          <w:bCs/>
          <w:sz w:val="28"/>
          <w:szCs w:val="28"/>
          <w:lang w:val="ro-RO"/>
        </w:rPr>
      </w:pPr>
      <w:r w:rsidRPr="00723A48">
        <w:rPr>
          <w:bCs/>
          <w:sz w:val="28"/>
          <w:szCs w:val="28"/>
          <w:lang w:val="ro-RO"/>
        </w:rPr>
        <w:t>Adoptarea prezentei strategii va spori la:</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bCs/>
          <w:sz w:val="28"/>
          <w:szCs w:val="28"/>
        </w:rPr>
        <w:t>crearea unui s</w:t>
      </w:r>
      <w:r w:rsidRPr="00723A48">
        <w:rPr>
          <w:rFonts w:ascii="Times New Roman" w:hAnsi="Times New Roman"/>
          <w:sz w:val="28"/>
          <w:szCs w:val="28"/>
        </w:rPr>
        <w:t>istem de selectare și promovare a personalului transparent, bazat pe concurs şi criterii clare de selectare, evaluare și promovare a personalului;</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 xml:space="preserve">promovarea principiilor de transparență în procesul managementului </w:t>
      </w:r>
      <w:proofErr w:type="spellStart"/>
      <w:r w:rsidRPr="00723A48">
        <w:rPr>
          <w:rFonts w:ascii="Times New Roman" w:hAnsi="Times New Roman"/>
          <w:sz w:val="28"/>
          <w:szCs w:val="28"/>
        </w:rPr>
        <w:t>decisional</w:t>
      </w:r>
      <w:proofErr w:type="spellEnd"/>
      <w:r w:rsidRPr="00723A48">
        <w:rPr>
          <w:rFonts w:ascii="Times New Roman" w:hAnsi="Times New Roman"/>
          <w:sz w:val="28"/>
          <w:szCs w:val="28"/>
        </w:rPr>
        <w:t>;</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reorganizarea sistemului de menținere, asigurare și restabilire a ordinii publice;</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consolidarea capacităților Poliției în domeniul securității rutiere;</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consolidarea capacităților Poliției de participare la misiunile internaționale și operațiunile UE de gestionare a situațiilor de criză;</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eliminarea tuturor formelor de rele tratamente și abuz, a oricăror forme de discriminare în acțiunile Poliției;</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revizuirea statutului ofițerilor de investigații și ofițerilor de urmărire penală;</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dezvoltarea capacităților structurilor responsabile de combaterea criminalității organizate și transfrontaliere;</w:t>
      </w:r>
    </w:p>
    <w:p w:rsidR="00610F73" w:rsidRPr="00723A48" w:rsidRDefault="00610F73" w:rsidP="00610F73">
      <w:pPr>
        <w:pStyle w:val="ListParagraph"/>
        <w:numPr>
          <w:ilvl w:val="0"/>
          <w:numId w:val="1"/>
        </w:numPr>
        <w:tabs>
          <w:tab w:val="clear" w:pos="720"/>
          <w:tab w:val="num" w:pos="90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extinderea competențelor Poliției în domeniul prevenirii și combaterii spălării banilor proveniți din activități de criminalitate organizată;</w:t>
      </w:r>
    </w:p>
    <w:p w:rsidR="00610F73" w:rsidRPr="00723A48" w:rsidRDefault="00610F73" w:rsidP="00610F73">
      <w:pPr>
        <w:pStyle w:val="ListParagraph"/>
        <w:numPr>
          <w:ilvl w:val="0"/>
          <w:numId w:val="1"/>
        </w:numPr>
        <w:tabs>
          <w:tab w:val="clear" w:pos="720"/>
          <w:tab w:val="num" w:pos="1080"/>
        </w:tabs>
        <w:spacing w:after="0" w:line="256" w:lineRule="auto"/>
        <w:ind w:left="0" w:firstLine="540"/>
        <w:jc w:val="both"/>
        <w:rPr>
          <w:rFonts w:ascii="Times New Roman" w:hAnsi="Times New Roman"/>
          <w:sz w:val="28"/>
          <w:szCs w:val="28"/>
        </w:rPr>
      </w:pPr>
      <w:r w:rsidRPr="00723A48">
        <w:rPr>
          <w:rFonts w:ascii="Times New Roman" w:hAnsi="Times New Roman"/>
          <w:sz w:val="28"/>
          <w:szCs w:val="28"/>
        </w:rPr>
        <w:t>implementarea Conceptului de poliție comunitară în cadrul structurilor Inspectoratului General al Poliţiei;</w:t>
      </w:r>
    </w:p>
    <w:p w:rsidR="00610F73" w:rsidRPr="00723A48" w:rsidRDefault="00610F73" w:rsidP="00610F73">
      <w:pPr>
        <w:pStyle w:val="ListParagraph"/>
        <w:numPr>
          <w:ilvl w:val="0"/>
          <w:numId w:val="1"/>
        </w:numPr>
        <w:tabs>
          <w:tab w:val="clear" w:pos="720"/>
          <w:tab w:val="num" w:pos="1080"/>
        </w:tabs>
        <w:spacing w:after="0" w:line="256" w:lineRule="auto"/>
        <w:ind w:left="0" w:firstLine="540"/>
        <w:jc w:val="both"/>
        <w:rPr>
          <w:rFonts w:ascii="Times New Roman" w:hAnsi="Times New Roman"/>
        </w:rPr>
      </w:pPr>
      <w:r w:rsidRPr="00723A48">
        <w:rPr>
          <w:rFonts w:ascii="Times New Roman" w:hAnsi="Times New Roman"/>
          <w:sz w:val="28"/>
          <w:szCs w:val="28"/>
        </w:rPr>
        <w:t>consolidarea capacităților de patrulare, reacționare și intervenție ale Poliției la apelurile cetățenilor;</w:t>
      </w:r>
    </w:p>
    <w:p w:rsidR="00610F73" w:rsidRPr="00723A48" w:rsidRDefault="00610F73" w:rsidP="00610F73">
      <w:pPr>
        <w:pStyle w:val="ListParagraph"/>
        <w:numPr>
          <w:ilvl w:val="0"/>
          <w:numId w:val="1"/>
        </w:numPr>
        <w:tabs>
          <w:tab w:val="clear" w:pos="720"/>
          <w:tab w:val="num" w:pos="1080"/>
        </w:tabs>
        <w:spacing w:after="0" w:line="256" w:lineRule="auto"/>
        <w:ind w:left="0" w:firstLine="540"/>
        <w:jc w:val="both"/>
        <w:rPr>
          <w:rStyle w:val="hps"/>
        </w:rPr>
      </w:pPr>
      <w:r w:rsidRPr="00723A48">
        <w:rPr>
          <w:rFonts w:ascii="Times New Roman" w:hAnsi="Times New Roman"/>
          <w:sz w:val="28"/>
          <w:szCs w:val="28"/>
        </w:rPr>
        <w:t>promovarea și implementarea p</w:t>
      </w:r>
      <w:r w:rsidRPr="00723A48">
        <w:rPr>
          <w:rStyle w:val="hps"/>
          <w:rFonts w:ascii="Times New Roman" w:hAnsi="Times New Roman"/>
          <w:sz w:val="28"/>
          <w:szCs w:val="28"/>
        </w:rPr>
        <w:t>rincipiului</w:t>
      </w:r>
      <w:r w:rsidRPr="00723A48">
        <w:rPr>
          <w:rFonts w:ascii="Times New Roman" w:hAnsi="Times New Roman"/>
          <w:sz w:val="28"/>
          <w:szCs w:val="28"/>
        </w:rPr>
        <w:t xml:space="preserve"> </w:t>
      </w:r>
      <w:r w:rsidRPr="00723A48">
        <w:rPr>
          <w:rStyle w:val="hps"/>
          <w:rFonts w:ascii="Times New Roman" w:hAnsi="Times New Roman"/>
          <w:sz w:val="28"/>
          <w:szCs w:val="28"/>
        </w:rPr>
        <w:t>toleranță</w:t>
      </w:r>
      <w:r w:rsidRPr="00723A48">
        <w:rPr>
          <w:rFonts w:ascii="Times New Roman" w:hAnsi="Times New Roman"/>
          <w:sz w:val="28"/>
          <w:szCs w:val="28"/>
        </w:rPr>
        <w:t xml:space="preserve"> </w:t>
      </w:r>
      <w:r w:rsidRPr="00723A48">
        <w:rPr>
          <w:rStyle w:val="hps"/>
          <w:rFonts w:ascii="Times New Roman" w:hAnsi="Times New Roman"/>
          <w:sz w:val="28"/>
          <w:szCs w:val="28"/>
        </w:rPr>
        <w:t>zero față de corupție în activitatea Poliției;</w:t>
      </w:r>
    </w:p>
    <w:p w:rsidR="00610F73" w:rsidRPr="00723A48" w:rsidRDefault="00610F73" w:rsidP="00610F73">
      <w:pPr>
        <w:pStyle w:val="ListParagraph"/>
        <w:numPr>
          <w:ilvl w:val="0"/>
          <w:numId w:val="1"/>
        </w:numPr>
        <w:tabs>
          <w:tab w:val="clear" w:pos="720"/>
          <w:tab w:val="num" w:pos="1080"/>
        </w:tabs>
        <w:spacing w:after="0" w:line="256" w:lineRule="auto"/>
        <w:ind w:left="0" w:firstLine="540"/>
        <w:jc w:val="both"/>
      </w:pPr>
      <w:r w:rsidRPr="00723A48">
        <w:rPr>
          <w:rFonts w:ascii="Times New Roman" w:hAnsi="Times New Roman"/>
          <w:sz w:val="28"/>
          <w:szCs w:val="28"/>
        </w:rPr>
        <w:lastRenderedPageBreak/>
        <w:t>îmbunătăţirea cooperării între agenţiile şi structurile de combatere a corupţiei la nivel intra şi interinstituţional.</w:t>
      </w:r>
    </w:p>
    <w:p w:rsidR="00610F73" w:rsidRPr="00723A48" w:rsidRDefault="00610F73" w:rsidP="00610F73">
      <w:pPr>
        <w:tabs>
          <w:tab w:val="left" w:pos="540"/>
        </w:tabs>
        <w:autoSpaceDE w:val="0"/>
        <w:autoSpaceDN w:val="0"/>
        <w:adjustRightInd w:val="0"/>
        <w:ind w:firstLine="540"/>
        <w:rPr>
          <w:b/>
          <w:bCs/>
          <w:sz w:val="28"/>
          <w:szCs w:val="28"/>
          <w:lang w:val="ro-RO"/>
        </w:rPr>
      </w:pPr>
      <w:r w:rsidRPr="00723A48">
        <w:rPr>
          <w:b/>
          <w:bCs/>
          <w:sz w:val="28"/>
          <w:szCs w:val="28"/>
          <w:lang w:val="ro-RO"/>
        </w:rPr>
        <w:t>Fundamentarea economico-financiară a proiectului</w:t>
      </w:r>
    </w:p>
    <w:p w:rsidR="00610F73" w:rsidRPr="00723A48" w:rsidRDefault="00610F73" w:rsidP="00610F73">
      <w:pPr>
        <w:tabs>
          <w:tab w:val="left" w:pos="540"/>
        </w:tabs>
        <w:autoSpaceDE w:val="0"/>
        <w:autoSpaceDN w:val="0"/>
        <w:adjustRightInd w:val="0"/>
        <w:ind w:firstLine="540"/>
        <w:jc w:val="both"/>
        <w:rPr>
          <w:sz w:val="28"/>
          <w:szCs w:val="28"/>
          <w:lang w:val="ro-RO"/>
        </w:rPr>
      </w:pPr>
      <w:r w:rsidRPr="00723A48">
        <w:rPr>
          <w:sz w:val="28"/>
          <w:szCs w:val="28"/>
          <w:lang w:val="ro-RO"/>
        </w:rPr>
        <w:t>Implementarea prevederilor proiectului nu vor necesita cheltuieli financiare din bugetul de stat, deoarece pentru implementarea prezentei Strategii sunt prevăzute subvenții de la donatori străini.</w:t>
      </w:r>
    </w:p>
    <w:p w:rsidR="00610F73" w:rsidRPr="00723A48" w:rsidRDefault="00610F73" w:rsidP="00610F73">
      <w:pPr>
        <w:autoSpaceDE w:val="0"/>
        <w:autoSpaceDN w:val="0"/>
        <w:adjustRightInd w:val="0"/>
        <w:jc w:val="both"/>
        <w:rPr>
          <w:b/>
          <w:bCs/>
          <w:sz w:val="28"/>
          <w:szCs w:val="28"/>
          <w:lang w:val="ro-RO"/>
        </w:rPr>
      </w:pPr>
    </w:p>
    <w:p w:rsidR="00610F73" w:rsidRPr="00723A48" w:rsidRDefault="00610F73" w:rsidP="00610F73">
      <w:pPr>
        <w:autoSpaceDE w:val="0"/>
        <w:autoSpaceDN w:val="0"/>
        <w:adjustRightInd w:val="0"/>
        <w:jc w:val="both"/>
        <w:rPr>
          <w:b/>
          <w:bCs/>
          <w:sz w:val="28"/>
          <w:szCs w:val="28"/>
          <w:lang w:val="ro-RO"/>
        </w:rPr>
      </w:pPr>
    </w:p>
    <w:p w:rsidR="00610F73" w:rsidRPr="00723A48" w:rsidRDefault="00610F73" w:rsidP="00610F73">
      <w:pPr>
        <w:autoSpaceDE w:val="0"/>
        <w:autoSpaceDN w:val="0"/>
        <w:adjustRightInd w:val="0"/>
        <w:ind w:firstLine="540"/>
        <w:jc w:val="both"/>
        <w:rPr>
          <w:b/>
          <w:bCs/>
          <w:sz w:val="28"/>
          <w:szCs w:val="28"/>
          <w:lang w:val="ro-RO"/>
        </w:rPr>
      </w:pP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t xml:space="preserve">         Alexandru JIZDAN</w:t>
      </w:r>
    </w:p>
    <w:p w:rsidR="00610F73" w:rsidRPr="00723A48" w:rsidRDefault="00610F73" w:rsidP="00610F73">
      <w:pPr>
        <w:autoSpaceDE w:val="0"/>
        <w:autoSpaceDN w:val="0"/>
        <w:adjustRightInd w:val="0"/>
        <w:ind w:firstLine="540"/>
        <w:jc w:val="both"/>
        <w:rPr>
          <w:b/>
          <w:bCs/>
          <w:sz w:val="28"/>
          <w:szCs w:val="28"/>
          <w:lang w:val="ro-RO"/>
        </w:rPr>
      </w:pP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r>
      <w:r w:rsidRPr="00723A48">
        <w:rPr>
          <w:b/>
          <w:bCs/>
          <w:sz w:val="28"/>
          <w:szCs w:val="28"/>
          <w:lang w:val="ro-RO"/>
        </w:rPr>
        <w:tab/>
        <w:t>ministru</w:t>
      </w:r>
    </w:p>
    <w:p w:rsidR="00610F73" w:rsidRPr="00723A48" w:rsidRDefault="00610F73" w:rsidP="00610F73">
      <w:pPr>
        <w:pStyle w:val="rg"/>
        <w:tabs>
          <w:tab w:val="left" w:pos="7887"/>
        </w:tabs>
        <w:jc w:val="left"/>
        <w:rPr>
          <w:lang w:val="ro-RO"/>
        </w:rPr>
      </w:pPr>
    </w:p>
    <w:p w:rsidR="00786ACF" w:rsidRDefault="00786ACF"/>
    <w:sectPr w:rsidR="00786ACF" w:rsidSect="00530A7C">
      <w:pgSz w:w="11906" w:h="16838" w:code="9"/>
      <w:pgMar w:top="1134" w:right="851" w:bottom="1134" w:left="1701"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92524"/>
    <w:multiLevelType w:val="hybridMultilevel"/>
    <w:tmpl w:val="74903AFC"/>
    <w:lvl w:ilvl="0" w:tplc="362814E8">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10F73"/>
    <w:rsid w:val="00470C9A"/>
    <w:rsid w:val="00610F73"/>
    <w:rsid w:val="00786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ind w:left="4859" w:right="40"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73"/>
    <w:pPr>
      <w:spacing w:before="0" w:after="0"/>
      <w:ind w:left="0" w:right="0" w:firstLine="0"/>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610F73"/>
    <w:pPr>
      <w:jc w:val="right"/>
    </w:pPr>
  </w:style>
  <w:style w:type="character" w:customStyle="1" w:styleId="hps">
    <w:name w:val="hps"/>
    <w:rsid w:val="00610F73"/>
    <w:rPr>
      <w:rFonts w:cs="Times New Roman"/>
    </w:rPr>
  </w:style>
  <w:style w:type="paragraph" w:styleId="ListParagraph">
    <w:name w:val="List Paragraph"/>
    <w:basedOn w:val="Normal"/>
    <w:link w:val="ListParagraphChar"/>
    <w:qFormat/>
    <w:rsid w:val="00610F73"/>
    <w:pPr>
      <w:spacing w:after="160" w:line="259" w:lineRule="auto"/>
      <w:ind w:left="720"/>
      <w:contextualSpacing/>
    </w:pPr>
    <w:rPr>
      <w:rFonts w:ascii="Calibri" w:hAnsi="Calibri"/>
      <w:sz w:val="22"/>
      <w:szCs w:val="22"/>
      <w:lang w:val="ro-RO" w:eastAsia="en-US"/>
    </w:rPr>
  </w:style>
  <w:style w:type="character" w:customStyle="1" w:styleId="ListParagraphChar">
    <w:name w:val="List Paragraph Char"/>
    <w:link w:val="ListParagraph"/>
    <w:locked/>
    <w:rsid w:val="00610F73"/>
    <w:rPr>
      <w:rFonts w:ascii="Calibri" w:eastAsia="Times New Roman"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7890</Characters>
  <Application>Microsoft Office Word</Application>
  <DocSecurity>0</DocSecurity>
  <Lines>65</Lines>
  <Paragraphs>18</Paragraphs>
  <ScaleCrop>false</ScaleCrop>
  <Company>CtrlSoft</Company>
  <LinksUpToDate>false</LinksUpToDate>
  <CharactersWithSpaces>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2016-01-29T07:49:00Z</dcterms:created>
  <dcterms:modified xsi:type="dcterms:W3CDTF">2016-01-29T07:49:00Z</dcterms:modified>
</cp:coreProperties>
</file>