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                                  </w:t>
      </w: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   </w:t>
      </w:r>
      <w:r w:rsidR="008B2F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                 </w:t>
      </w: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Notă de argumentare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l</w:t>
      </w:r>
      <w:r w:rsidRPr="004C5C89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lang w:val="ro-RO"/>
        </w:rPr>
        <w:t xml:space="preserve">a proiectul </w:t>
      </w: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de lege privind modificarea şi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completarea </w:t>
      </w:r>
      <w:r w:rsidRPr="004C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Legii nr. 78 –XV din 18 martie 2004 privind produsele alimentare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before="254" w:after="0" w:line="302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Necesitatea elaborării proiectului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before="254" w:after="0" w:line="302" w:lineRule="exac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Proiectul legii 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privind modificarea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Legii nr. 78 –XV din 18 martie 2004 privind produsele alimentare</w:t>
      </w:r>
      <w:r w:rsidRPr="004C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 fost elaborat ca urmare a necesităţii de punere în aplicare a unui şir de prevederi adoptate prin Acordul de asociere între RM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 UE ratificat prin Legea nr. 112 din 02.07.2014, art. 14(c); Strategia privind prevenirea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 controlul bolilor netransmisibile pentru anii 2012-2020 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aprobată prin Hotărârea Parlamentului nr.82 din 12 aprilie 2012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; 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Strategia na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ională de sănătate publică pentru anii 2014-2020 aprobată prin Hotărârea Guvernului nr 1032 din 20.12.2013; Legea nr. 10 din 3 februarie 2009 privind supravegherea de stat a sănătă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ii publice (art. 6,7,9 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 38); Politica Na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ională de Sănătate a Republicii Moldova pentru anii 2007-2021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 aprobată prin Hotărârea Guvernului nr.886 din 6 august 2007; Recomandări metodice privind organizarea alimenta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iei echilibrate în institu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iile pentru copii aprobate prin Hotărârea Consiliului de Exper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 al MS RM din 05.09.2013; Ordinul nr. 904 privind aprobarea listei produselor alimentare nerecomandate pre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colarilor 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i elevilor din 27.09.2012 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 prevederile Programului na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ional în domeniul alimenta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iei 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 nutri</w:t>
      </w:r>
      <w:r w:rsidR="008B2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iei pentru anii 2014-2020 aprobat prin Hotărârea Guvernului nr. 730 din 08.09.2014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. În special, acestea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in nemijlocit de completările efectuate în articolul 15 al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Legii nr. 78 –XV din 18 martie 2004 privind produsele alimentare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. 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Potrivit completărilor introduse, este interzisă plasarea 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automatelor comerciale de produse alimentare cu con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inut sporit de sare, zahăr, grăsimi 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 băuturi nealcoolice îndulcite în institu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iile de învă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ământ 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 institu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iile medico-sanitare. 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Prin acest proiect se urmăreşte transpunerea în legislaţia naţională a ultimelor recomandări ale Organiza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iei Mondiale a Sănătă</w:t>
      </w:r>
      <w:r w:rsidR="008B2F8B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ii (OMS) stipulate în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„Strategia Globală privind Dieta, Activitatea Fizică şi Sănătatea” adoptată 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 xml:space="preserve">de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Asambleea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Mondială a Sănătăţii în mai 2004 care accentuează necesitatea limitării consumului de grăsimi saturate, acizi graşi trans, sare şi zaharuri; Carta Europeană de Combatere a Obezităţii adoptată în anul 2006 la Conferinţa Ministerială Europeană privind Combaterea Obezităţii printre Copii prin care statele-membre s-au angajat să-şi fortifice eforturile în lupta cu obezitatea şi să plaseze obezitatea ca povară pentru sănătatea publică la un nivel înalt în agenda politică; Politica OMS „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Food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and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policy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for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schools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: a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tool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for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the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development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of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school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nutrition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programmes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in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the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WHO European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Region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” adoptată în an. 2006; Planul European de Acţiuni în domeniul Alimentaţiei şi Nutriţiei pentru anii 2007-2012 (Rezoluţia EUR/RC/57/R4) adoptat în anul 2007 de către cel de-al 57-lea Comitet Regional; Planul de Acţiuni de Implementare a Strategiei Europene de Prevenire şi Control al bolilor netransmisibile pentru anii 2012-2020 (Rezoluţia EUR/RC61/R3) adoptat în anul 2011 de către Comitetul Regional pentru Europa al OMS care subliniază „promovarea consumului sănătos prin politici fiscale şi de marketing”, „eliminarea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lastRenderedPageBreak/>
        <w:t xml:space="preserve">grăsimilor trans din alimente (şi înlocuirea lor cu grăsimi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polinesaturate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)” şi „reducerea sării” inclusiv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 </w:t>
      </w:r>
      <w:r w:rsidRPr="004C5C89">
        <w:rPr>
          <w:rFonts w:ascii="Times New Roman" w:eastAsia="Calibri" w:hAnsi="Times New Roman" w:cs="Times New Roman"/>
          <w:bCs/>
          <w:color w:val="000000"/>
          <w:sz w:val="28"/>
          <w:szCs w:val="28"/>
          <w:lang w:val="ro-RO"/>
        </w:rPr>
        <w:t>Declaraţia de Viena privind Nutriţia şi bolile netransmisibile în contextul Sănătăţii 2020, adoptată de miniştrii sănătăţii din ţările regiunii Europene a OMS la conferinţa de la Viena din 4-5 iulie 2013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. 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Principalele prevederi şi elementele noi ale proiectului 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40" w:firstLine="6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 xml:space="preserve">La art. 15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al proiectului se propune completarea cu un punct nou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– „</w:t>
      </w:r>
      <w:r w:rsidRPr="004C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7”,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cu următorul cuprins: „Se interzice plasarea automatelor comerciale cu produsele alimentare cu con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inut sporit de sare, zahăr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grăsimi inclusiv a băuturilor nealcoolice îndulcite în institu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iile de învă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ământ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institu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iile medico-sanitare.” Această completare a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Legii nr. 78 –XV din 18 martie 2004 privind produsele alimentare</w:t>
      </w:r>
      <w:r w:rsidRPr="004C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se efectuează în scopul 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reducerii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poverii morbidităţii şi a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dizabilităţii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prevenibile şi a mortalităţii premature evitabile din cauza bolilor netransmisibile legate de dietă, conform prevederilor Programului na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ional în domeniul alimenta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iei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nutri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iei pentru anii 2014-2020, 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aprobat prin Hotărârea Guvernului nr. 730 din 08.09.2014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Fundamentarea economico-financiară</w:t>
      </w:r>
    </w:p>
    <w:p w:rsidR="004C5C89" w:rsidRPr="004C5C89" w:rsidRDefault="004C5C89" w:rsidP="004C5C89">
      <w:pPr>
        <w:widowControl w:val="0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Implementarea modificărilor propuse presupune utilizarea eficientă a mijloacelor financiare disponibile, atât din contul mijloacelor bugetului de stat şi mijloacelor fondurilor asigurării obligatorii de asistenţă medicală, cât şi din contul mijloacelor organizaţiilor internaţionale, </w:t>
      </w:r>
      <w:proofErr w:type="spellStart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non-</w:t>
      </w:r>
      <w:proofErr w:type="spellEnd"/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guvernamentale etc.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o-RO"/>
        </w:rPr>
        <w:t>Participanţii la elaborarea proiectului</w:t>
      </w:r>
    </w:p>
    <w:p w:rsidR="004C5C89" w:rsidRPr="004C5C89" w:rsidRDefault="004C5C89" w:rsidP="004C5C89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La elaborarea proiectului hotărârii Guvernului cu privire la aprobarea modificărilor </w:t>
      </w:r>
      <w:r w:rsidR="008B2F8B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ş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i completărilor ce se operează în </w:t>
      </w:r>
      <w:r w:rsidRPr="004C5C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Legea nr. 78 din 18.03.2004 </w:t>
      </w:r>
      <w:r w:rsidRPr="004C5C8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a participat grupul de lucru instituit de Ministerului Sănătăţii. 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    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Rezultatele scontate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Adoptarea proiectului în cauză va permite îmbunătăţirea stării de sănătate prin prevenirea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combaterea bolilor netransmisibile rezultate în urma consumului de produse alimentare cu con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inut sporit de sare, zahăr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i grăsimi inclusiv băuturi nealcoolice îndulcite precum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diminuarea consecin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ţ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elor economice </w:t>
      </w:r>
      <w:r w:rsidR="008B2F8B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</w:t>
      </w:r>
      <w:r w:rsidRPr="004C5C8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 sociale asociate acestui consum.</w:t>
      </w:r>
    </w:p>
    <w:p w:rsidR="004C5C89" w:rsidRPr="004C5C89" w:rsidRDefault="004C5C89" w:rsidP="004C5C89">
      <w:pPr>
        <w:widowControl w:val="0"/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E055DE" w:rsidRPr="004C5C89" w:rsidRDefault="00E055DE">
      <w:pPr>
        <w:rPr>
          <w:lang w:val="ro-RO"/>
        </w:rPr>
      </w:pPr>
      <w:bookmarkStart w:id="0" w:name="_GoBack"/>
      <w:bookmarkEnd w:id="0"/>
    </w:p>
    <w:sectPr w:rsidR="00E055DE" w:rsidRPr="004C5C89" w:rsidSect="0030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C89"/>
    <w:rsid w:val="00300638"/>
    <w:rsid w:val="004C5C89"/>
    <w:rsid w:val="008B2F8B"/>
    <w:rsid w:val="00E055DE"/>
    <w:rsid w:val="00EB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abucur</cp:lastModifiedBy>
  <cp:revision>2</cp:revision>
  <dcterms:created xsi:type="dcterms:W3CDTF">2015-11-24T14:44:00Z</dcterms:created>
  <dcterms:modified xsi:type="dcterms:W3CDTF">2015-12-15T06:44:00Z</dcterms:modified>
</cp:coreProperties>
</file>